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36.xml" ContentType="application/vnd.openxmlformats-officedocument.wordprocessingml.footer+xml"/>
  <Override PartName="/word/header30.xml" ContentType="application/vnd.openxmlformats-officedocument.wordprocessingml.header+xml"/>
  <Override PartName="/word/footer37.xml" ContentType="application/vnd.openxmlformats-officedocument.wordprocessingml.footer+xml"/>
  <Override PartName="/word/header3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lang w:val="en-CA"/>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480"/>
        <w:jc w:val="center"/>
        <w:rPr>
          <w:b/>
          <w:bCs/>
          <w:szCs w:val="24"/>
        </w:rPr>
      </w:pPr>
      <w:r>
        <w:rPr>
          <w:b/>
          <w:bCs/>
          <w:szCs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480"/>
        <w:jc w:val="center"/>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480"/>
        <w:jc w:val="center"/>
        <w:rPr>
          <w:b/>
          <w:bCs/>
          <w:szCs w:val="24"/>
        </w:rPr>
      </w:pPr>
      <w:r>
        <w:rPr>
          <w:b/>
          <w:bCs/>
          <w:szCs w:val="24"/>
        </w:rPr>
        <w:t>Dated as of November [17],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480"/>
        <w:jc w:val="center"/>
        <w:rPr>
          <w:b/>
          <w:bCs/>
          <w:szCs w:val="24"/>
        </w:rPr>
      </w:pPr>
      <w:r>
        <w:rPr>
          <w:b/>
          <w:bCs/>
          <w:szCs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HAWAII II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pPr>
      <w:r>
        <w:rPr>
          <w:b/>
          <w:bCs/>
          <w:szCs w:val="24"/>
        </w:rPr>
        <w:t xml:space="preserve">First Union National Bank and </w:t>
      </w:r>
      <w:r>
        <w:rPr>
          <w:b/>
          <w:bCs/>
          <w:strike/>
          <w:szCs w:val="24"/>
        </w:rPr>
        <w:t>San Paolo</w:t>
      </w:r>
      <w:r>
        <w:rPr>
          <w:b/>
          <w:bCs/>
          <w:szCs w:val="24"/>
        </w:rPr>
        <w:t xml:space="preserve"> </w:t>
      </w:r>
      <w:r>
        <w:rPr>
          <w:b/>
          <w:bCs/>
          <w:szCs w:val="24"/>
          <w:u w:val="double"/>
        </w:rPr>
        <w:t>SANPAOLO</w:t>
      </w:r>
      <w:r>
        <w:rPr>
          <w:b/>
          <w:bCs/>
          <w:szCs w:val="24"/>
        </w:rPr>
        <w:t xml:space="preserve">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Bayerische Landesbank</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uto" w:line="480"/>
        <w:jc w:val="both"/>
        <w:rPr>
          <w:b/>
          <w:bCs/>
          <w:szCs w:val="24"/>
        </w:rPr>
      </w:pPr>
      <w:r>
        <w:rPr>
          <w:b/>
          <w:bCs/>
          <w:szCs w:val="24"/>
        </w:rPr>
        <w:tab/>
        <w:tab/>
        <w:tab/>
      </w:r>
      <w:r>
        <w:rPr>
          <w:b/>
          <w:bCs/>
          <w:szCs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[$385,000,000]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bCs/>
          <w:szCs w:val="24"/>
        </w:rPr>
      </w:pPr>
      <w:r>
        <w:rPr>
          <w:b/>
          <w:bCs/>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r>
      <w:r>
        <w:rPr>
          <w:szCs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sectPr>
          <w:headerReference w:type="default" r:id="rId2"/>
          <w:headerReference w:type="first" r:id="rId3"/>
          <w:footerReference w:type="default" r:id="rId4"/>
          <w:footerReference w:type="first" r:id="rId5"/>
          <w:type w:val="nextPage"/>
          <w:pgSz w:w="12240" w:h="15840"/>
          <w:pgMar w:left="1440" w:right="1440" w:gutter="0" w:header="1440" w:top="1680" w:footer="864" w:bottom="920"/>
          <w:pgNumType w:fmt="decimal"/>
          <w:formProt w:val="false"/>
          <w:titlePg/>
          <w:textDirection w:val="lrTb"/>
          <w:docGrid w:type="default" w:linePitch="36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sectPr>
          <w:type w:val="continuous"/>
          <w:pgSz w:w="12240" w:h="15840"/>
          <w:pgMar w:left="1440" w:right="1440" w:gutter="0" w:header="1440" w:top="1680" w:footer="864" w:bottom="920"/>
          <w:formProt w:val="false"/>
          <w:titlePg/>
          <w:textDirection w:val="lrTb"/>
          <w:docGrid w:type="default" w:linePitch="36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Cs w:val="24"/>
        </w:rPr>
      </w:pPr>
      <w:r>
        <w:rPr>
          <w:b/>
          <w:bCs/>
          <w:szCs w:val="24"/>
          <w:u w:val="single"/>
        </w:rPr>
        <w:t>TABLE OF CONTENTS</w:t>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Cs w:val="24"/>
        </w:rPr>
      </w:pPr>
      <w:r>
        <w:rPr>
          <w:szCs w:val="24"/>
        </w:rPr>
      </w:r>
    </w:p>
    <w:p>
      <w:pPr>
        <w:pStyle w:val="Normal"/>
        <w:tabs>
          <w:tab w:val="clear" w:pos="720"/>
          <w:tab w:val="right" w:pos="9360" w:leader="none"/>
        </w:tabs>
        <w:rPr>
          <w:szCs w:val="24"/>
        </w:rPr>
      </w:pPr>
      <w:r>
        <w:rPr>
          <w:szCs w:val="24"/>
        </w:rPr>
        <w:tab/>
      </w:r>
      <w:r>
        <w:rPr>
          <w:b/>
          <w:bCs/>
          <w:szCs w:val="24"/>
          <w:u w:val="single"/>
        </w:rPr>
        <w:t>Page</w:t>
      </w:r>
    </w:p>
    <w:sdt>
      <w:sdtPr>
        <w:docPartObj>
          <w:docPartGallery w:val="Table of Contents"/>
          <w:docPartUnique w:val="true"/>
        </w:docPartObj>
      </w:sdtPr>
      <w:sdtContent>
        <w:p>
          <w:pPr>
            <w:pStyle w:val="Normal"/>
            <w:tabs>
              <w:tab w:val="clear" w:pos="720"/>
              <w:tab w:val="left" w:pos="18720" w:leader="none"/>
            </w:tabs>
            <w:rPr>
              <w:szCs w:val="24"/>
            </w:rPr>
          </w:pPr>
          <w:r>
            <w:fldChar w:fldCharType="begin"/>
          </w:r>
          <w:r>
            <w:rPr>
              <w:szCs w:val="24"/>
            </w:rPr>
            <w:instrText xml:space="preserve">TOC \f</w:instrText>
          </w:r>
          <w:r>
            <w:rPr>
              <w:szCs w:val="24"/>
            </w:rPr>
            <w:fldChar w:fldCharType="separate"/>
          </w:r>
          <w:r>
            <w:rPr>
              <w:szCs w:val="24"/>
            </w:rPr>
          </w:r>
        </w:p>
        <w:p>
          <w:pPr>
            <w:pStyle w:val="Normal"/>
            <w:tabs>
              <w:tab w:val="clear" w:pos="720"/>
              <w:tab w:val="right" w:pos="9360" w:leader="dot"/>
            </w:tabs>
            <w:ind w:hanging="720" w:start="720" w:end="0"/>
            <w:rPr>
              <w:szCs w:val="24"/>
            </w:rPr>
          </w:pPr>
          <w:r>
            <w:rPr>
              <w:szCs w:val="24"/>
            </w:rPr>
            <w:t>ARTICLE I - DEFINITIONS AND INTERPRETATION</w:t>
            <w:tab/>
            <w:t>1</w:t>
          </w:r>
        </w:p>
        <w:p>
          <w:pPr>
            <w:pStyle w:val="Normal"/>
            <w:tabs>
              <w:tab w:val="clear" w:pos="720"/>
              <w:tab w:val="right" w:pos="9360" w:leader="dot"/>
            </w:tabs>
            <w:ind w:hanging="360" w:start="1080" w:end="0"/>
            <w:rPr>
              <w:szCs w:val="24"/>
            </w:rPr>
          </w:pPr>
          <w:r>
            <w:rPr>
              <w:szCs w:val="24"/>
            </w:rPr>
            <w:t>Section  1.1   Definitions</w:t>
            <w:tab/>
            <w:t>1</w:t>
          </w:r>
        </w:p>
        <w:p>
          <w:pPr>
            <w:pStyle w:val="Normal"/>
            <w:tabs>
              <w:tab w:val="clear" w:pos="720"/>
              <w:tab w:val="right" w:pos="9360" w:leader="dot"/>
            </w:tabs>
            <w:ind w:hanging="360" w:start="1080" w:end="0"/>
            <w:rPr>
              <w:szCs w:val="24"/>
            </w:rPr>
          </w:pPr>
          <w:r>
            <w:rPr>
              <w:szCs w:val="24"/>
            </w:rPr>
            <w:t>Section  1.2   Interpretation</w:t>
            <w:tab/>
            <w:t>14</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II - TRANCHES AND ADVANCES</w:t>
            <w:tab/>
            <w:t>15</w:t>
          </w:r>
        </w:p>
        <w:p>
          <w:pPr>
            <w:pStyle w:val="Normal"/>
            <w:tabs>
              <w:tab w:val="clear" w:pos="720"/>
              <w:tab w:val="right" w:pos="9360" w:leader="dot"/>
            </w:tabs>
            <w:ind w:hanging="360" w:start="1080" w:end="0"/>
            <w:rPr>
              <w:szCs w:val="24"/>
            </w:rPr>
          </w:pPr>
          <w:r>
            <w:rPr>
              <w:szCs w:val="24"/>
            </w:rPr>
            <w:t>Section  2.1   Tranches</w:t>
            <w:tab/>
            <w:t>15</w:t>
          </w:r>
        </w:p>
        <w:p>
          <w:pPr>
            <w:pStyle w:val="Normal"/>
            <w:tabs>
              <w:tab w:val="clear" w:pos="720"/>
              <w:tab w:val="right" w:pos="9360" w:leader="dot"/>
            </w:tabs>
            <w:ind w:hanging="360" w:start="1080" w:end="0"/>
            <w:rPr>
              <w:szCs w:val="24"/>
            </w:rPr>
          </w:pPr>
          <w:r>
            <w:rPr>
              <w:szCs w:val="24"/>
            </w:rPr>
            <w:t>Section  2.2   Advances</w:t>
            <w:tab/>
            <w:t>15</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III - PARTICIPATION OF LENDERS</w:t>
            <w:tab/>
            <w:t>16</w:t>
          </w:r>
        </w:p>
        <w:p>
          <w:pPr>
            <w:pStyle w:val="Normal"/>
            <w:tabs>
              <w:tab w:val="clear" w:pos="720"/>
              <w:tab w:val="right" w:pos="9360" w:leader="dot"/>
            </w:tabs>
            <w:ind w:hanging="360" w:start="1080" w:end="0"/>
            <w:rPr>
              <w:szCs w:val="24"/>
            </w:rPr>
          </w:pPr>
          <w:r>
            <w:rPr>
              <w:szCs w:val="24"/>
            </w:rPr>
            <w:t>Section  3.1   Funding Office</w:t>
            <w:tab/>
            <w:t>16</w:t>
          </w:r>
        </w:p>
        <w:p>
          <w:pPr>
            <w:pStyle w:val="Normal"/>
            <w:tabs>
              <w:tab w:val="clear" w:pos="720"/>
              <w:tab w:val="right" w:pos="9360" w:leader="dot"/>
            </w:tabs>
            <w:ind w:hanging="360" w:start="1080" w:end="0"/>
            <w:rPr>
              <w:szCs w:val="24"/>
            </w:rPr>
          </w:pPr>
          <w:r>
            <w:rPr>
              <w:szCs w:val="24"/>
            </w:rPr>
            <w:t>Section  3.2   Rights and Obligations of Finance Parties</w:t>
            <w:tab/>
            <w:t>16</w:t>
          </w:r>
        </w:p>
        <w:p>
          <w:pPr>
            <w:pStyle w:val="Normal"/>
            <w:tabs>
              <w:tab w:val="clear" w:pos="720"/>
              <w:tab w:val="left" w:pos="18720" w:leader="none"/>
            </w:tabs>
            <w:ind w:hanging="360" w:start="1080" w:end="0"/>
            <w:rPr>
              <w:szCs w:val="24"/>
            </w:rPr>
          </w:pPr>
          <w:r>
            <w:rPr>
              <w:szCs w:val="24"/>
            </w:rPr>
            <w:t>Section  3.3   Second Closing Date; Addition of Lenders and Increase in</w:t>
          </w:r>
        </w:p>
        <w:p>
          <w:pPr>
            <w:pStyle w:val="Normal"/>
            <w:tabs>
              <w:tab w:val="clear" w:pos="720"/>
              <w:tab w:val="right" w:pos="9360" w:leader="dot"/>
            </w:tabs>
            <w:ind w:hanging="360" w:start="1080" w:end="0"/>
            <w:rPr>
              <w:szCs w:val="24"/>
            </w:rPr>
          </w:pPr>
          <w:r>
            <w:rPr>
              <w:szCs w:val="24"/>
            </w:rPr>
            <w:t xml:space="preserve"> </w:t>
          </w:r>
          <w:r>
            <w:rPr>
              <w:szCs w:val="24"/>
            </w:rPr>
            <w:t>Commitments</w:t>
            <w:tab/>
            <w:t>17</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IV - CONDITIONS PRECEDENT</w:t>
            <w:tab/>
            <w:t>19</w:t>
          </w:r>
        </w:p>
        <w:p>
          <w:pPr>
            <w:pStyle w:val="Normal"/>
            <w:tabs>
              <w:tab w:val="clear" w:pos="720"/>
              <w:tab w:val="right" w:pos="9360" w:leader="dot"/>
            </w:tabs>
            <w:ind w:hanging="360" w:start="1080" w:end="0"/>
            <w:rPr>
              <w:szCs w:val="24"/>
            </w:rPr>
          </w:pPr>
          <w:r>
            <w:rPr>
              <w:szCs w:val="24"/>
            </w:rPr>
            <w:t xml:space="preserve">Section  4.1   Conditions Precedent to Lenders’ Obligations under this Agreement.  </w:t>
            <w:tab/>
            <w:t>19</w:t>
          </w:r>
        </w:p>
        <w:p>
          <w:pPr>
            <w:pStyle w:val="Normal"/>
            <w:tabs>
              <w:tab w:val="clear" w:pos="720"/>
              <w:tab w:val="right" w:pos="9360" w:leader="dot"/>
            </w:tabs>
            <w:ind w:hanging="360" w:start="1080" w:end="0"/>
            <w:rPr>
              <w:szCs w:val="24"/>
            </w:rPr>
          </w:pPr>
          <w:r>
            <w:rPr>
              <w:szCs w:val="24"/>
            </w:rPr>
            <w:t xml:space="preserve">Section  4.2   Conditions Precedent to Lenders’ Obligations to Make Advances.  </w:t>
            <w:tab/>
            <w:t>20</w:t>
          </w:r>
        </w:p>
        <w:p>
          <w:pPr>
            <w:pStyle w:val="Normal"/>
            <w:tabs>
              <w:tab w:val="clear" w:pos="720"/>
              <w:tab w:val="right" w:pos="9360" w:leader="dot"/>
            </w:tabs>
            <w:ind w:hanging="360" w:start="1080" w:end="0"/>
            <w:rPr>
              <w:szCs w:val="24"/>
            </w:rPr>
          </w:pPr>
          <w:r>
            <w:rPr>
              <w:szCs w:val="24"/>
            </w:rPr>
            <w:t xml:space="preserve">Section  4.3   Conditions Precedent to Lenders’ Obligations to Make Advances with Respect to the Hawaii Tranches.  </w:t>
            <w:tab/>
            <w:t>22</w:t>
          </w:r>
        </w:p>
        <w:p>
          <w:pPr>
            <w:pStyle w:val="Normal"/>
            <w:tabs>
              <w:tab w:val="clear" w:pos="720"/>
              <w:tab w:val="right" w:pos="9360" w:leader="dot"/>
            </w:tabs>
            <w:ind w:hanging="360" w:start="1080" w:end="0"/>
            <w:rPr>
              <w:szCs w:val="24"/>
            </w:rPr>
          </w:pPr>
          <w:r>
            <w:rPr>
              <w:szCs w:val="24"/>
            </w:rPr>
            <w:t xml:space="preserve">Section  4.4   Conditions Precedent to Lenders’ Obligations to Make Advances with Respect to the Hawaii I Tranches.  </w:t>
            <w:tab/>
            <w:t>24</w:t>
          </w:r>
        </w:p>
        <w:p>
          <w:pPr>
            <w:pStyle w:val="Normal"/>
            <w:tabs>
              <w:tab w:val="clear" w:pos="720"/>
              <w:tab w:val="right" w:pos="9360" w:leader="dot"/>
            </w:tabs>
            <w:ind w:hanging="360" w:start="1080" w:end="0"/>
            <w:rPr>
              <w:szCs w:val="24"/>
            </w:rPr>
          </w:pPr>
          <w:r>
            <w:rPr>
              <w:szCs w:val="24"/>
            </w:rPr>
            <w:t xml:space="preserve">Section  4.5   Commitments Not Drawn.  </w:t>
            <w:tab/>
            <w:t>26</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V - DRAWDOWN CERTIFICATION AND DRAWDOWN PROCEDURES</w:t>
            <w:tab/>
            <w:t>26</w:t>
          </w:r>
        </w:p>
        <w:p>
          <w:pPr>
            <w:pStyle w:val="Normal"/>
            <w:tabs>
              <w:tab w:val="clear" w:pos="720"/>
              <w:tab w:val="right" w:pos="9360" w:leader="dot"/>
            </w:tabs>
            <w:ind w:hanging="360" w:start="1080" w:end="0"/>
            <w:rPr>
              <w:szCs w:val="24"/>
            </w:rPr>
          </w:pPr>
          <w:r>
            <w:rPr>
              <w:szCs w:val="24"/>
            </w:rPr>
            <w:t>Section  5.1   Certification Procedure.</w:t>
            <w:tab/>
            <w:t>26</w:t>
          </w:r>
        </w:p>
        <w:p>
          <w:pPr>
            <w:pStyle w:val="Normal"/>
            <w:tabs>
              <w:tab w:val="clear" w:pos="720"/>
              <w:tab w:val="right" w:pos="9360" w:leader="dot"/>
            </w:tabs>
            <w:ind w:hanging="360" w:start="1080" w:end="0"/>
            <w:rPr>
              <w:szCs w:val="24"/>
            </w:rPr>
          </w:pPr>
          <w:r>
            <w:rPr>
              <w:szCs w:val="24"/>
            </w:rPr>
            <w:t>Section  5.2   Drawdown of the Advances</w:t>
            <w:tab/>
          </w:r>
          <w:r>
            <w:rPr>
              <w:strike/>
              <w:szCs w:val="24"/>
            </w:rPr>
            <w:t>28</w:t>
          </w:r>
          <w:r>
            <w:rPr>
              <w:szCs w:val="24"/>
            </w:rPr>
            <w:t xml:space="preserve"> </w:t>
          </w:r>
          <w:r>
            <w:rPr>
              <w:b/>
              <w:bCs/>
              <w:szCs w:val="24"/>
              <w:u w:val="double"/>
            </w:rPr>
            <w:t>29</w:t>
          </w:r>
        </w:p>
        <w:p>
          <w:pPr>
            <w:pStyle w:val="Normal"/>
            <w:tabs>
              <w:tab w:val="clear" w:pos="720"/>
              <w:tab w:val="right" w:pos="9360" w:leader="dot"/>
            </w:tabs>
            <w:ind w:hanging="360" w:start="1080" w:end="0"/>
            <w:rPr>
              <w:szCs w:val="24"/>
            </w:rPr>
          </w:pPr>
          <w:r>
            <w:rPr>
              <w:szCs w:val="24"/>
            </w:rPr>
            <w:t>Section  5.3   Advances</w:t>
            <w:tab/>
            <w:t>29</w:t>
          </w:r>
        </w:p>
        <w:p>
          <w:pPr>
            <w:pStyle w:val="Normal"/>
            <w:tabs>
              <w:tab w:val="clear" w:pos="720"/>
              <w:tab w:val="right" w:pos="9360" w:leader="dot"/>
            </w:tabs>
            <w:ind w:hanging="360" w:start="1080" w:end="0"/>
            <w:rPr>
              <w:szCs w:val="24"/>
            </w:rPr>
          </w:pPr>
          <w:r>
            <w:rPr>
              <w:szCs w:val="24"/>
            </w:rPr>
            <w:t>Section  5.4   Notice to Lenders of a Proposed Drawdown</w:t>
            <w:tab/>
          </w:r>
          <w:r>
            <w:rPr>
              <w:strike/>
              <w:szCs w:val="24"/>
            </w:rPr>
            <w:t>29</w:t>
          </w:r>
          <w:r>
            <w:rPr>
              <w:szCs w:val="24"/>
            </w:rPr>
            <w:t xml:space="preserve"> </w:t>
          </w:r>
          <w:r>
            <w:rPr>
              <w:b/>
              <w:bCs/>
              <w:szCs w:val="24"/>
              <w:u w:val="double"/>
            </w:rPr>
            <w:t>30</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VI - REPAYMENT OF ADVANCES</w:t>
            <w:tab/>
            <w:t>30</w:t>
          </w:r>
        </w:p>
        <w:p>
          <w:pPr>
            <w:pStyle w:val="Normal"/>
            <w:tabs>
              <w:tab w:val="clear" w:pos="720"/>
              <w:tab w:val="right" w:pos="9360" w:leader="dot"/>
            </w:tabs>
            <w:ind w:hanging="360" w:start="1080" w:end="0"/>
            <w:rPr>
              <w:szCs w:val="24"/>
            </w:rPr>
          </w:pPr>
          <w:r>
            <w:rPr>
              <w:szCs w:val="24"/>
            </w:rPr>
            <w:t>Section  6.1   Obligation to Repay</w:t>
            <w:tab/>
            <w:t>30</w:t>
          </w:r>
        </w:p>
        <w:p>
          <w:pPr>
            <w:pStyle w:val="Normal"/>
            <w:tabs>
              <w:tab w:val="clear" w:pos="720"/>
              <w:tab w:val="right" w:pos="9360" w:leader="dot"/>
            </w:tabs>
            <w:ind w:hanging="360" w:start="1080" w:end="0"/>
            <w:rPr>
              <w:szCs w:val="24"/>
            </w:rPr>
          </w:pPr>
          <w:r>
            <w:rPr>
              <w:szCs w:val="24"/>
            </w:rPr>
            <w:t>Section  6.2   Date of Repayment</w:t>
            <w:tab/>
            <w:t>30</w:t>
          </w:r>
        </w:p>
        <w:p>
          <w:pPr>
            <w:pStyle w:val="Normal"/>
            <w:tabs>
              <w:tab w:val="clear" w:pos="720"/>
              <w:tab w:val="right" w:pos="9360" w:leader="dot"/>
            </w:tabs>
            <w:ind w:hanging="360" w:start="1080" w:end="0"/>
            <w:rPr>
              <w:szCs w:val="24"/>
            </w:rPr>
          </w:pPr>
          <w:r>
            <w:rPr>
              <w:szCs w:val="24"/>
            </w:rPr>
            <w:t>Section  6.3   Repayment Pursuant to Total Return Swap</w:t>
            <w:tab/>
            <w:t>30</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VII - PREPAYMENT</w:t>
            <w:tab/>
            <w:t>30</w:t>
          </w:r>
        </w:p>
        <w:p>
          <w:pPr>
            <w:pStyle w:val="Normal"/>
            <w:tabs>
              <w:tab w:val="clear" w:pos="720"/>
              <w:tab w:val="right" w:pos="9360" w:leader="dot"/>
            </w:tabs>
            <w:ind w:hanging="360" w:start="1080" w:end="0"/>
            <w:rPr>
              <w:szCs w:val="24"/>
            </w:rPr>
          </w:pPr>
          <w:r>
            <w:rPr>
              <w:szCs w:val="24"/>
            </w:rPr>
            <w:t>Section  7.1   Mandatory Prepayments</w:t>
            <w:tab/>
            <w:t>30</w:t>
          </w:r>
        </w:p>
        <w:p>
          <w:pPr>
            <w:pStyle w:val="Normal"/>
            <w:tabs>
              <w:tab w:val="clear" w:pos="720"/>
              <w:tab w:val="right" w:pos="9360" w:leader="dot"/>
            </w:tabs>
            <w:ind w:hanging="360" w:start="1080" w:end="0"/>
            <w:rPr>
              <w:szCs w:val="24"/>
            </w:rPr>
          </w:pPr>
          <w:r>
            <w:rPr>
              <w:szCs w:val="24"/>
            </w:rPr>
            <w:t>Section  7.2   Optional Prepayments</w:t>
            <w:tab/>
          </w:r>
          <w:r>
            <w:rPr>
              <w:strike/>
              <w:szCs w:val="24"/>
            </w:rPr>
            <w:t>30</w:t>
          </w:r>
          <w:r>
            <w:rPr>
              <w:szCs w:val="24"/>
            </w:rPr>
            <w:t xml:space="preserve"> </w:t>
          </w:r>
          <w:r>
            <w:rPr>
              <w:b/>
              <w:bCs/>
              <w:szCs w:val="24"/>
              <w:u w:val="double"/>
            </w:rPr>
            <w:t>31</w:t>
          </w:r>
        </w:p>
        <w:p>
          <w:pPr>
            <w:pStyle w:val="Normal"/>
            <w:tabs>
              <w:tab w:val="clear" w:pos="720"/>
              <w:tab w:val="right" w:pos="9360" w:leader="dot"/>
            </w:tabs>
            <w:ind w:hanging="360" w:start="1080" w:end="0"/>
            <w:rPr>
              <w:szCs w:val="24"/>
            </w:rPr>
          </w:pPr>
          <w:r>
            <w:rPr>
              <w:szCs w:val="24"/>
            </w:rPr>
            <w:t>Section  7.3   General</w:t>
            <w:tab/>
            <w:t>31</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VIII - INTEREST; INCREASED COSTS; TAXES</w:t>
            <w:tab/>
            <w:t>31</w:t>
          </w:r>
        </w:p>
        <w:p>
          <w:pPr>
            <w:pStyle w:val="Normal"/>
            <w:tabs>
              <w:tab w:val="clear" w:pos="720"/>
              <w:tab w:val="right" w:pos="9360" w:leader="dot"/>
            </w:tabs>
            <w:ind w:hanging="360" w:start="1080" w:end="0"/>
            <w:rPr>
              <w:szCs w:val="24"/>
            </w:rPr>
          </w:pPr>
          <w:r>
            <w:rPr>
              <w:szCs w:val="24"/>
            </w:rPr>
            <w:t>Section  8.1   Interest Rates</w:t>
            <w:tab/>
            <w:t>31</w:t>
          </w:r>
        </w:p>
        <w:p>
          <w:pPr>
            <w:pStyle w:val="Normal"/>
            <w:tabs>
              <w:tab w:val="clear" w:pos="720"/>
              <w:tab w:val="right" w:pos="9360" w:leader="dot"/>
            </w:tabs>
            <w:ind w:hanging="360" w:start="1080" w:end="0"/>
            <w:rPr>
              <w:szCs w:val="24"/>
            </w:rPr>
          </w:pPr>
          <w:r>
            <w:rPr>
              <w:szCs w:val="24"/>
            </w:rPr>
            <w:t xml:space="preserve">Section  8.2   Duration of Interest Periods; Conversion and Continuation of </w:t>
          </w:r>
          <w:r>
            <w:rPr>
              <w:b/>
              <w:bCs/>
              <w:szCs w:val="24"/>
              <w:u w:val="double"/>
            </w:rPr>
            <w:t>Advances</w:t>
            <w:tab/>
            <w:t>32</w:t>
          </w:r>
        </w:p>
        <w:p>
          <w:pPr>
            <w:pStyle w:val="Normal"/>
            <w:tabs>
              <w:tab w:val="clear" w:pos="720"/>
              <w:tab w:val="left" w:pos="1800" w:leader="none"/>
              <w:tab w:val="right" w:pos="9360" w:leader="dot"/>
            </w:tabs>
            <w:ind w:hanging="360" w:start="1080" w:end="0"/>
            <w:rPr/>
          </w:pPr>
          <w:r>
            <w:rPr>
              <w:strike/>
              <w:szCs w:val="24"/>
            </w:rPr>
            <w:t>Advances 32</w:t>
          </w:r>
          <w:r>
            <w:rPr>
              <w:szCs w:val="24"/>
            </w:rPr>
            <w:t>Section  8.3   Interest on Unpaid Sums</w:t>
            <w:tab/>
            <w:t>33</w:t>
          </w:r>
        </w:p>
        <w:p>
          <w:pPr>
            <w:pStyle w:val="Normal"/>
            <w:tabs>
              <w:tab w:val="clear" w:pos="720"/>
              <w:tab w:val="right" w:pos="9360" w:leader="dot"/>
            </w:tabs>
            <w:ind w:hanging="360" w:start="1080" w:end="0"/>
            <w:rPr>
              <w:szCs w:val="24"/>
            </w:rPr>
          </w:pPr>
          <w:r>
            <w:rPr>
              <w:szCs w:val="24"/>
            </w:rPr>
            <w:t>Section  8.4   Additional Interest on LIBOR Advances</w:t>
            <w:tab/>
            <w:t>33</w:t>
          </w:r>
        </w:p>
        <w:p>
          <w:pPr>
            <w:pStyle w:val="Normal"/>
            <w:tabs>
              <w:tab w:val="clear" w:pos="720"/>
              <w:tab w:val="right" w:pos="9360" w:leader="dot"/>
            </w:tabs>
            <w:ind w:hanging="360" w:start="1080" w:end="0"/>
            <w:rPr>
              <w:szCs w:val="24"/>
            </w:rPr>
          </w:pPr>
          <w:r>
            <w:rPr>
              <w:szCs w:val="24"/>
            </w:rPr>
            <w:t>Section  8.5   Interest Rate Determination and Protection</w:t>
            <w:tab/>
            <w:t>34</w:t>
          </w:r>
        </w:p>
        <w:p>
          <w:pPr>
            <w:pStyle w:val="Normal"/>
            <w:tabs>
              <w:tab w:val="clear" w:pos="720"/>
              <w:tab w:val="right" w:pos="9360" w:leader="dot"/>
            </w:tabs>
            <w:ind w:hanging="360" w:start="1080" w:end="0"/>
            <w:rPr>
              <w:szCs w:val="24"/>
            </w:rPr>
          </w:pPr>
          <w:r>
            <w:rPr>
              <w:szCs w:val="24"/>
            </w:rPr>
            <w:t>Section  8.6   Increased Costs; Capital Adequacy, Etc.</w:t>
            <w:tab/>
            <w:t>34</w:t>
          </w:r>
        </w:p>
        <w:p>
          <w:pPr>
            <w:pStyle w:val="Normal"/>
            <w:tabs>
              <w:tab w:val="clear" w:pos="720"/>
              <w:tab w:val="right" w:pos="9360" w:leader="dot"/>
            </w:tabs>
            <w:ind w:hanging="360" w:start="1080" w:end="0"/>
            <w:rPr>
              <w:szCs w:val="24"/>
            </w:rPr>
          </w:pPr>
          <w:r>
            <w:rPr>
              <w:szCs w:val="24"/>
            </w:rPr>
            <w:t>Section  8.7   Illegality</w:t>
            <w:tab/>
          </w:r>
          <w:r>
            <w:rPr>
              <w:strike/>
              <w:szCs w:val="24"/>
            </w:rPr>
            <w:t>35</w:t>
          </w:r>
          <w:r>
            <w:rPr>
              <w:szCs w:val="24"/>
            </w:rPr>
            <w:t xml:space="preserve"> </w:t>
          </w:r>
          <w:r>
            <w:rPr>
              <w:b/>
              <w:bCs/>
              <w:szCs w:val="24"/>
              <w:u w:val="double"/>
            </w:rPr>
            <w:t>36</w:t>
          </w:r>
        </w:p>
        <w:p>
          <w:pPr>
            <w:pStyle w:val="Normal"/>
            <w:tabs>
              <w:tab w:val="clear" w:pos="720"/>
              <w:tab w:val="right" w:pos="9360" w:leader="dot"/>
            </w:tabs>
            <w:ind w:hanging="360" w:start="1080" w:end="0"/>
            <w:rPr>
              <w:szCs w:val="24"/>
            </w:rPr>
          </w:pPr>
          <w:r>
            <w:rPr>
              <w:szCs w:val="24"/>
            </w:rPr>
            <w:t>Section  8.8   Taxes</w:t>
            <w:tab/>
            <w:t>36</w:t>
          </w:r>
        </w:p>
        <w:p>
          <w:pPr>
            <w:pStyle w:val="Normal"/>
            <w:tabs>
              <w:tab w:val="clear" w:pos="720"/>
              <w:tab w:val="right" w:pos="9360" w:leader="dot"/>
            </w:tabs>
            <w:ind w:hanging="360" w:start="1080" w:end="0"/>
            <w:rPr>
              <w:szCs w:val="24"/>
            </w:rPr>
          </w:pPr>
          <w:r>
            <w:rPr>
              <w:szCs w:val="24"/>
            </w:rPr>
            <w:t>Section  8.9   Replacement of Lender</w:t>
            <w:tab/>
          </w:r>
          <w:r>
            <w:rPr>
              <w:strike/>
              <w:szCs w:val="24"/>
            </w:rPr>
            <w:t>37</w:t>
          </w:r>
          <w:r>
            <w:rPr>
              <w:szCs w:val="24"/>
            </w:rPr>
            <w:t xml:space="preserve"> </w:t>
          </w:r>
          <w:r>
            <w:rPr>
              <w:b/>
              <w:bCs/>
              <w:szCs w:val="24"/>
              <w:u w:val="double"/>
            </w:rPr>
            <w:t>38</w:t>
          </w:r>
        </w:p>
        <w:p>
          <w:pPr>
            <w:pStyle w:val="Normal"/>
            <w:tabs>
              <w:tab w:val="left" w:pos="720" w:leader="none"/>
              <w:tab w:val="right" w:pos="9360" w:leader="dot"/>
            </w:tabs>
            <w:rPr>
              <w:szCs w:val="24"/>
            </w:rPr>
          </w:pPr>
          <w:r>
            <w:rPr>
              <w:szCs w:val="24"/>
            </w:rPr>
            <w:tab/>
            <w:t>Section 8.10  Tax Characterization; Construction</w:t>
            <w:tab/>
            <w:t>38</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IX - PAYMENTS</w:t>
            <w:tab/>
          </w:r>
          <w:r>
            <w:rPr>
              <w:strike/>
              <w:szCs w:val="24"/>
            </w:rPr>
            <w:t>38</w:t>
          </w:r>
          <w:r>
            <w:rPr>
              <w:szCs w:val="24"/>
            </w:rPr>
            <w:t xml:space="preserve"> </w:t>
          </w:r>
          <w:r>
            <w:rPr>
              <w:b/>
              <w:bCs/>
              <w:szCs w:val="24"/>
              <w:u w:val="double"/>
            </w:rPr>
            <w:t>39</w:t>
          </w:r>
        </w:p>
        <w:p>
          <w:pPr>
            <w:pStyle w:val="Normal"/>
            <w:tabs>
              <w:tab w:val="clear" w:pos="720"/>
              <w:tab w:val="right" w:pos="9360" w:leader="dot"/>
            </w:tabs>
            <w:ind w:hanging="360" w:start="1080" w:end="0"/>
            <w:rPr>
              <w:szCs w:val="24"/>
            </w:rPr>
          </w:pPr>
          <w:r>
            <w:rPr>
              <w:szCs w:val="24"/>
            </w:rPr>
            <w:t>Section  9.1   Place and Time</w:t>
            <w:tab/>
          </w:r>
          <w:r>
            <w:rPr>
              <w:strike/>
              <w:szCs w:val="24"/>
            </w:rPr>
            <w:t>38</w:t>
          </w:r>
          <w:r>
            <w:rPr>
              <w:szCs w:val="24"/>
            </w:rPr>
            <w:t xml:space="preserve"> </w:t>
          </w:r>
          <w:r>
            <w:rPr>
              <w:b/>
              <w:bCs/>
              <w:szCs w:val="24"/>
              <w:u w:val="double"/>
            </w:rPr>
            <w:t>39</w:t>
          </w:r>
        </w:p>
        <w:p>
          <w:pPr>
            <w:pStyle w:val="Normal"/>
            <w:tabs>
              <w:tab w:val="clear" w:pos="720"/>
              <w:tab w:val="right" w:pos="9360" w:leader="dot"/>
            </w:tabs>
            <w:ind w:hanging="360" w:start="1080" w:end="0"/>
            <w:rPr>
              <w:szCs w:val="24"/>
            </w:rPr>
          </w:pPr>
          <w:r>
            <w:rPr>
              <w:szCs w:val="24"/>
            </w:rPr>
            <w:t>Section  9.2   No Deductions</w:t>
            <w:tab/>
            <w:t>39</w:t>
          </w:r>
        </w:p>
        <w:p>
          <w:pPr>
            <w:pStyle w:val="Normal"/>
            <w:tabs>
              <w:tab w:val="clear" w:pos="720"/>
              <w:tab w:val="right" w:pos="9360" w:leader="dot"/>
            </w:tabs>
            <w:ind w:hanging="360" w:start="1080" w:end="0"/>
            <w:rPr>
              <w:szCs w:val="24"/>
            </w:rPr>
          </w:pPr>
          <w:r>
            <w:rPr>
              <w:szCs w:val="24"/>
            </w:rPr>
            <w:t>Section  9.3   Payments on Business Days</w:t>
            <w:tab/>
          </w:r>
          <w:r>
            <w:rPr>
              <w:strike/>
              <w:szCs w:val="24"/>
            </w:rPr>
            <w:t>39</w:t>
          </w:r>
          <w:r>
            <w:rPr>
              <w:szCs w:val="24"/>
            </w:rPr>
            <w:t xml:space="preserve"> </w:t>
          </w:r>
          <w:r>
            <w:rPr>
              <w:b/>
              <w:bCs/>
              <w:szCs w:val="24"/>
              <w:u w:val="double"/>
            </w:rPr>
            <w:t>40</w:t>
          </w:r>
        </w:p>
        <w:p>
          <w:pPr>
            <w:pStyle w:val="Normal"/>
            <w:tabs>
              <w:tab w:val="clear" w:pos="720"/>
              <w:tab w:val="right" w:pos="9360" w:leader="dot"/>
            </w:tabs>
            <w:ind w:hanging="360" w:start="1080" w:end="0"/>
            <w:rPr>
              <w:szCs w:val="24"/>
            </w:rPr>
          </w:pPr>
          <w:r>
            <w:rPr>
              <w:szCs w:val="24"/>
            </w:rPr>
            <w:t>Section  9.4   Accounts</w:t>
            <w:tab/>
          </w:r>
          <w:r>
            <w:rPr>
              <w:strike/>
              <w:szCs w:val="24"/>
            </w:rPr>
            <w:t>39</w:t>
          </w:r>
          <w:r>
            <w:rPr>
              <w:szCs w:val="24"/>
            </w:rPr>
            <w:t xml:space="preserve"> </w:t>
          </w:r>
          <w:r>
            <w:rPr>
              <w:b/>
              <w:bCs/>
              <w:szCs w:val="24"/>
              <w:u w:val="double"/>
            </w:rPr>
            <w:t>40</w:t>
          </w:r>
        </w:p>
        <w:p>
          <w:pPr>
            <w:pStyle w:val="Normal"/>
            <w:tabs>
              <w:tab w:val="clear" w:pos="720"/>
              <w:tab w:val="right" w:pos="9360" w:leader="dot"/>
            </w:tabs>
            <w:ind w:hanging="360" w:start="1080" w:end="0"/>
            <w:rPr>
              <w:szCs w:val="24"/>
            </w:rPr>
          </w:pPr>
          <w:r>
            <w:rPr>
              <w:szCs w:val="24"/>
            </w:rPr>
            <w:t>Section  9.5   Currency</w:t>
            <w:tab/>
            <w:t>40</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pPr>
          <w:r>
            <w:rPr>
              <w:szCs w:val="24"/>
            </w:rPr>
            <w:t xml:space="preserve">ARTICLE X - </w:t>
          </w:r>
          <w:r>
            <w:rPr>
              <w:szCs w:val="24"/>
              <w:u w:val="single"/>
            </w:rPr>
            <w:t>CERTIFICATES CONCLUSIVE</w:t>
          </w:r>
          <w:r>
            <w:rPr>
              <w:szCs w:val="24"/>
            </w:rPr>
            <w:tab/>
            <w:t>40</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XI - REPRESENTATIONS AND WARRANTIES</w:t>
            <w:tab/>
            <w:t>40</w:t>
          </w:r>
        </w:p>
        <w:p>
          <w:pPr>
            <w:pStyle w:val="Normal"/>
            <w:tabs>
              <w:tab w:val="clear" w:pos="720"/>
              <w:tab w:val="right" w:pos="9360" w:leader="dot"/>
            </w:tabs>
            <w:ind w:hanging="360" w:start="1080" w:end="0"/>
            <w:rPr>
              <w:szCs w:val="24"/>
            </w:rPr>
          </w:pPr>
          <w:r>
            <w:rPr>
              <w:szCs w:val="24"/>
            </w:rPr>
            <w:t>Section  11.1   Reliance and Effective Time</w:t>
            <w:tab/>
            <w:t>40</w:t>
          </w:r>
        </w:p>
        <w:p>
          <w:pPr>
            <w:pStyle w:val="Normal"/>
            <w:tabs>
              <w:tab w:val="clear" w:pos="720"/>
              <w:tab w:val="right" w:pos="9360" w:leader="dot"/>
            </w:tabs>
            <w:ind w:hanging="360" w:start="1080" w:end="0"/>
            <w:rPr>
              <w:szCs w:val="24"/>
            </w:rPr>
          </w:pPr>
          <w:r>
            <w:rPr>
              <w:szCs w:val="24"/>
            </w:rPr>
            <w:t>Section  11.2   Organization</w:t>
            <w:tab/>
          </w:r>
          <w:r>
            <w:rPr>
              <w:strike/>
              <w:szCs w:val="24"/>
            </w:rPr>
            <w:t>40</w:t>
          </w:r>
          <w:r>
            <w:rPr>
              <w:szCs w:val="24"/>
            </w:rPr>
            <w:t xml:space="preserve"> </w:t>
          </w:r>
          <w:r>
            <w:rPr>
              <w:b/>
              <w:bCs/>
              <w:szCs w:val="24"/>
              <w:u w:val="double"/>
            </w:rPr>
            <w:t>41</w:t>
          </w:r>
        </w:p>
        <w:p>
          <w:pPr>
            <w:pStyle w:val="Normal"/>
            <w:tabs>
              <w:tab w:val="clear" w:pos="720"/>
              <w:tab w:val="right" w:pos="9360" w:leader="dot"/>
            </w:tabs>
            <w:ind w:hanging="360" w:start="1080" w:end="0"/>
            <w:rPr>
              <w:szCs w:val="24"/>
            </w:rPr>
          </w:pPr>
          <w:r>
            <w:rPr>
              <w:szCs w:val="24"/>
            </w:rPr>
            <w:t>Section  11.3   Power and Authority</w:t>
            <w:tab/>
            <w:t>41</w:t>
          </w:r>
        </w:p>
        <w:p>
          <w:pPr>
            <w:pStyle w:val="Normal"/>
            <w:tabs>
              <w:tab w:val="clear" w:pos="720"/>
              <w:tab w:val="right" w:pos="9360" w:leader="dot"/>
            </w:tabs>
            <w:ind w:hanging="360" w:start="1080" w:end="0"/>
            <w:rPr>
              <w:szCs w:val="24"/>
            </w:rPr>
          </w:pPr>
          <w:r>
            <w:rPr>
              <w:szCs w:val="24"/>
            </w:rPr>
            <w:t>Section  11.4   No Contravention</w:t>
            <w:tab/>
            <w:t>41</w:t>
          </w:r>
        </w:p>
        <w:p>
          <w:pPr>
            <w:pStyle w:val="Normal"/>
            <w:tabs>
              <w:tab w:val="clear" w:pos="720"/>
              <w:tab w:val="right" w:pos="9360" w:leader="dot"/>
            </w:tabs>
            <w:ind w:hanging="360" w:start="1080" w:end="0"/>
            <w:rPr>
              <w:szCs w:val="24"/>
            </w:rPr>
          </w:pPr>
          <w:r>
            <w:rPr>
              <w:szCs w:val="24"/>
            </w:rPr>
            <w:t>Section  11.5   Authorizations and Consents</w:t>
            <w:tab/>
          </w:r>
          <w:r>
            <w:rPr>
              <w:strike/>
              <w:szCs w:val="24"/>
            </w:rPr>
            <w:t>41</w:t>
          </w:r>
          <w:r>
            <w:rPr>
              <w:szCs w:val="24"/>
            </w:rPr>
            <w:t xml:space="preserve"> </w:t>
          </w:r>
          <w:r>
            <w:rPr>
              <w:b/>
              <w:bCs/>
              <w:szCs w:val="24"/>
              <w:u w:val="double"/>
            </w:rPr>
            <w:t>42</w:t>
          </w:r>
        </w:p>
        <w:p>
          <w:pPr>
            <w:pStyle w:val="Normal"/>
            <w:tabs>
              <w:tab w:val="clear" w:pos="720"/>
              <w:tab w:val="right" w:pos="9360" w:leader="dot"/>
            </w:tabs>
            <w:ind w:hanging="360" w:start="1080" w:end="0"/>
            <w:rPr>
              <w:szCs w:val="24"/>
            </w:rPr>
          </w:pPr>
          <w:r>
            <w:rPr>
              <w:szCs w:val="24"/>
            </w:rPr>
            <w:t>Section  11.6   Enforceability; Ranking</w:t>
            <w:tab/>
          </w:r>
          <w:r>
            <w:rPr>
              <w:strike/>
              <w:szCs w:val="24"/>
            </w:rPr>
            <w:t>41</w:t>
          </w:r>
          <w:r>
            <w:rPr>
              <w:szCs w:val="24"/>
            </w:rPr>
            <w:t xml:space="preserve"> </w:t>
          </w:r>
          <w:r>
            <w:rPr>
              <w:b/>
              <w:bCs/>
              <w:szCs w:val="24"/>
              <w:u w:val="double"/>
            </w:rPr>
            <w:t>42</w:t>
          </w:r>
        </w:p>
        <w:p>
          <w:pPr>
            <w:pStyle w:val="Normal"/>
            <w:tabs>
              <w:tab w:val="clear" w:pos="720"/>
              <w:tab w:val="right" w:pos="9360" w:leader="dot"/>
            </w:tabs>
            <w:ind w:hanging="360" w:start="1080" w:end="0"/>
            <w:rPr>
              <w:szCs w:val="24"/>
            </w:rPr>
          </w:pPr>
          <w:r>
            <w:rPr>
              <w:szCs w:val="24"/>
            </w:rPr>
            <w:t>Section  11.7   Litigation</w:t>
            <w:tab/>
            <w:t>42</w:t>
          </w:r>
        </w:p>
        <w:p>
          <w:pPr>
            <w:pStyle w:val="Normal"/>
            <w:tabs>
              <w:tab w:val="clear" w:pos="720"/>
              <w:tab w:val="right" w:pos="9360" w:leader="dot"/>
            </w:tabs>
            <w:ind w:hanging="360" w:start="1080" w:end="0"/>
            <w:rPr>
              <w:szCs w:val="24"/>
            </w:rPr>
          </w:pPr>
          <w:r>
            <w:rPr>
              <w:szCs w:val="24"/>
            </w:rPr>
            <w:t>Section  11.8   No Material Adverse Effect</w:t>
            <w:tab/>
            <w:t>42</w:t>
          </w:r>
        </w:p>
        <w:p>
          <w:pPr>
            <w:pStyle w:val="Normal"/>
            <w:tabs>
              <w:tab w:val="clear" w:pos="720"/>
              <w:tab w:val="right" w:pos="9360" w:leader="dot"/>
            </w:tabs>
            <w:ind w:hanging="360" w:start="1080" w:end="0"/>
            <w:rPr>
              <w:szCs w:val="24"/>
            </w:rPr>
          </w:pPr>
          <w:r>
            <w:rPr>
              <w:szCs w:val="24"/>
            </w:rPr>
            <w:t>Section  11.9   Liens</w:t>
            <w:tab/>
            <w:t>42</w:t>
          </w:r>
        </w:p>
        <w:p>
          <w:pPr>
            <w:pStyle w:val="Normal"/>
            <w:tabs>
              <w:tab w:val="clear" w:pos="720"/>
              <w:tab w:val="right" w:pos="9360" w:leader="dot"/>
            </w:tabs>
            <w:ind w:hanging="360" w:start="1080" w:end="0"/>
            <w:rPr>
              <w:szCs w:val="24"/>
            </w:rPr>
          </w:pPr>
          <w:r>
            <w:rPr>
              <w:szCs w:val="24"/>
            </w:rPr>
            <w:t>Section  11.10   No Defaults</w:t>
            <w:tab/>
            <w:t>42</w:t>
          </w:r>
        </w:p>
        <w:p>
          <w:pPr>
            <w:pStyle w:val="Normal"/>
            <w:tabs>
              <w:tab w:val="clear" w:pos="720"/>
              <w:tab w:val="right" w:pos="9360" w:leader="dot"/>
            </w:tabs>
            <w:ind w:hanging="360" w:start="1080" w:end="0"/>
            <w:rPr>
              <w:szCs w:val="24"/>
            </w:rPr>
          </w:pPr>
          <w:r>
            <w:rPr>
              <w:szCs w:val="24"/>
            </w:rPr>
            <w:t>Section  11.11   Compliance with Laws</w:t>
            <w:tab/>
            <w:t>42</w:t>
          </w:r>
        </w:p>
        <w:p>
          <w:pPr>
            <w:pStyle w:val="Normal"/>
            <w:tabs>
              <w:tab w:val="clear" w:pos="720"/>
              <w:tab w:val="right" w:pos="9360" w:leader="dot"/>
            </w:tabs>
            <w:ind w:hanging="360" w:start="1080" w:end="0"/>
            <w:rPr>
              <w:szCs w:val="24"/>
            </w:rPr>
          </w:pPr>
          <w:r>
            <w:rPr>
              <w:szCs w:val="24"/>
            </w:rPr>
            <w:t>Section  11.12   Business:  Ownership of Assets for Business Operations</w:t>
            <w:tab/>
          </w:r>
          <w:r>
            <w:rPr>
              <w:strike/>
              <w:szCs w:val="24"/>
            </w:rPr>
            <w:t>42</w:t>
          </w:r>
          <w:r>
            <w:rPr>
              <w:szCs w:val="24"/>
            </w:rPr>
            <w:t xml:space="preserve"> </w:t>
          </w:r>
          <w:r>
            <w:rPr>
              <w:b/>
              <w:bCs/>
              <w:szCs w:val="24"/>
              <w:u w:val="double"/>
            </w:rPr>
            <w:t>43</w:t>
          </w:r>
        </w:p>
        <w:p>
          <w:pPr>
            <w:pStyle w:val="Normal"/>
            <w:tabs>
              <w:tab w:val="clear" w:pos="720"/>
              <w:tab w:val="right" w:pos="9360" w:leader="dot"/>
            </w:tabs>
            <w:ind w:hanging="360" w:start="1080" w:end="0"/>
            <w:rPr>
              <w:szCs w:val="24"/>
            </w:rPr>
          </w:pPr>
          <w:r>
            <w:rPr>
              <w:szCs w:val="24"/>
            </w:rPr>
            <w:t>Section  11.13   Tax Liabilities</w:t>
            <w:tab/>
            <w:t>43</w:t>
          </w:r>
        </w:p>
        <w:p>
          <w:pPr>
            <w:pStyle w:val="Normal"/>
            <w:tabs>
              <w:tab w:val="clear" w:pos="720"/>
              <w:tab w:val="right" w:pos="9360" w:leader="dot"/>
            </w:tabs>
            <w:ind w:hanging="360" w:start="1080" w:end="0"/>
            <w:rPr>
              <w:szCs w:val="24"/>
            </w:rPr>
          </w:pPr>
          <w:r>
            <w:rPr>
              <w:szCs w:val="24"/>
            </w:rPr>
            <w:t>Section  11.14   Solvency</w:t>
            <w:tab/>
            <w:t>43</w:t>
          </w:r>
        </w:p>
        <w:p>
          <w:pPr>
            <w:pStyle w:val="Normal"/>
            <w:tabs>
              <w:tab w:val="clear" w:pos="720"/>
              <w:tab w:val="right" w:pos="9360" w:leader="dot"/>
            </w:tabs>
            <w:ind w:hanging="360" w:start="1080" w:end="0"/>
            <w:rPr>
              <w:szCs w:val="24"/>
            </w:rPr>
          </w:pPr>
          <w:r>
            <w:rPr>
              <w:szCs w:val="24"/>
            </w:rPr>
            <w:t>Section  11.15   Indebtedness</w:t>
            <w:tab/>
            <w:t>43</w:t>
          </w:r>
        </w:p>
        <w:p>
          <w:pPr>
            <w:pStyle w:val="Normal"/>
            <w:tabs>
              <w:tab w:val="clear" w:pos="720"/>
              <w:tab w:val="right" w:pos="9360" w:leader="dot"/>
            </w:tabs>
            <w:ind w:hanging="360" w:start="1080" w:end="0"/>
            <w:rPr>
              <w:szCs w:val="24"/>
            </w:rPr>
          </w:pPr>
          <w:r>
            <w:rPr>
              <w:szCs w:val="24"/>
            </w:rPr>
            <w:t>Section  11.16   Margin Stock</w:t>
            <w:tab/>
            <w:t>43</w:t>
          </w:r>
        </w:p>
        <w:p>
          <w:pPr>
            <w:pStyle w:val="Normal"/>
            <w:tabs>
              <w:tab w:val="clear" w:pos="720"/>
              <w:tab w:val="right" w:pos="9360" w:leader="dot"/>
            </w:tabs>
            <w:ind w:hanging="360" w:start="1080" w:end="0"/>
            <w:rPr>
              <w:szCs w:val="24"/>
            </w:rPr>
          </w:pPr>
          <w:r>
            <w:rPr>
              <w:szCs w:val="24"/>
            </w:rPr>
            <w:t>Section  11.17   Investment Company Act and PUHCA</w:t>
            <w:tab/>
            <w:t>43</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XII - COVENANTS</w:t>
            <w:tab/>
          </w:r>
          <w:r>
            <w:rPr>
              <w:strike/>
              <w:szCs w:val="24"/>
            </w:rPr>
            <w:t>43</w:t>
          </w:r>
          <w:r>
            <w:rPr>
              <w:szCs w:val="24"/>
            </w:rPr>
            <w:t xml:space="preserve"> </w:t>
          </w:r>
          <w:r>
            <w:rPr>
              <w:b/>
              <w:bCs/>
              <w:szCs w:val="24"/>
              <w:u w:val="double"/>
            </w:rPr>
            <w:t>44</w:t>
          </w:r>
        </w:p>
        <w:p>
          <w:pPr>
            <w:pStyle w:val="Normal"/>
            <w:tabs>
              <w:tab w:val="clear" w:pos="720"/>
              <w:tab w:val="right" w:pos="9360" w:leader="dot"/>
            </w:tabs>
            <w:ind w:hanging="360" w:start="1080" w:end="0"/>
            <w:rPr>
              <w:szCs w:val="24"/>
            </w:rPr>
          </w:pPr>
          <w:r>
            <w:rPr>
              <w:szCs w:val="24"/>
            </w:rPr>
            <w:t>Section  12.1   Duration</w:t>
            <w:tab/>
          </w:r>
          <w:r>
            <w:rPr>
              <w:strike/>
              <w:szCs w:val="24"/>
            </w:rPr>
            <w:t>43</w:t>
          </w:r>
          <w:r>
            <w:rPr>
              <w:szCs w:val="24"/>
            </w:rPr>
            <w:t xml:space="preserve"> </w:t>
          </w:r>
          <w:r>
            <w:rPr>
              <w:b/>
              <w:bCs/>
              <w:szCs w:val="24"/>
              <w:u w:val="double"/>
            </w:rPr>
            <w:t>44</w:t>
          </w:r>
        </w:p>
        <w:p>
          <w:pPr>
            <w:pStyle w:val="Normal"/>
            <w:tabs>
              <w:tab w:val="clear" w:pos="720"/>
              <w:tab w:val="right" w:pos="9360" w:leader="dot"/>
            </w:tabs>
            <w:ind w:hanging="360" w:start="1080" w:end="0"/>
            <w:rPr>
              <w:szCs w:val="24"/>
            </w:rPr>
          </w:pPr>
          <w:r>
            <w:rPr>
              <w:szCs w:val="24"/>
            </w:rPr>
            <w:t>Section  12.2   General Covenants</w:t>
            <w:tab/>
            <w:t>44</w:t>
          </w:r>
        </w:p>
        <w:p>
          <w:pPr>
            <w:pStyle w:val="Normal"/>
            <w:tabs>
              <w:tab w:val="clear" w:pos="720"/>
              <w:tab w:val="right" w:pos="9360" w:leader="dot"/>
            </w:tabs>
            <w:ind w:hanging="360" w:start="1080" w:end="0"/>
            <w:rPr>
              <w:szCs w:val="24"/>
            </w:rPr>
          </w:pPr>
          <w:r>
            <w:rPr>
              <w:szCs w:val="24"/>
            </w:rPr>
            <w:t>Section  12.3   Information Covenants</w:t>
            <w:tab/>
            <w:t>46</w:t>
          </w:r>
        </w:p>
        <w:p>
          <w:pPr>
            <w:pStyle w:val="Normal"/>
            <w:tabs>
              <w:tab w:val="clear" w:pos="720"/>
              <w:tab w:val="right" w:pos="9360" w:leader="dot"/>
            </w:tabs>
            <w:ind w:hanging="360" w:start="1080" w:end="0"/>
            <w:rPr>
              <w:szCs w:val="24"/>
            </w:rPr>
          </w:pPr>
          <w:r>
            <w:rPr>
              <w:szCs w:val="24"/>
            </w:rPr>
            <w:t>Section  12.4   Separateness</w:t>
            <w:tab/>
            <w:t>46</w:t>
          </w:r>
        </w:p>
        <w:p>
          <w:pPr>
            <w:pStyle w:val="Normal"/>
            <w:tabs>
              <w:tab w:val="clear" w:pos="720"/>
              <w:tab w:val="right" w:pos="9360" w:leader="dot"/>
            </w:tabs>
            <w:ind w:hanging="360" w:start="1080" w:end="0"/>
            <w:rPr>
              <w:szCs w:val="24"/>
            </w:rPr>
          </w:pPr>
          <w:r>
            <w:rPr>
              <w:szCs w:val="24"/>
            </w:rPr>
            <w:t>Section  12.5   Exercise of Put Options; Demand Note</w:t>
            <w:tab/>
            <w:t>47</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XIII - EVENTS OF DEFAULT</w:t>
            <w:tab/>
            <w:t>47</w:t>
          </w:r>
        </w:p>
        <w:p>
          <w:pPr>
            <w:pStyle w:val="Normal"/>
            <w:tabs>
              <w:tab w:val="clear" w:pos="720"/>
              <w:tab w:val="right" w:pos="9360" w:leader="dot"/>
            </w:tabs>
            <w:ind w:hanging="360" w:start="1080" w:end="0"/>
            <w:rPr>
              <w:szCs w:val="24"/>
            </w:rPr>
          </w:pPr>
          <w:r>
            <w:rPr>
              <w:szCs w:val="24"/>
            </w:rPr>
            <w:t>Section  13.1   List of Events</w:t>
            <w:tab/>
            <w:t>47</w:t>
          </w:r>
        </w:p>
        <w:p>
          <w:pPr>
            <w:pStyle w:val="Normal"/>
            <w:tabs>
              <w:tab w:val="clear" w:pos="720"/>
              <w:tab w:val="left" w:pos="1800" w:leader="none"/>
              <w:tab w:val="right" w:pos="9360" w:leader="dot"/>
            </w:tabs>
            <w:ind w:hanging="360" w:start="1080" w:end="0"/>
            <w:rPr>
              <w:szCs w:val="24"/>
            </w:rPr>
          </w:pPr>
          <w:r>
            <w:rPr>
              <w:szCs w:val="24"/>
            </w:rPr>
            <w:t>Section  13.2   Cancellation and Repayment</w:t>
            <w:tab/>
            <w:t>49</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XIV - THE AGENT AND THE OTHER FINANCE PARTIES</w:t>
            <w:tab/>
            <w:t>49</w:t>
          </w:r>
        </w:p>
        <w:p>
          <w:pPr>
            <w:pStyle w:val="Normal"/>
            <w:tabs>
              <w:tab w:val="clear" w:pos="720"/>
              <w:tab w:val="right" w:pos="9360" w:leader="dot"/>
            </w:tabs>
            <w:ind w:hanging="360" w:start="1080" w:end="0"/>
            <w:rPr>
              <w:szCs w:val="24"/>
            </w:rPr>
          </w:pPr>
          <w:r>
            <w:rPr>
              <w:szCs w:val="24"/>
            </w:rPr>
            <w:t>Section  14.1   Appointment and Duties of the Agent</w:t>
            <w:tab/>
            <w:t>49</w:t>
          </w:r>
        </w:p>
        <w:p>
          <w:pPr>
            <w:pStyle w:val="Normal"/>
            <w:tabs>
              <w:tab w:val="clear" w:pos="720"/>
              <w:tab w:val="right" w:pos="9360" w:leader="dot"/>
            </w:tabs>
            <w:ind w:hanging="360" w:start="1080" w:end="0"/>
            <w:rPr>
              <w:szCs w:val="24"/>
            </w:rPr>
          </w:pPr>
          <w:r>
            <w:rPr>
              <w:szCs w:val="24"/>
            </w:rPr>
            <w:t>Section  14.2   Agent’s Duties</w:t>
            <w:tab/>
            <w:t>50</w:t>
          </w:r>
        </w:p>
        <w:p>
          <w:pPr>
            <w:pStyle w:val="Normal"/>
            <w:tabs>
              <w:tab w:val="clear" w:pos="720"/>
              <w:tab w:val="right" w:pos="9360" w:leader="dot"/>
            </w:tabs>
            <w:ind w:hanging="360" w:start="1080" w:end="0"/>
            <w:rPr>
              <w:szCs w:val="24"/>
            </w:rPr>
          </w:pPr>
          <w:r>
            <w:rPr>
              <w:szCs w:val="24"/>
            </w:rPr>
            <w:t>Section  14.3   Agent’s Rights</w:t>
            <w:tab/>
            <w:t>50</w:t>
          </w:r>
        </w:p>
        <w:p>
          <w:pPr>
            <w:pStyle w:val="Normal"/>
            <w:tabs>
              <w:tab w:val="clear" w:pos="720"/>
              <w:tab w:val="left" w:pos="18720" w:leader="none"/>
            </w:tabs>
            <w:ind w:hanging="360" w:start="1080" w:end="0"/>
            <w:rPr>
              <w:szCs w:val="24"/>
            </w:rPr>
          </w:pPr>
          <w:r>
            <w:rPr>
              <w:szCs w:val="24"/>
            </w:rPr>
            <w:t xml:space="preserve">Section  14.4   Exoneration of Agent, Syndication Agent, Documentation Agent, </w:t>
          </w:r>
        </w:p>
        <w:p>
          <w:pPr>
            <w:pStyle w:val="Normal"/>
            <w:tabs>
              <w:tab w:val="clear" w:pos="720"/>
              <w:tab w:val="right" w:pos="9360" w:leader="dot"/>
            </w:tabs>
            <w:ind w:hanging="360" w:start="1080" w:end="0"/>
            <w:rPr>
              <w:szCs w:val="24"/>
            </w:rPr>
          </w:pPr>
          <w:r>
            <w:rPr>
              <w:szCs w:val="24"/>
            </w:rPr>
            <w:t>Arranger and Co-Arrangers</w:t>
            <w:tab/>
            <w:t>51</w:t>
          </w:r>
        </w:p>
        <w:p>
          <w:pPr>
            <w:pStyle w:val="Normal"/>
            <w:tabs>
              <w:tab w:val="clear" w:pos="720"/>
              <w:tab w:val="left" w:pos="18720" w:leader="none"/>
            </w:tabs>
            <w:ind w:hanging="360" w:start="1080" w:end="0"/>
            <w:rPr>
              <w:szCs w:val="24"/>
            </w:rPr>
          </w:pPr>
          <w:r>
            <w:rPr>
              <w:szCs w:val="24"/>
            </w:rPr>
            <w:t xml:space="preserve">Section  14.5   The Agent, the Co-Arrangers, the Syndication Agent, the Arranger </w:t>
          </w:r>
        </w:p>
        <w:p>
          <w:pPr>
            <w:pStyle w:val="Normal"/>
            <w:tabs>
              <w:tab w:val="clear" w:pos="720"/>
              <w:tab w:val="right" w:pos="9360" w:leader="dot"/>
            </w:tabs>
            <w:ind w:hanging="360" w:start="1080" w:end="0"/>
            <w:rPr>
              <w:szCs w:val="24"/>
            </w:rPr>
          </w:pPr>
          <w:r>
            <w:rPr>
              <w:szCs w:val="24"/>
            </w:rPr>
            <w:t>and the Documentation Agent Individually</w:t>
            <w:tab/>
            <w:t>52</w:t>
          </w:r>
        </w:p>
        <w:p>
          <w:pPr>
            <w:pStyle w:val="Normal"/>
            <w:tabs>
              <w:tab w:val="clear" w:pos="720"/>
              <w:tab w:val="right" w:pos="9360" w:leader="dot"/>
            </w:tabs>
            <w:ind w:hanging="360" w:start="1080" w:end="0"/>
            <w:rPr>
              <w:szCs w:val="24"/>
            </w:rPr>
          </w:pPr>
          <w:r>
            <w:rPr>
              <w:szCs w:val="24"/>
            </w:rPr>
            <w:t>Section  14.6   Communications and Information</w:t>
            <w:tab/>
            <w:t>52</w:t>
          </w:r>
        </w:p>
        <w:p>
          <w:pPr>
            <w:pStyle w:val="Normal"/>
            <w:tabs>
              <w:tab w:val="clear" w:pos="720"/>
              <w:tab w:val="left" w:pos="18720" w:leader="none"/>
            </w:tabs>
            <w:ind w:hanging="360" w:start="1080" w:end="0"/>
            <w:rPr>
              <w:szCs w:val="24"/>
            </w:rPr>
          </w:pPr>
          <w:r>
            <w:rPr>
              <w:szCs w:val="24"/>
            </w:rPr>
            <w:t xml:space="preserve">Section  14.7   Non-Reliance on Agent, Co-Arrangers, Syndication Agent, Arranger </w:t>
          </w:r>
        </w:p>
        <w:p>
          <w:pPr>
            <w:pStyle w:val="Normal"/>
            <w:tabs>
              <w:tab w:val="clear" w:pos="720"/>
              <w:tab w:val="right" w:pos="9360" w:leader="dot"/>
            </w:tabs>
            <w:ind w:hanging="360" w:start="1080" w:end="0"/>
            <w:rPr>
              <w:szCs w:val="24"/>
            </w:rPr>
          </w:pPr>
          <w:r>
            <w:rPr>
              <w:szCs w:val="24"/>
            </w:rPr>
            <w:t>or Documentation Agent</w:t>
            <w:tab/>
            <w:t>53</w:t>
          </w:r>
        </w:p>
        <w:p>
          <w:pPr>
            <w:pStyle w:val="Normal"/>
            <w:tabs>
              <w:tab w:val="clear" w:pos="720"/>
              <w:tab w:val="left" w:pos="18720" w:leader="none"/>
            </w:tabs>
            <w:ind w:hanging="360" w:start="1080" w:end="0"/>
            <w:rPr>
              <w:szCs w:val="24"/>
            </w:rPr>
          </w:pPr>
          <w:r>
            <w:rPr>
              <w:szCs w:val="24"/>
            </w:rPr>
            <w:t xml:space="preserve">Section  14.8   Indemnity to Agent, Syndication Agent, Arranger, Co-Arrangers </w:t>
          </w:r>
        </w:p>
        <w:p>
          <w:pPr>
            <w:pStyle w:val="Normal"/>
            <w:tabs>
              <w:tab w:val="clear" w:pos="720"/>
              <w:tab w:val="right" w:pos="9360" w:leader="dot"/>
            </w:tabs>
            <w:ind w:hanging="360" w:start="1080" w:end="0"/>
            <w:rPr>
              <w:szCs w:val="24"/>
            </w:rPr>
          </w:pPr>
          <w:r>
            <w:rPr>
              <w:szCs w:val="24"/>
            </w:rPr>
            <w:t>and Documentation Agent</w:t>
            <w:tab/>
            <w:t>53</w:t>
          </w:r>
        </w:p>
        <w:p>
          <w:pPr>
            <w:pStyle w:val="Normal"/>
            <w:tabs>
              <w:tab w:val="clear" w:pos="720"/>
              <w:tab w:val="right" w:pos="9360" w:leader="dot"/>
            </w:tabs>
            <w:ind w:hanging="360" w:start="1080" w:end="0"/>
            <w:rPr>
              <w:szCs w:val="24"/>
            </w:rPr>
          </w:pPr>
          <w:r>
            <w:rPr>
              <w:szCs w:val="24"/>
            </w:rPr>
            <w:t>Section  14.9   Termination and Resignation of Agency; Appointment of Successor</w:t>
            <w:tab/>
            <w:t>54</w:t>
          </w:r>
        </w:p>
        <w:p>
          <w:pPr>
            <w:pStyle w:val="Normal"/>
            <w:tabs>
              <w:tab w:val="clear" w:pos="720"/>
              <w:tab w:val="right" w:pos="9360" w:leader="dot"/>
            </w:tabs>
            <w:ind w:hanging="360" w:start="1080" w:end="0"/>
            <w:rPr>
              <w:szCs w:val="24"/>
            </w:rPr>
          </w:pPr>
          <w:r>
            <w:rPr>
              <w:szCs w:val="24"/>
            </w:rPr>
            <w:t>Section  14.10  Payments to Finance Parties</w:t>
            <w:tab/>
            <w:t>55</w:t>
          </w:r>
        </w:p>
        <w:p>
          <w:pPr>
            <w:pStyle w:val="Normal"/>
            <w:tabs>
              <w:tab w:val="clear" w:pos="720"/>
              <w:tab w:val="right" w:pos="9360" w:leader="dot"/>
            </w:tabs>
            <w:ind w:hanging="360" w:start="1080" w:end="0"/>
            <w:rPr>
              <w:szCs w:val="24"/>
            </w:rPr>
          </w:pPr>
          <w:r>
            <w:rPr>
              <w:szCs w:val="24"/>
            </w:rPr>
            <w:t>Section  14.11  Change of Office of Agent or Arranger</w:t>
            <w:tab/>
            <w:t>55</w:t>
          </w:r>
        </w:p>
        <w:p>
          <w:pPr>
            <w:pStyle w:val="Normal"/>
            <w:tabs>
              <w:tab w:val="clear" w:pos="720"/>
              <w:tab w:val="left" w:pos="18720" w:leader="none"/>
            </w:tabs>
            <w:ind w:hanging="360" w:start="1080" w:end="0"/>
            <w:rPr>
              <w:szCs w:val="24"/>
            </w:rPr>
          </w:pPr>
          <w:r>
            <w:rPr>
              <w:szCs w:val="24"/>
            </w:rPr>
            <w:t>Section  14.12   The Co-Arrangers, Syndication Agent, Arranger and Documentation</w:t>
          </w:r>
        </w:p>
        <w:p>
          <w:pPr>
            <w:pStyle w:val="Normal"/>
            <w:tabs>
              <w:tab w:val="clear" w:pos="720"/>
              <w:tab w:val="right" w:pos="9360" w:leader="dot"/>
            </w:tabs>
            <w:ind w:hanging="360" w:start="1080" w:end="0"/>
            <w:rPr>
              <w:szCs w:val="24"/>
            </w:rPr>
          </w:pPr>
          <w:r>
            <w:rPr>
              <w:szCs w:val="24"/>
            </w:rPr>
            <w:t xml:space="preserve"> </w:t>
          </w:r>
          <w:r>
            <w:rPr>
              <w:szCs w:val="24"/>
            </w:rPr>
            <w:t>Agent</w:t>
            <w:tab/>
            <w:t>55</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XV - EVIDENCE OF INDEBTEDNESS</w:t>
            <w:tab/>
            <w:t>55</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XVI - APPLICATION OF MONEYS</w:t>
            <w:tab/>
          </w:r>
          <w:r>
            <w:rPr>
              <w:strike/>
              <w:szCs w:val="24"/>
            </w:rPr>
            <w:t>55</w:t>
          </w:r>
          <w:r>
            <w:rPr>
              <w:szCs w:val="24"/>
            </w:rPr>
            <w:t xml:space="preserve"> </w:t>
          </w:r>
          <w:r>
            <w:rPr>
              <w:b/>
              <w:bCs/>
              <w:szCs w:val="24"/>
              <w:u w:val="double"/>
            </w:rPr>
            <w:t>56</w:t>
          </w:r>
        </w:p>
        <w:p>
          <w:pPr>
            <w:pStyle w:val="Normal"/>
            <w:tabs>
              <w:tab w:val="clear" w:pos="720"/>
              <w:tab w:val="right" w:pos="9360" w:leader="dot"/>
            </w:tabs>
            <w:ind w:hanging="360" w:start="1080" w:end="0"/>
            <w:rPr>
              <w:szCs w:val="24"/>
            </w:rPr>
          </w:pPr>
          <w:r>
            <w:rPr>
              <w:szCs w:val="24"/>
            </w:rPr>
            <w:t>Section  16.1   Priority of Payments</w:t>
            <w:tab/>
          </w:r>
          <w:r>
            <w:rPr>
              <w:strike/>
              <w:szCs w:val="24"/>
            </w:rPr>
            <w:t>55</w:t>
          </w:r>
          <w:r>
            <w:rPr>
              <w:szCs w:val="24"/>
            </w:rPr>
            <w:t xml:space="preserve"> </w:t>
          </w:r>
          <w:r>
            <w:rPr>
              <w:b/>
              <w:bCs/>
              <w:szCs w:val="24"/>
              <w:u w:val="double"/>
            </w:rPr>
            <w:t>56</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XVII - PRO RATA PAYMENTS</w:t>
            <w:tab/>
            <w:t>56</w:t>
          </w:r>
        </w:p>
        <w:p>
          <w:pPr>
            <w:pStyle w:val="Normal"/>
            <w:tabs>
              <w:tab w:val="clear" w:pos="720"/>
              <w:tab w:val="right" w:pos="9360" w:leader="dot"/>
            </w:tabs>
            <w:ind w:hanging="360" w:start="1080" w:end="0"/>
            <w:rPr>
              <w:szCs w:val="24"/>
            </w:rPr>
          </w:pPr>
          <w:r>
            <w:rPr>
              <w:szCs w:val="24"/>
            </w:rPr>
            <w:t>Section  17.1   Recoveries by Lenders</w:t>
            <w:tab/>
            <w:t>56</w:t>
          </w:r>
        </w:p>
        <w:p>
          <w:pPr>
            <w:pStyle w:val="Normal"/>
            <w:tabs>
              <w:tab w:val="clear" w:pos="720"/>
              <w:tab w:val="right" w:pos="9360" w:leader="dot"/>
            </w:tabs>
            <w:ind w:hanging="360" w:start="1080" w:end="0"/>
            <w:rPr>
              <w:szCs w:val="24"/>
            </w:rPr>
          </w:pPr>
          <w:r>
            <w:rPr>
              <w:szCs w:val="24"/>
            </w:rPr>
            <w:t>Section  17.2   Notification to Agent of Recoveries to Lender</w:t>
            <w:tab/>
          </w:r>
          <w:r>
            <w:rPr>
              <w:strike/>
              <w:szCs w:val="24"/>
            </w:rPr>
            <w:t>56</w:t>
          </w:r>
          <w:r>
            <w:rPr>
              <w:szCs w:val="24"/>
            </w:rPr>
            <w:t xml:space="preserve"> </w:t>
          </w:r>
          <w:r>
            <w:rPr>
              <w:b/>
              <w:bCs/>
              <w:szCs w:val="24"/>
              <w:u w:val="double"/>
            </w:rPr>
            <w:t>57</w:t>
          </w:r>
        </w:p>
        <w:p>
          <w:pPr>
            <w:pStyle w:val="Normal"/>
            <w:tabs>
              <w:tab w:val="clear" w:pos="720"/>
              <w:tab w:val="right" w:pos="9360" w:leader="dot"/>
            </w:tabs>
            <w:ind w:hanging="360" w:start="1080" w:end="0"/>
            <w:rPr>
              <w:szCs w:val="24"/>
            </w:rPr>
          </w:pPr>
          <w:r>
            <w:rPr>
              <w:szCs w:val="24"/>
            </w:rPr>
            <w:t>Section  17.3   Lender to Supply Agent with Specified Information</w:t>
            <w:tab/>
          </w:r>
          <w:r>
            <w:rPr>
              <w:strike/>
              <w:szCs w:val="24"/>
            </w:rPr>
            <w:t>56</w:t>
          </w:r>
          <w:r>
            <w:rPr>
              <w:szCs w:val="24"/>
            </w:rPr>
            <w:t xml:space="preserve"> </w:t>
          </w:r>
          <w:r>
            <w:rPr>
              <w:b/>
              <w:bCs/>
              <w:szCs w:val="24"/>
              <w:u w:val="double"/>
            </w:rPr>
            <w:t>57</w:t>
          </w:r>
        </w:p>
        <w:p>
          <w:pPr>
            <w:pStyle w:val="Normal"/>
            <w:tabs>
              <w:tab w:val="clear" w:pos="720"/>
              <w:tab w:val="right" w:pos="9360" w:leader="dot"/>
            </w:tabs>
            <w:ind w:hanging="360" w:start="1080" w:end="0"/>
            <w:rPr>
              <w:szCs w:val="24"/>
            </w:rPr>
          </w:pPr>
          <w:r>
            <w:rPr>
              <w:szCs w:val="24"/>
            </w:rPr>
            <w:t>Section  17.4   Agreement to Use Reasonable Efforts</w:t>
            <w:tab/>
            <w:t>57</w:t>
          </w:r>
        </w:p>
        <w:p>
          <w:pPr>
            <w:pStyle w:val="Normal"/>
            <w:tabs>
              <w:tab w:val="clear" w:pos="720"/>
              <w:tab w:val="right" w:pos="9360" w:leader="dot"/>
            </w:tabs>
            <w:ind w:hanging="360" w:start="1080" w:end="0"/>
            <w:rPr>
              <w:szCs w:val="24"/>
            </w:rPr>
          </w:pPr>
          <w:r>
            <w:rPr>
              <w:szCs w:val="24"/>
            </w:rPr>
            <w:t>Section  17.5   No Lien Against Lender</w:t>
            <w:tab/>
            <w:t>57</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XVIII - SET-OFF</w:t>
            <w:tab/>
            <w:t>57</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XIX - NOTICES</w:t>
            <w:tab/>
          </w:r>
          <w:r>
            <w:rPr>
              <w:strike/>
              <w:szCs w:val="24"/>
            </w:rPr>
            <w:t>57</w:t>
          </w:r>
          <w:r>
            <w:rPr>
              <w:szCs w:val="24"/>
            </w:rPr>
            <w:t xml:space="preserve"> </w:t>
          </w:r>
          <w:r>
            <w:rPr>
              <w:b/>
              <w:bCs/>
              <w:szCs w:val="24"/>
              <w:u w:val="double"/>
            </w:rPr>
            <w:t>58</w:t>
          </w:r>
        </w:p>
        <w:p>
          <w:pPr>
            <w:pStyle w:val="Normal"/>
            <w:tabs>
              <w:tab w:val="clear" w:pos="720"/>
              <w:tab w:val="right" w:pos="9360" w:leader="dot"/>
            </w:tabs>
            <w:ind w:hanging="360" w:start="1080" w:end="0"/>
            <w:rPr>
              <w:szCs w:val="24"/>
            </w:rPr>
          </w:pPr>
          <w:r>
            <w:rPr>
              <w:szCs w:val="24"/>
            </w:rPr>
            <w:t>Section  19.1   Addresses and Method of Notice</w:t>
            <w:tab/>
          </w:r>
          <w:r>
            <w:rPr>
              <w:strike/>
              <w:szCs w:val="24"/>
            </w:rPr>
            <w:t>57</w:t>
          </w:r>
          <w:r>
            <w:rPr>
              <w:szCs w:val="24"/>
            </w:rPr>
            <w:t xml:space="preserve"> </w:t>
          </w:r>
          <w:r>
            <w:rPr>
              <w:b/>
              <w:bCs/>
              <w:szCs w:val="24"/>
              <w:u w:val="double"/>
            </w:rPr>
            <w:t>58</w:t>
          </w:r>
        </w:p>
        <w:p>
          <w:pPr>
            <w:pStyle w:val="Normal"/>
            <w:tabs>
              <w:tab w:val="clear" w:pos="720"/>
              <w:tab w:val="right" w:pos="9360" w:leader="dot"/>
            </w:tabs>
            <w:ind w:hanging="360" w:start="1080" w:end="0"/>
            <w:rPr>
              <w:szCs w:val="24"/>
            </w:rPr>
          </w:pPr>
          <w:r>
            <w:rPr>
              <w:szCs w:val="24"/>
            </w:rPr>
            <w:t>Section  19.2   Timing of Notice</w:t>
            <w:tab/>
          </w:r>
          <w:r>
            <w:rPr>
              <w:strike/>
              <w:szCs w:val="24"/>
            </w:rPr>
            <w:t>57</w:t>
          </w:r>
          <w:r>
            <w:rPr>
              <w:szCs w:val="24"/>
            </w:rPr>
            <w:t xml:space="preserve"> </w:t>
          </w:r>
          <w:r>
            <w:rPr>
              <w:b/>
              <w:bCs/>
              <w:szCs w:val="24"/>
              <w:u w:val="double"/>
            </w:rPr>
            <w:t>58</w:t>
          </w:r>
        </w:p>
        <w:p>
          <w:pPr>
            <w:pStyle w:val="Normal"/>
            <w:tabs>
              <w:tab w:val="clear" w:pos="720"/>
              <w:tab w:val="right" w:pos="9360" w:leader="dot"/>
            </w:tabs>
            <w:ind w:hanging="360" w:start="1080" w:end="0"/>
            <w:rPr/>
          </w:pPr>
          <w:r>
            <w:rPr>
              <w:szCs w:val="24"/>
            </w:rPr>
            <w:t xml:space="preserve">Section  </w:t>
          </w:r>
          <w:r>
            <w:rPr>
              <w:strike/>
              <w:szCs w:val="24"/>
            </w:rPr>
            <w:t>19.3</w:t>
          </w:r>
          <w:r>
            <w:rPr>
              <w:szCs w:val="24"/>
            </w:rPr>
            <w:t xml:space="preserve"> </w:t>
          </w:r>
          <w:r>
            <w:rPr>
              <w:b/>
              <w:bCs/>
              <w:szCs w:val="24"/>
              <w:u w:val="double"/>
            </w:rPr>
            <w:t>1 9.3</w:t>
          </w:r>
          <w:r>
            <w:rPr>
              <w:szCs w:val="24"/>
            </w:rPr>
            <w:t xml:space="preserve">   Proving Service of Notice</w:t>
            <w:tab/>
            <w:t>58</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 - NO IMPLIED WAIVERS</w:t>
            <w:tab/>
            <w:t>58</w:t>
          </w:r>
        </w:p>
        <w:p>
          <w:pPr>
            <w:pStyle w:val="Normal"/>
            <w:tabs>
              <w:tab w:val="clear" w:pos="720"/>
              <w:tab w:val="right" w:pos="9360" w:leader="dot"/>
            </w:tabs>
            <w:ind w:hanging="360" w:start="1080" w:end="0"/>
            <w:rPr>
              <w:szCs w:val="24"/>
            </w:rPr>
          </w:pPr>
          <w:r>
            <w:rPr>
              <w:szCs w:val="24"/>
            </w:rPr>
            <w:t>Section  20.1   No Waiver</w:t>
            <w:tab/>
            <w:t>58</w:t>
          </w:r>
        </w:p>
        <w:p>
          <w:pPr>
            <w:pStyle w:val="Normal"/>
            <w:tabs>
              <w:tab w:val="clear" w:pos="720"/>
              <w:tab w:val="right" w:pos="9360" w:leader="dot"/>
            </w:tabs>
            <w:ind w:hanging="360" w:start="1080" w:end="0"/>
            <w:rPr>
              <w:szCs w:val="24"/>
            </w:rPr>
          </w:pPr>
          <w:r>
            <w:rPr>
              <w:szCs w:val="24"/>
            </w:rPr>
            <w:t>Section  20.2   Rights and Remedies Cumulative</w:t>
            <w:tab/>
            <w:t>58</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XXI - INVALIDITY OF ANY PROVISION</w:t>
            <w:tab/>
          </w:r>
          <w:r>
            <w:rPr>
              <w:strike/>
              <w:szCs w:val="24"/>
            </w:rPr>
            <w:t>58</w:t>
          </w:r>
          <w:r>
            <w:rPr>
              <w:szCs w:val="24"/>
            </w:rPr>
            <w:t xml:space="preserve"> </w:t>
          </w:r>
          <w:r>
            <w:rPr>
              <w:b/>
              <w:bCs/>
              <w:szCs w:val="24"/>
              <w:u w:val="double"/>
            </w:rPr>
            <w:t>59</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XXII - CONFIDENTIALITY</w:t>
            <w:tab/>
          </w:r>
          <w:r>
            <w:rPr>
              <w:strike/>
              <w:szCs w:val="24"/>
            </w:rPr>
            <w:t>58</w:t>
          </w:r>
          <w:r>
            <w:rPr>
              <w:szCs w:val="24"/>
            </w:rPr>
            <w:t xml:space="preserve"> </w:t>
          </w:r>
          <w:r>
            <w:rPr>
              <w:b/>
              <w:bCs/>
              <w:szCs w:val="24"/>
              <w:u w:val="double"/>
            </w:rPr>
            <w:t>59</w:t>
          </w:r>
        </w:p>
        <w:p>
          <w:pPr>
            <w:pStyle w:val="Normal"/>
            <w:tabs>
              <w:tab w:val="clear" w:pos="720"/>
              <w:tab w:val="right" w:pos="9360" w:leader="dot"/>
            </w:tabs>
            <w:ind w:hanging="360" w:start="1080" w:end="0"/>
            <w:rPr>
              <w:szCs w:val="24"/>
            </w:rPr>
          </w:pPr>
          <w:r>
            <w:rPr>
              <w:szCs w:val="24"/>
            </w:rPr>
            <w:t>Section  22.1   Confidential Information</w:t>
            <w:tab/>
          </w:r>
          <w:r>
            <w:rPr>
              <w:strike/>
              <w:szCs w:val="24"/>
            </w:rPr>
            <w:t>58</w:t>
          </w:r>
          <w:r>
            <w:rPr>
              <w:szCs w:val="24"/>
            </w:rPr>
            <w:t xml:space="preserve"> </w:t>
          </w:r>
          <w:r>
            <w:rPr>
              <w:b/>
              <w:bCs/>
              <w:szCs w:val="24"/>
              <w:u w:val="double"/>
            </w:rPr>
            <w:t>59</w:t>
          </w:r>
        </w:p>
        <w:p>
          <w:pPr>
            <w:pStyle w:val="Normal"/>
            <w:tabs>
              <w:tab w:val="clear" w:pos="720"/>
              <w:tab w:val="right" w:pos="9360" w:leader="dot"/>
            </w:tabs>
            <w:ind w:hanging="360" w:start="1080" w:end="0"/>
            <w:rPr>
              <w:szCs w:val="24"/>
            </w:rPr>
          </w:pPr>
          <w:r>
            <w:rPr>
              <w:szCs w:val="24"/>
            </w:rPr>
            <w:t>Section  22.2   Public Announcements</w:t>
            <w:tab/>
            <w:t>59</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XXIII - CHANGES TO PARTIES</w:t>
            <w:tab/>
          </w:r>
          <w:r>
            <w:rPr>
              <w:strike/>
              <w:szCs w:val="24"/>
            </w:rPr>
            <w:t>59</w:t>
          </w:r>
          <w:r>
            <w:rPr>
              <w:szCs w:val="24"/>
            </w:rPr>
            <w:t xml:space="preserve"> </w:t>
          </w:r>
          <w:r>
            <w:rPr>
              <w:b/>
              <w:bCs/>
              <w:szCs w:val="24"/>
              <w:u w:val="double"/>
            </w:rPr>
            <w:t>60</w:t>
          </w:r>
        </w:p>
        <w:p>
          <w:pPr>
            <w:pStyle w:val="Normal"/>
            <w:tabs>
              <w:tab w:val="clear" w:pos="720"/>
              <w:tab w:val="right" w:pos="9360" w:leader="dot"/>
            </w:tabs>
            <w:ind w:hanging="360" w:start="1080" w:end="0"/>
            <w:rPr>
              <w:szCs w:val="24"/>
            </w:rPr>
          </w:pPr>
          <w:r>
            <w:rPr>
              <w:szCs w:val="24"/>
            </w:rPr>
            <w:t>Section  23.1   Assignment by the Trust</w:t>
            <w:tab/>
          </w:r>
          <w:r>
            <w:rPr>
              <w:strike/>
              <w:szCs w:val="24"/>
            </w:rPr>
            <w:t>59</w:t>
          </w:r>
          <w:r>
            <w:rPr>
              <w:szCs w:val="24"/>
            </w:rPr>
            <w:t xml:space="preserve"> </w:t>
          </w:r>
          <w:r>
            <w:rPr>
              <w:b/>
              <w:bCs/>
              <w:szCs w:val="24"/>
              <w:u w:val="double"/>
            </w:rPr>
            <w:t>60</w:t>
          </w:r>
        </w:p>
        <w:p>
          <w:pPr>
            <w:pStyle w:val="Normal"/>
            <w:tabs>
              <w:tab w:val="clear" w:pos="720"/>
              <w:tab w:val="right" w:pos="9360" w:leader="dot"/>
            </w:tabs>
            <w:ind w:hanging="360" w:start="1080" w:end="0"/>
            <w:rPr>
              <w:szCs w:val="24"/>
            </w:rPr>
          </w:pPr>
          <w:r>
            <w:rPr>
              <w:szCs w:val="24"/>
            </w:rPr>
            <w:t>Section  23.2   Transfers and Assignment of Notes</w:t>
            <w:tab/>
          </w:r>
          <w:r>
            <w:rPr>
              <w:strike/>
              <w:szCs w:val="24"/>
            </w:rPr>
            <w:t>59</w:t>
          </w:r>
          <w:r>
            <w:rPr>
              <w:szCs w:val="24"/>
            </w:rPr>
            <w:t xml:space="preserve"> </w:t>
          </w:r>
          <w:r>
            <w:rPr>
              <w:b/>
              <w:bCs/>
              <w:szCs w:val="24"/>
              <w:u w:val="double"/>
            </w:rPr>
            <w:t>60</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XXIV - LENDER DECISIONS</w:t>
            <w:tab/>
            <w:t>62</w:t>
          </w:r>
        </w:p>
        <w:p>
          <w:pPr>
            <w:pStyle w:val="Normal"/>
            <w:tabs>
              <w:tab w:val="clear" w:pos="720"/>
              <w:tab w:val="right" w:pos="9360" w:leader="dot"/>
            </w:tabs>
            <w:ind w:hanging="360" w:start="1080" w:end="0"/>
            <w:rPr>
              <w:szCs w:val="24"/>
            </w:rPr>
          </w:pPr>
          <w:r>
            <w:rPr>
              <w:szCs w:val="24"/>
            </w:rPr>
            <w:t>Section  24.1   Lender Decisions</w:t>
            <w:tab/>
            <w:t>62</w:t>
          </w:r>
        </w:p>
        <w:p>
          <w:pPr>
            <w:pStyle w:val="Normal"/>
            <w:tabs>
              <w:tab w:val="clear" w:pos="720"/>
              <w:tab w:val="right" w:pos="9360" w:leader="dot"/>
            </w:tabs>
            <w:ind w:hanging="360" w:start="1080" w:end="0"/>
            <w:rPr>
              <w:szCs w:val="24"/>
            </w:rPr>
          </w:pPr>
          <w:r>
            <w:rPr>
              <w:szCs w:val="24"/>
            </w:rPr>
            <w:t>Section  24.2   Other Unanimous Actions</w:t>
            <w:tab/>
          </w:r>
          <w:r>
            <w:rPr>
              <w:strike/>
              <w:szCs w:val="24"/>
            </w:rPr>
            <w:t>62</w:t>
          </w:r>
          <w:r>
            <w:rPr>
              <w:szCs w:val="24"/>
            </w:rPr>
            <w:t xml:space="preserve"> </w:t>
          </w:r>
          <w:r>
            <w:rPr>
              <w:b/>
              <w:bCs/>
              <w:szCs w:val="24"/>
              <w:u w:val="double"/>
            </w:rPr>
            <w:t>63</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XXV - INDEMNITIES</w:t>
            <w:tab/>
            <w:t>63</w:t>
          </w:r>
        </w:p>
        <w:p>
          <w:pPr>
            <w:pStyle w:val="Normal"/>
            <w:tabs>
              <w:tab w:val="clear" w:pos="720"/>
              <w:tab w:val="right" w:pos="9360" w:leader="dot"/>
            </w:tabs>
            <w:ind w:hanging="360" w:start="1080" w:end="0"/>
            <w:rPr>
              <w:szCs w:val="24"/>
            </w:rPr>
          </w:pPr>
          <w:r>
            <w:rPr>
              <w:szCs w:val="24"/>
            </w:rPr>
            <w:t>Section  25.1   General Indemnity and Breakage Costs</w:t>
            <w:tab/>
            <w:t>63</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XXVI - GOVERNING LAW</w:t>
            <w:tab/>
            <w:t>64</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XXVII - COUNTERPARTS</w:t>
            <w:tab/>
            <w:t>64</w:t>
          </w:r>
        </w:p>
        <w:p>
          <w:pPr>
            <w:pStyle w:val="Normal"/>
            <w:tabs>
              <w:tab w:val="clear" w:pos="720"/>
              <w:tab w:val="left" w:pos="18720" w:leader="none"/>
            </w:tabs>
            <w:rPr>
              <w:szCs w:val="24"/>
            </w:rPr>
          </w:pPr>
          <w:r>
            <w:rPr>
              <w:szCs w:val="24"/>
            </w:rPr>
          </w:r>
        </w:p>
        <w:p>
          <w:pPr>
            <w:pStyle w:val="Normal"/>
            <w:tabs>
              <w:tab w:val="clear" w:pos="720"/>
              <w:tab w:val="right" w:pos="9360" w:leader="dot"/>
            </w:tabs>
            <w:ind w:hanging="720" w:start="720" w:end="0"/>
            <w:rPr>
              <w:szCs w:val="24"/>
            </w:rPr>
          </w:pPr>
          <w:r>
            <w:rPr>
              <w:szCs w:val="24"/>
            </w:rPr>
            <w:t>ARTICLE XXVIII - THE TRUST INSTITUTION</w:t>
            <w:tab/>
            <w:t>64</w:t>
          </w:r>
        </w:p>
        <w:p>
          <w:pPr>
            <w:pStyle w:val="Normal"/>
            <w:tabs>
              <w:tab w:val="clear" w:pos="720"/>
              <w:tab w:val="right" w:pos="9360" w:leader="dot"/>
            </w:tabs>
            <w:ind w:hanging="360" w:start="1080" w:end="0"/>
            <w:rPr>
              <w:szCs w:val="24"/>
            </w:rPr>
          </w:pPr>
          <w:r>
            <w:rPr>
              <w:szCs w:val="24"/>
            </w:rPr>
            <w:t>Part</w:t>
            <w:tab/>
            <w:t>2</w:t>
          </w:r>
          <w:r>
            <w:rPr>
              <w:szCs w:val="24"/>
            </w:rPr>
            <w:fldChar w:fldCharType="end"/>
          </w:r>
        </w:p>
      </w:sdtContent>
    </w:sdt>
    <w:p>
      <w:pPr>
        <w:pStyle w:val="Normal"/>
        <w:tabs>
          <w:tab w:val="clear" w:pos="720"/>
          <w:tab w:val="left" w:pos="18720" w:leader="none"/>
        </w:tabs>
        <w:rPr>
          <w:szCs w:val="24"/>
        </w:rPr>
      </w:pPr>
      <w:r>
        <w:rPr>
          <w:szCs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b/>
          <w:bCs/>
          <w:szCs w:val="24"/>
          <w:u w:val="single"/>
        </w:rPr>
        <w:t>SCHEDULES AND EXHIBITS</w:t>
      </w:r>
      <w:r>
        <w:rPr>
          <w:b/>
          <w:bCs/>
          <w:szCs w:val="24"/>
        </w:rPr>
        <w:t>:</w:t>
      </w:r>
    </w:p>
    <w:p>
      <w:pPr>
        <w:pStyle w:val="Normal"/>
        <w:tabs>
          <w:tab w:val="clear" w:pos="720"/>
          <w:tab w:val="left" w:pos="2880" w:leader="none"/>
          <w:tab w:val="left" w:pos="3600" w:leader="none"/>
          <w:tab w:val="right" w:pos="9360" w:leader="dot"/>
        </w:tabs>
        <w:ind w:hanging="2160" w:start="2160" w:end="0"/>
        <w:rPr>
          <w:szCs w:val="24"/>
        </w:rPr>
      </w:pPr>
      <w:r>
        <w:rPr>
          <w:szCs w:val="24"/>
        </w:rPr>
        <w:t>SCHEDULE 1</w:t>
        <w:tab/>
        <w:t>-</w:t>
        <w:tab/>
        <w:t xml:space="preserve">Commitments and Funding Offices </w:t>
        <w:tab/>
        <w:t>S1-1</w:t>
      </w:r>
    </w:p>
    <w:p>
      <w:pPr>
        <w:pStyle w:val="Normal"/>
        <w:tabs>
          <w:tab w:val="clear" w:pos="720"/>
          <w:tab w:val="left" w:pos="2880" w:leader="none"/>
          <w:tab w:val="left" w:pos="3600" w:leader="none"/>
          <w:tab w:val="right" w:pos="9360" w:leader="dot"/>
        </w:tabs>
        <w:ind w:hanging="2160" w:start="2160" w:end="0"/>
        <w:rPr>
          <w:szCs w:val="24"/>
        </w:rPr>
      </w:pPr>
      <w:r>
        <w:rPr>
          <w:szCs w:val="24"/>
        </w:rPr>
        <w:t>EXHIBIT A</w:t>
        <w:tab/>
        <w:t>-</w:t>
        <w:tab/>
        <w:t xml:space="preserve">Form of Drawdown Request </w:t>
        <w:tab/>
        <w:t>Ex A-1</w:t>
      </w:r>
    </w:p>
    <w:p>
      <w:pPr>
        <w:pStyle w:val="Normal"/>
        <w:tabs>
          <w:tab w:val="clear" w:pos="720"/>
          <w:tab w:val="left" w:pos="2160" w:leader="none"/>
          <w:tab w:val="left" w:pos="2880" w:leader="none"/>
          <w:tab w:val="right" w:pos="9360" w:leader="dot"/>
        </w:tabs>
        <w:ind w:hanging="1440" w:start="1440" w:end="0"/>
        <w:rPr>
          <w:szCs w:val="24"/>
        </w:rPr>
      </w:pPr>
      <w:r>
        <w:rPr>
          <w:szCs w:val="24"/>
        </w:rPr>
        <w:t>EXHIBIT B</w:t>
        <w:tab/>
        <w:t>-</w:t>
        <w:tab/>
        <w:t xml:space="preserve">Form of Note </w:t>
        <w:tab/>
        <w:t>Ex B-1</w:t>
      </w:r>
    </w:p>
    <w:p>
      <w:pPr>
        <w:pStyle w:val="Normal"/>
        <w:tabs>
          <w:tab w:val="clear" w:pos="720"/>
          <w:tab w:val="left" w:pos="2160" w:leader="none"/>
          <w:tab w:val="left" w:pos="2880" w:leader="none"/>
          <w:tab w:val="right" w:pos="9360" w:leader="dot"/>
        </w:tabs>
        <w:ind w:hanging="1440" w:start="1440" w:end="0"/>
        <w:rPr>
          <w:szCs w:val="24"/>
        </w:rPr>
      </w:pPr>
      <w:r>
        <w:rPr>
          <w:szCs w:val="24"/>
        </w:rPr>
        <w:t>EXHIBIT C</w:t>
        <w:tab/>
        <w:t>-</w:t>
        <w:tab/>
        <w:t xml:space="preserve">Form of Instrument of Assignment </w:t>
        <w:tab/>
        <w:t>Ex C-1</w:t>
      </w:r>
    </w:p>
    <w:p>
      <w:pPr>
        <w:pStyle w:val="Normal"/>
        <w:tabs>
          <w:tab w:val="clear" w:pos="720"/>
          <w:tab w:val="left" w:pos="1800" w:leader="none"/>
          <w:tab w:val="left" w:pos="2520" w:leader="none"/>
          <w:tab w:val="left" w:pos="3240" w:leader="none"/>
          <w:tab w:val="right" w:pos="9360" w:leader="dot"/>
        </w:tabs>
        <w:ind w:hanging="1080" w:start="1080" w:end="0"/>
        <w:rPr>
          <w:szCs w:val="24"/>
        </w:rPr>
      </w:pPr>
      <w:r>
        <w:rPr>
          <w:szCs w:val="24"/>
        </w:rPr>
        <w:tab/>
        <w:tab/>
        <w:t>-</w:t>
        <w:tab/>
        <w:t xml:space="preserve">Schedule 1 to Instrument of Assignment </w:t>
        <w:tab/>
        <w:t>Ex C-5</w:t>
      </w:r>
    </w:p>
    <w:p>
      <w:pPr>
        <w:pStyle w:val="Normal"/>
        <w:tabs>
          <w:tab w:val="clear" w:pos="720"/>
          <w:tab w:val="left" w:pos="1800" w:leader="none"/>
          <w:tab w:val="left" w:pos="2520" w:leader="none"/>
          <w:tab w:val="left" w:pos="3240" w:leader="none"/>
          <w:tab w:val="right" w:pos="9360" w:leader="dot"/>
        </w:tabs>
        <w:ind w:hanging="1080" w:start="1080" w:end="0"/>
        <w:rPr>
          <w:szCs w:val="24"/>
        </w:rPr>
      </w:pPr>
      <w:r>
        <w:rPr>
          <w:szCs w:val="24"/>
        </w:rPr>
        <w:tab/>
        <w:tab/>
        <w:t>-</w:t>
        <w:tab/>
        <w:t xml:space="preserve">Schedule 2 to Instrument of Assignment </w:t>
        <w:tab/>
        <w:t>Ex C-6</w:t>
      </w:r>
    </w:p>
    <w:p>
      <w:pPr>
        <w:pStyle w:val="Normal"/>
        <w:tabs>
          <w:tab w:val="clear" w:pos="720"/>
          <w:tab w:val="left" w:pos="2160" w:leader="none"/>
          <w:tab w:val="left" w:pos="2880" w:leader="none"/>
          <w:tab w:val="right" w:pos="9360" w:leader="dot"/>
        </w:tabs>
        <w:ind w:hanging="1440" w:start="1440" w:end="0"/>
        <w:rPr>
          <w:szCs w:val="24"/>
        </w:rPr>
      </w:pPr>
      <w:r>
        <w:rPr>
          <w:szCs w:val="24"/>
        </w:rPr>
        <w:t>EXHIBIT D</w:t>
        <w:tab/>
        <w:t>-</w:t>
        <w:tab/>
        <w:t xml:space="preserve">Payment Instructions </w:t>
        <w:tab/>
        <w:t>Ex D-1</w:t>
      </w:r>
    </w:p>
    <w:p>
      <w:pPr>
        <w:pStyle w:val="Normal"/>
        <w:tabs>
          <w:tab w:val="clear" w:pos="720"/>
          <w:tab w:val="left" w:pos="2160" w:leader="none"/>
          <w:tab w:val="left" w:pos="2880" w:leader="none"/>
          <w:tab w:val="right" w:pos="9360" w:leader="dot"/>
        </w:tabs>
        <w:ind w:hanging="1440" w:start="1440" w:end="0"/>
        <w:rPr>
          <w:szCs w:val="24"/>
        </w:rPr>
      </w:pPr>
      <w:r>
        <w:rPr>
          <w:szCs w:val="24"/>
        </w:rPr>
        <w:t>EXHIBIT E</w:t>
        <w:tab/>
        <w:t>-</w:t>
        <w:tab/>
        <w:t>Part A - Methodology for Asset Valuation</w:t>
        <w:tab/>
        <w:t>Ex. E-1</w:t>
      </w:r>
    </w:p>
    <w:p>
      <w:pPr>
        <w:pStyle w:val="Normal"/>
        <w:tabs>
          <w:tab w:val="clear" w:pos="720"/>
          <w:tab w:val="left" w:pos="1800" w:leader="none"/>
          <w:tab w:val="left" w:pos="2520" w:leader="none"/>
          <w:tab w:val="left" w:pos="3240" w:leader="none"/>
          <w:tab w:val="right" w:pos="9360" w:leader="dot"/>
        </w:tabs>
        <w:ind w:hanging="1080" w:start="1080" w:end="0"/>
        <w:rPr>
          <w:szCs w:val="24"/>
        </w:rPr>
      </w:pPr>
      <w:r>
        <w:rPr>
          <w:szCs w:val="24"/>
        </w:rPr>
        <w:tab/>
        <w:tab/>
        <w:t>-</w:t>
        <w:tab/>
        <w:t xml:space="preserve">Part B - Model Structure </w:t>
        <w:tab/>
        <w:t>Ex. E-2</w:t>
      </w:r>
    </w:p>
    <w:p>
      <w:pPr>
        <w:pStyle w:val="Normal"/>
        <w:tabs>
          <w:tab w:val="clear" w:pos="720"/>
          <w:tab w:val="left" w:pos="2160" w:leader="none"/>
          <w:tab w:val="left" w:pos="2880" w:leader="none"/>
          <w:tab w:val="right" w:pos="9360" w:leader="dot"/>
        </w:tabs>
        <w:ind w:hanging="1440" w:start="1440" w:end="0"/>
        <w:rPr>
          <w:szCs w:val="24"/>
        </w:rPr>
      </w:pPr>
      <w:r>
        <w:rPr>
          <w:szCs w:val="24"/>
        </w:rPr>
        <w:t>EXHIBIT F</w:t>
        <w:tab/>
        <w:t xml:space="preserve">- </w:t>
        <w:tab/>
        <w:t>Form of Independent Auctioneer Letter</w:t>
        <w:tab/>
        <w:t>Ex. F-1</w:t>
      </w:r>
    </w:p>
    <w:p>
      <w:pPr>
        <w:pStyle w:val="Normal"/>
        <w:tabs>
          <w:tab w:val="clear" w:pos="720"/>
          <w:tab w:val="left" w:pos="2880" w:leader="none"/>
          <w:tab w:val="left" w:pos="3600" w:leader="none"/>
          <w:tab w:val="right" w:pos="9360" w:leader="dot"/>
        </w:tabs>
        <w:ind w:hanging="2160" w:start="2160" w:end="0"/>
        <w:rPr>
          <w:szCs w:val="24"/>
        </w:rPr>
      </w:pPr>
      <w:r>
        <w:rPr>
          <w:szCs w:val="24"/>
        </w:rPr>
        <w:t>EXHIBIT G1</w:t>
        <w:tab/>
        <w:t>-</w:t>
        <w:tab/>
        <w:t>Form of Swap Confirmation</w:t>
        <w:tab/>
        <w:t>Ex. G1-1</w:t>
      </w:r>
    </w:p>
    <w:p>
      <w:pPr>
        <w:pStyle w:val="Normal"/>
        <w:tabs>
          <w:tab w:val="clear" w:pos="720"/>
          <w:tab w:val="left" w:pos="2880" w:leader="none"/>
          <w:tab w:val="left" w:pos="3600" w:leader="none"/>
          <w:tab w:val="right" w:pos="9360" w:leader="dot"/>
        </w:tabs>
        <w:ind w:hanging="2160" w:start="2160" w:end="0"/>
        <w:rPr>
          <w:szCs w:val="24"/>
        </w:rPr>
      </w:pPr>
      <w:r>
        <w:rPr>
          <w:szCs w:val="24"/>
        </w:rPr>
        <w:t xml:space="preserve">EXHIBIT G2 </w:t>
        <w:tab/>
        <w:t>-</w:t>
        <w:tab/>
        <w:t>Form of Swap Schedule (Permitted Swap Party)</w:t>
        <w:tab/>
        <w:t>Ex. G2-1</w:t>
      </w:r>
    </w:p>
    <w:p>
      <w:pPr>
        <w:pStyle w:val="Normal"/>
        <w:tabs>
          <w:tab w:val="clear" w:pos="720"/>
          <w:tab w:val="left" w:pos="2880" w:leader="none"/>
          <w:tab w:val="left" w:pos="3600" w:leader="none"/>
          <w:tab w:val="right" w:pos="9360" w:leader="dot"/>
        </w:tabs>
        <w:ind w:hanging="2160" w:start="2160" w:end="0"/>
        <w:rPr>
          <w:szCs w:val="24"/>
        </w:rPr>
      </w:pPr>
      <w:r>
        <w:rPr>
          <w:szCs w:val="24"/>
        </w:rPr>
        <w:t xml:space="preserve">EXHIBIT G3 </w:t>
        <w:tab/>
        <w:t>-</w:t>
        <w:tab/>
        <w:t>Form of Swap Schedule (Enron)</w:t>
        <w:tab/>
        <w:t>Ex. G3-1</w:t>
      </w:r>
    </w:p>
    <w:p>
      <w:pPr>
        <w:pStyle w:val="Normal"/>
        <w:tabs>
          <w:tab w:val="clear" w:pos="720"/>
          <w:tab w:val="left" w:pos="2880" w:leader="none"/>
          <w:tab w:val="left" w:pos="3600" w:leader="none"/>
          <w:tab w:val="right" w:pos="9360" w:leader="dot"/>
        </w:tabs>
        <w:ind w:hanging="2160" w:start="2160" w:end="0"/>
        <w:rPr>
          <w:szCs w:val="24"/>
        </w:rPr>
      </w:pPr>
      <w:r>
        <w:rPr>
          <w:szCs w:val="24"/>
        </w:rPr>
        <w:t xml:space="preserve">EXHIBIT G4 </w:t>
        <w:tab/>
        <w:t>-</w:t>
        <w:tab/>
        <w:t>Form of Enron Guaranty</w:t>
        <w:tab/>
        <w:t>Ex. G4-1</w:t>
      </w:r>
    </w:p>
    <w:p>
      <w:pPr>
        <w:pStyle w:val="Normal"/>
        <w:tabs>
          <w:tab w:val="clear" w:pos="720"/>
          <w:tab w:val="left" w:pos="2160" w:leader="none"/>
          <w:tab w:val="left" w:pos="2880" w:leader="none"/>
          <w:tab w:val="right" w:pos="9360" w:leader="dot"/>
        </w:tabs>
        <w:ind w:hanging="1440" w:start="1440" w:end="0"/>
        <w:rPr>
          <w:szCs w:val="24"/>
        </w:rPr>
      </w:pPr>
      <w:r>
        <w:rPr>
          <w:szCs w:val="24"/>
        </w:rPr>
        <w:t>EXHIBIT H</w:t>
        <w:tab/>
        <w:t>-</w:t>
        <w:tab/>
        <w:t>Form of Transfer and Auction Agreement</w:t>
        <w:tab/>
        <w:t>Ex. H-1</w:t>
      </w:r>
    </w:p>
    <w:p>
      <w:pPr>
        <w:pStyle w:val="Normal"/>
        <w:tabs>
          <w:tab w:val="clear" w:pos="720"/>
          <w:tab w:val="left" w:pos="2160" w:leader="none"/>
          <w:tab w:val="left" w:pos="2880" w:leader="none"/>
          <w:tab w:val="right" w:pos="9360" w:leader="dot"/>
        </w:tabs>
        <w:ind w:hanging="1440" w:start="1440" w:end="0"/>
        <w:rPr>
          <w:szCs w:val="24"/>
        </w:rPr>
      </w:pPr>
      <w:r>
        <w:rPr>
          <w:szCs w:val="24"/>
        </w:rPr>
        <w:t>EXHIBIT I</w:t>
        <w:tab/>
        <w:t>-</w:t>
        <w:tab/>
        <w:t>Part A - Form of Asset LLC Agreement</w:t>
        <w:tab/>
        <w:t>Ex. I-1</w:t>
      </w:r>
    </w:p>
    <w:p>
      <w:pPr>
        <w:pStyle w:val="Normal"/>
        <w:tabs>
          <w:tab w:val="clear" w:pos="720"/>
          <w:tab w:val="left" w:pos="2880" w:leader="none"/>
          <w:tab w:val="left" w:pos="3600" w:leader="none"/>
          <w:tab w:val="left" w:pos="4320" w:leader="none"/>
          <w:tab w:val="left" w:pos="5040" w:leader="none"/>
          <w:tab w:val="right" w:pos="9360" w:leader="dot"/>
        </w:tabs>
        <w:ind w:hanging="2160" w:start="2160" w:end="0"/>
        <w:rPr>
          <w:szCs w:val="24"/>
        </w:rPr>
      </w:pPr>
      <w:r>
        <w:rPr>
          <w:szCs w:val="24"/>
        </w:rPr>
        <w:tab/>
        <w:tab/>
        <w:tab/>
        <w:t>-</w:t>
        <w:tab/>
        <w:t>Part B  - Form of Transferor LLC Agreement</w:t>
        <w:tab/>
        <w:t>Ex. I-2</w:t>
      </w:r>
    </w:p>
    <w:p>
      <w:pPr>
        <w:pStyle w:val="Normal"/>
        <w:tabs>
          <w:tab w:val="clear" w:pos="720"/>
          <w:tab w:val="left" w:pos="2160" w:leader="none"/>
          <w:tab w:val="left" w:pos="2880" w:leader="none"/>
          <w:tab w:val="right" w:pos="9360" w:leader="dot"/>
        </w:tabs>
        <w:ind w:hanging="1440" w:start="1440" w:end="0"/>
        <w:rPr>
          <w:szCs w:val="24"/>
        </w:rPr>
      </w:pPr>
      <w:r>
        <w:rPr>
          <w:szCs w:val="24"/>
        </w:rPr>
        <w:t xml:space="preserve">EXHIBIT J </w:t>
        <w:tab/>
        <w:t xml:space="preserve">- </w:t>
        <w:tab/>
        <w:t>Form of Legal Opinions</w:t>
        <w:tab/>
        <w:t>Ex. J-1</w:t>
      </w:r>
    </w:p>
    <w:p>
      <w:pPr>
        <w:pStyle w:val="Normal"/>
        <w:tabs>
          <w:tab w:val="clear" w:pos="720"/>
          <w:tab w:val="left" w:pos="2160" w:leader="none"/>
          <w:tab w:val="left" w:pos="2880" w:leader="none"/>
          <w:tab w:val="right" w:pos="9360" w:leader="dot"/>
        </w:tabs>
        <w:ind w:hanging="1440" w:start="1440" w:end="0"/>
        <w:rPr>
          <w:szCs w:val="24"/>
        </w:rPr>
      </w:pPr>
      <w:r>
        <w:rPr>
          <w:szCs w:val="24"/>
        </w:rPr>
        <w:t>EXHIBIT Kl</w:t>
        <w:tab/>
        <w:t>-</w:t>
        <w:tab/>
        <w:t>Form of Asset Notice</w:t>
        <w:tab/>
        <w:t>Ex. K1-1</w:t>
      </w:r>
    </w:p>
    <w:p>
      <w:pPr>
        <w:pStyle w:val="Normal"/>
        <w:tabs>
          <w:tab w:val="clear" w:pos="720"/>
          <w:tab w:val="left" w:pos="2880" w:leader="none"/>
          <w:tab w:val="right" w:pos="9360" w:leader="dot"/>
        </w:tabs>
        <w:ind w:hanging="2160" w:start="2160" w:end="0"/>
        <w:rPr>
          <w:szCs w:val="24"/>
        </w:rPr>
      </w:pPr>
      <w:r>
        <w:rPr>
          <w:szCs w:val="24"/>
        </w:rPr>
        <w:t xml:space="preserve">EXHIBIT K2   -   </w:t>
        <w:tab/>
        <w:t xml:space="preserve">Form of Asset Summary </w:t>
        <w:tab/>
        <w:t>Ex. K2-1</w:t>
      </w:r>
    </w:p>
    <w:p>
      <w:pPr>
        <w:pStyle w:val="Normal"/>
        <w:tabs>
          <w:tab w:val="clear" w:pos="720"/>
          <w:tab w:val="left" w:pos="2880" w:leader="none"/>
          <w:tab w:val="left" w:pos="3600" w:leader="none"/>
          <w:tab w:val="right" w:pos="9360" w:leader="dot"/>
        </w:tabs>
        <w:ind w:hanging="2160" w:start="2160" w:end="0"/>
        <w:rPr>
          <w:szCs w:val="24"/>
        </w:rPr>
      </w:pPr>
      <w:r>
        <w:rPr>
          <w:szCs w:val="24"/>
        </w:rPr>
        <w:t>EXHIBIT L1</w:t>
        <w:tab/>
        <w:t>-</w:t>
        <w:tab/>
        <w:t>Form of Additional Lender Certificate</w:t>
        <w:tab/>
        <w:t>Ex. L1-1</w:t>
      </w:r>
    </w:p>
    <w:p>
      <w:pPr>
        <w:pStyle w:val="Normal"/>
        <w:tabs>
          <w:tab w:val="clear" w:pos="720"/>
          <w:tab w:val="left" w:pos="2880" w:leader="none"/>
          <w:tab w:val="left" w:pos="3600" w:leader="none"/>
          <w:tab w:val="right" w:pos="9360" w:leader="dot"/>
        </w:tabs>
        <w:ind w:hanging="2160" w:start="2160" w:end="0"/>
        <w:rPr>
          <w:szCs w:val="24"/>
        </w:rPr>
      </w:pPr>
      <w:r>
        <w:rPr>
          <w:szCs w:val="24"/>
        </w:rPr>
        <w:t>EXHIBIT L2</w:t>
        <w:tab/>
        <w:t>-</w:t>
        <w:tab/>
        <w:t>Form of Increased Commitment Certificate</w:t>
        <w:tab/>
        <w:t>Ex. L2-1</w:t>
      </w:r>
    </w:p>
    <w:p>
      <w:pPr>
        <w:pStyle w:val="Normal"/>
        <w:tabs>
          <w:tab w:val="clear" w:pos="720"/>
          <w:tab w:val="left" w:pos="2880" w:leader="none"/>
          <w:tab w:val="left" w:pos="3600" w:leader="none"/>
          <w:tab w:val="left" w:pos="4320" w:leader="none"/>
          <w:tab w:val="left" w:pos="5040" w:leader="none"/>
          <w:tab w:val="right" w:pos="9360" w:leader="dot"/>
        </w:tabs>
        <w:ind w:hanging="2160" w:start="2160" w:end="0"/>
        <w:rPr>
          <w:szCs w:val="24"/>
        </w:rPr>
      </w:pPr>
      <w:r>
        <w:rPr>
          <w:szCs w:val="24"/>
        </w:rPr>
        <w:t xml:space="preserve">EXHIBIT M    -     </w:t>
        <w:tab/>
        <w:t>Form of Omnibus Amendment</w:t>
        <w:tab/>
        <w:t>Ex. M-1</w:t>
      </w:r>
      <w:r>
        <w:br w:type="page"/>
      </w:r>
    </w:p>
    <w:p>
      <w:pPr>
        <w:pStyle w:val="Norma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sectPr>
          <w:headerReference w:type="default" r:id="rId6"/>
          <w:footerReference w:type="default" r:id="rId7"/>
          <w:type w:val="nextPage"/>
          <w:pgSz w:w="12240" w:h="15840"/>
          <w:pgMar w:left="1440" w:right="1440" w:gutter="0" w:header="1440" w:top="1496" w:footer="576" w:bottom="632"/>
          <w:pgNumType w:start="1" w:fmt="lowerRoman"/>
          <w:formProt w:val="false"/>
          <w:textDirection w:val="lrTb"/>
          <w:docGrid w:type="default" w:linePitch="360" w:charSpace="0"/>
        </w:sectPr>
      </w:pPr>
    </w:p>
    <w:p>
      <w:pPr>
        <w:pStyle w:val="Normal"/>
        <w:jc w:val="center"/>
        <w:rPr>
          <w:szCs w:val="24"/>
        </w:rPr>
      </w:pPr>
      <w:r>
        <w:rPr>
          <w:b/>
          <w:bCs/>
          <w:szCs w:val="24"/>
        </w:rPr>
        <w:t>FACILITY AGREEMENT</w:t>
      </w:r>
    </w:p>
    <w:p>
      <w:pPr>
        <w:pStyle w:val="Normal"/>
        <w:rPr>
          <w:szCs w:val="24"/>
        </w:rPr>
      </w:pPr>
      <w:r>
        <w:rPr>
          <w:szCs w:val="24"/>
        </w:rPr>
      </w:r>
    </w:p>
    <w:p>
      <w:pPr>
        <w:pStyle w:val="Normal"/>
        <w:rPr/>
      </w:pPr>
      <w:r>
        <w:rPr>
          <w:szCs w:val="24"/>
        </w:rPr>
        <w:tab/>
        <w:t xml:space="preserve">This </w:t>
      </w:r>
      <w:r>
        <w:rPr>
          <w:b/>
          <w:bCs/>
          <w:szCs w:val="24"/>
        </w:rPr>
        <w:t>FACILITY AGREEMENT</w:t>
      </w:r>
      <w:r>
        <w:rPr>
          <w:szCs w:val="24"/>
        </w:rPr>
        <w:t xml:space="preserve"> (this “</w:t>
      </w:r>
      <w:r>
        <w:rPr>
          <w:b/>
          <w:bCs/>
          <w:szCs w:val="24"/>
          <w:u w:val="single"/>
        </w:rPr>
        <w:t>Agreement</w:t>
      </w:r>
      <w:r>
        <w:rPr>
          <w:szCs w:val="24"/>
        </w:rPr>
        <w:t xml:space="preserve">”), dated as of November </w:t>
      </w:r>
      <w:r>
        <w:rPr>
          <w:b/>
          <w:bCs/>
          <w:szCs w:val="24"/>
        </w:rPr>
        <w:t>[</w:t>
      </w:r>
      <w:r>
        <w:rPr>
          <w:szCs w:val="24"/>
        </w:rPr>
        <w:t>17</w:t>
      </w:r>
      <w:r>
        <w:rPr>
          <w:b/>
          <w:bCs/>
          <w:szCs w:val="24"/>
        </w:rPr>
        <w:t>]</w:t>
      </w:r>
      <w:r>
        <w:rPr>
          <w:szCs w:val="24"/>
        </w:rPr>
        <w:t>, 2000, is entered into by and between Hawaii II 125-0 Trust, a Delaware business trust whose principal place of business is at Rodney Square North, 1100 North Market Street, Wilmington, Delaware 19890 (the “</w:t>
      </w:r>
      <w:r>
        <w:rPr>
          <w:b/>
          <w:bCs/>
          <w:szCs w:val="24"/>
          <w:u w:val="single"/>
        </w:rPr>
        <w:t>Trust</w:t>
      </w:r>
      <w:r>
        <w:rPr>
          <w:szCs w:val="24"/>
        </w:rPr>
        <w:t>”); the lenders listed in Schedule 1 hereto and each of the lenders which, pursuant to Section 23.2, shall become a “Lender” hereunder (individually a “</w:t>
      </w:r>
      <w:r>
        <w:rPr>
          <w:b/>
          <w:bCs/>
          <w:szCs w:val="24"/>
          <w:u w:val="single"/>
        </w:rPr>
        <w:t>Lender</w:t>
      </w:r>
      <w:r>
        <w:rPr>
          <w:szCs w:val="24"/>
        </w:rPr>
        <w:t>” and collectively, the “</w:t>
      </w:r>
      <w:r>
        <w:rPr>
          <w:b/>
          <w:bCs/>
          <w:szCs w:val="24"/>
          <w:u w:val="single"/>
        </w:rPr>
        <w:t>Lenders</w:t>
      </w:r>
      <w:r>
        <w:rPr>
          <w:szCs w:val="24"/>
        </w:rPr>
        <w:t>”); Canadian Imperial Bank of Commerce, as administrative agent for the Lenders (in such capacity, together with its successors and assigns in such capacity, the “</w:t>
      </w:r>
      <w:r>
        <w:rPr>
          <w:b/>
          <w:bCs/>
          <w:szCs w:val="24"/>
          <w:u w:val="single"/>
        </w:rPr>
        <w:t>Agent</w:t>
      </w:r>
      <w:r>
        <w:rPr>
          <w:szCs w:val="24"/>
        </w:rPr>
        <w:t>”); CIBC World Markets Corp.,as sole lead bookrunner and arranger (in such capacity, together with its successors and assigns in such capacity, the “</w:t>
      </w:r>
      <w:r>
        <w:rPr>
          <w:b/>
          <w:bCs/>
          <w:szCs w:val="24"/>
          <w:u w:val="single"/>
        </w:rPr>
        <w:t>Arranger</w:t>
      </w:r>
      <w:r>
        <w:rPr>
          <w:szCs w:val="24"/>
        </w:rPr>
        <w:t xml:space="preserve">”);  First Union National Bank and </w:t>
      </w:r>
      <w:r>
        <w:rPr>
          <w:strike/>
          <w:szCs w:val="24"/>
        </w:rPr>
        <w:t>San Paolo</w:t>
      </w:r>
      <w:r>
        <w:rPr>
          <w:szCs w:val="24"/>
        </w:rPr>
        <w:t xml:space="preserve"> </w:t>
      </w:r>
      <w:r>
        <w:rPr>
          <w:b/>
          <w:bCs/>
          <w:szCs w:val="24"/>
          <w:u w:val="double"/>
        </w:rPr>
        <w:t>SANPAOLO</w:t>
      </w:r>
      <w:r>
        <w:rPr>
          <w:szCs w:val="24"/>
        </w:rPr>
        <w:t xml:space="preserve"> IMI S.p.A., as co-arrangers (in such capacity, together with their respective successors and assigns in such capacity, the “</w:t>
      </w:r>
      <w:r>
        <w:rPr>
          <w:b/>
          <w:bCs/>
          <w:szCs w:val="24"/>
          <w:u w:val="single"/>
        </w:rPr>
        <w:t>Co-Arrangers</w:t>
      </w:r>
      <w:r>
        <w:rPr>
          <w:szCs w:val="24"/>
        </w:rPr>
        <w:t>”); BNP Paribas, as syndication agent (in such capacity, together with its successors and assigns in such capacity, the “</w:t>
      </w:r>
      <w:r>
        <w:rPr>
          <w:b/>
          <w:bCs/>
          <w:szCs w:val="24"/>
          <w:u w:val="single"/>
        </w:rPr>
        <w:t>Syndication Agent</w:t>
      </w:r>
      <w:r>
        <w:rPr>
          <w:szCs w:val="24"/>
        </w:rPr>
        <w:t>”); and Bayerische Landesbank, as Documentation Agent (in such capacity, together with its respective successors and assigns in such capacity, the “</w:t>
      </w:r>
      <w:r>
        <w:rPr>
          <w:b/>
          <w:bCs/>
          <w:szCs w:val="24"/>
          <w:u w:val="single"/>
        </w:rPr>
        <w:t>Documentation Agent</w:t>
      </w:r>
      <w:r>
        <w:rPr>
          <w:szCs w:val="24"/>
        </w:rPr>
        <w:t>”).</w:t>
      </w:r>
    </w:p>
    <w:p>
      <w:pPr>
        <w:pStyle w:val="Normal"/>
        <w:rPr>
          <w:szCs w:val="24"/>
        </w:rPr>
      </w:pPr>
      <w:r>
        <w:rPr>
          <w:szCs w:val="24"/>
        </w:rPr>
      </w:r>
    </w:p>
    <w:p>
      <w:pPr>
        <w:pStyle w:val="Normal"/>
        <w:jc w:val="center"/>
        <w:rPr>
          <w:szCs w:val="24"/>
        </w:rPr>
      </w:pPr>
      <w:r>
        <w:rPr>
          <w:b/>
          <w:bCs/>
          <w:szCs w:val="24"/>
          <w:u w:val="single"/>
        </w:rPr>
        <w:t>RECITALS</w:t>
      </w:r>
    </w:p>
    <w:p>
      <w:pPr>
        <w:pStyle w:val="Normal"/>
        <w:rPr>
          <w:szCs w:val="24"/>
        </w:rPr>
      </w:pPr>
      <w:r>
        <w:rPr>
          <w:szCs w:val="24"/>
        </w:rPr>
      </w:r>
    </w:p>
    <w:p>
      <w:pPr>
        <w:pStyle w:val="Normal"/>
        <w:rPr>
          <w:szCs w:val="24"/>
        </w:rPr>
      </w:pPr>
      <w:r>
        <w:rPr>
          <w:szCs w:val="24"/>
        </w:rPr>
        <w:tab/>
        <w:t>WHEREAS, the Trust wishes to obtain funds from the Lenders in order to acquire Class B Interests from time to time; and</w:t>
      </w:r>
    </w:p>
    <w:p>
      <w:pPr>
        <w:pStyle w:val="Normal"/>
        <w:rPr>
          <w:szCs w:val="24"/>
        </w:rPr>
      </w:pPr>
      <w:r>
        <w:rPr>
          <w:szCs w:val="24"/>
        </w:rPr>
      </w:r>
    </w:p>
    <w:p>
      <w:pPr>
        <w:pStyle w:val="Normal"/>
        <w:rPr>
          <w:szCs w:val="24"/>
        </w:rPr>
      </w:pPr>
      <w:r>
        <w:rPr>
          <w:szCs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rPr>
          <w:szCs w:val="24"/>
        </w:rPr>
      </w:pPr>
      <w:r>
        <w:rPr>
          <w:szCs w:val="24"/>
        </w:rPr>
      </w:r>
    </w:p>
    <w:p>
      <w:pPr>
        <w:pStyle w:val="Normal"/>
        <w:rPr>
          <w:szCs w:val="24"/>
        </w:rPr>
      </w:pPr>
      <w:r>
        <w:rPr>
          <w:szCs w:val="24"/>
        </w:rPr>
        <w:tab/>
        <w:t>NOW, THEREFORE, it is agreed as follows:</w:t>
      </w:r>
    </w:p>
    <w:p>
      <w:pPr>
        <w:pStyle w:val="Normal"/>
        <w:keepNext w:val="true"/>
        <w:rPr>
          <w:szCs w:val="24"/>
        </w:rPr>
      </w:pPr>
      <w:r>
        <w:rPr>
          <w:szCs w:val="24"/>
        </w:rPr>
      </w:r>
    </w:p>
    <w:p>
      <w:pPr>
        <w:pStyle w:val="Normal"/>
        <w:keepNext w:val="true"/>
        <w:keepLines/>
        <w:ind w:start="1440" w:end="1440"/>
        <w:jc w:val="center"/>
        <w:rPr>
          <w:b/>
          <w:bCs/>
          <w:szCs w:val="24"/>
        </w:rPr>
      </w:pPr>
      <w:r>
        <w:rPr>
          <w:b/>
          <w:bCs/>
          <w:szCs w:val="24"/>
        </w:rPr>
        <w:t>ARTICLE 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DEFINITIONS AND INTERPRETATION</w:t>
      </w:r>
      <w:r>
        <w:fldChar w:fldCharType="begin"/>
      </w:r>
      <w:r>
        <w:rPr/>
        <w:instrText xml:space="preserve"> TC "ARTICLE IDEFINITIONS AND INTERPRETATION"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1.1   Definitions </w:t>
      </w:r>
      <w:r>
        <w:fldChar w:fldCharType="begin"/>
      </w:r>
      <w:r>
        <w:rPr/>
        <w:instrText xml:space="preserve"> TC "</w:instrText>
        <w:tab/>
        <w:instrText xml:space="preserve">Section  1.1   Definitions " \l 2 </w:instrText>
      </w:r>
      <w:r>
        <w:rPr/>
        <w:fldChar w:fldCharType="separate"/>
      </w:r>
      <w:r>
        <w:rPr/>
      </w:r>
      <w:r>
        <w:rPr/>
        <w:fldChar w:fldCharType="end"/>
      </w:r>
      <w:r>
        <w:rPr>
          <w:szCs w:val="24"/>
        </w:rPr>
        <w:t>.  In this Agreement, including the Recitals, unless the context requires otherwise, the following terms shall have the following respective meanings:</w:t>
      </w:r>
    </w:p>
    <w:p>
      <w:pPr>
        <w:pStyle w:val="Normal"/>
        <w:keepNext w:val="true"/>
        <w:keepLines/>
        <w:jc w:val="both"/>
        <w:rPr>
          <w:szCs w:val="24"/>
        </w:rPr>
      </w:pPr>
      <w:r>
        <w:rPr>
          <w:szCs w:val="24"/>
        </w:rPr>
      </w:r>
    </w:p>
    <w:p>
      <w:pPr>
        <w:pStyle w:val="Normal"/>
        <w:keepLines/>
        <w:jc w:val="both"/>
        <w:rPr/>
      </w:pPr>
      <w:r>
        <w:rPr>
          <w:szCs w:val="24"/>
        </w:rPr>
        <w:tab/>
      </w:r>
      <w:r>
        <w:rPr>
          <w:b/>
          <w:bCs/>
          <w:szCs w:val="24"/>
        </w:rPr>
        <w:t>“</w:t>
      </w:r>
      <w:r>
        <w:rPr>
          <w:b/>
          <w:bCs/>
          <w:szCs w:val="24"/>
          <w:u w:val="single"/>
        </w:rPr>
        <w:t>Additional Lender Certificate</w:t>
      </w:r>
      <w:r>
        <w:rPr>
          <w:b/>
          <w:bCs/>
          <w:szCs w:val="24"/>
        </w:rPr>
        <w:t>”</w:t>
      </w:r>
      <w:r>
        <w:rPr>
          <w:szCs w:val="24"/>
        </w:rPr>
        <w:t xml:space="preserve"> has the meaning given to such term in Section 3.3(a).</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Advance</w:t>
      </w:r>
      <w:r>
        <w:rPr>
          <w:b/>
          <w:bCs/>
          <w:szCs w:val="24"/>
        </w:rPr>
        <w:t xml:space="preserve">” </w:t>
      </w:r>
      <w:r>
        <w:rPr>
          <w:szCs w:val="24"/>
        </w:rPr>
        <w:t>and</w:t>
      </w:r>
      <w:r>
        <w:rPr>
          <w:b/>
          <w:bCs/>
          <w:szCs w:val="24"/>
        </w:rPr>
        <w:t xml:space="preserve"> “</w:t>
      </w:r>
      <w:r>
        <w:rPr>
          <w:b/>
          <w:bCs/>
          <w:szCs w:val="24"/>
          <w:u w:val="single"/>
        </w:rPr>
        <w:t>Advances</w:t>
      </w:r>
      <w:r>
        <w:rPr>
          <w:b/>
          <w:bCs/>
          <w:szCs w:val="24"/>
        </w:rPr>
        <w:t>”</w:t>
      </w:r>
      <w:r>
        <w:rPr>
          <w:szCs w:val="24"/>
        </w:rPr>
        <w:t xml:space="preserve"> have the respective meanings given to such terms in Section 2.2(a).</w:t>
      </w:r>
    </w:p>
    <w:p>
      <w:pPr>
        <w:pStyle w:val="Normal"/>
        <w:jc w:val="both"/>
        <w:rPr>
          <w:szCs w:val="24"/>
        </w:rPr>
      </w:pPr>
      <w:r>
        <w:rPr>
          <w:szCs w:val="24"/>
        </w:rPr>
      </w:r>
    </w:p>
    <w:p>
      <w:pPr>
        <w:pStyle w:val="Normal"/>
        <w:jc w:val="both"/>
        <w:rPr/>
      </w:pPr>
      <w:r>
        <w:rPr>
          <w:szCs w:val="24"/>
        </w:rPr>
        <w:tab/>
        <w:t>“</w:t>
      </w:r>
      <w:r>
        <w:rPr>
          <w:b/>
          <w:bCs/>
          <w:szCs w:val="24"/>
          <w:u w:val="single"/>
        </w:rPr>
        <w:t>Affiliate</w:t>
      </w:r>
      <w:r>
        <w:rPr>
          <w:szCs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bCs/>
          <w:szCs w:val="24"/>
        </w:rPr>
        <w:t>“</w:t>
      </w:r>
      <w:r>
        <w:rPr>
          <w:b/>
          <w:bCs/>
          <w:szCs w:val="24"/>
          <w:u w:val="single"/>
        </w:rPr>
        <w:t>control</w:t>
      </w:r>
      <w:r>
        <w:rPr>
          <w:b/>
          <w:bCs/>
          <w:szCs w:val="24"/>
        </w:rPr>
        <w:t>”</w:t>
      </w:r>
      <w:r>
        <w:rPr>
          <w:szCs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Agency Indemnities</w:t>
      </w:r>
      <w:r>
        <w:rPr>
          <w:b/>
          <w:bCs/>
          <w:szCs w:val="24"/>
        </w:rPr>
        <w:t>”</w:t>
      </w:r>
      <w:r>
        <w:rPr>
          <w:szCs w:val="24"/>
        </w:rPr>
        <w:t xml:space="preserve"> has the meaning given to such term in Section 14.8(a).</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Agent</w:t>
      </w:r>
      <w:r>
        <w:rPr>
          <w:b/>
          <w:bCs/>
          <w:szCs w:val="24"/>
        </w:rPr>
        <w:t>”</w:t>
      </w:r>
      <w:r>
        <w:rPr>
          <w:szCs w:val="24"/>
        </w:rPr>
        <w:t xml:space="preserve"> has the meaning given to such term in the introductory paragraph of this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Alternate Base Rate</w:t>
      </w:r>
      <w:r>
        <w:rPr>
          <w:b/>
          <w:bCs/>
          <w:szCs w:val="24"/>
        </w:rPr>
        <w:t>”</w:t>
      </w:r>
      <w:r>
        <w:rPr>
          <w:szCs w:val="24"/>
        </w:rPr>
        <w:t xml:space="preserve"> means, for any period, a fluctuating interest rate per annum as shall be in effect from time to time which rate per annum shall at all times be equal to the highest of:</w:t>
      </w:r>
    </w:p>
    <w:p>
      <w:pPr>
        <w:pStyle w:val="Normal"/>
        <w:jc w:val="both"/>
        <w:rPr>
          <w:szCs w:val="24"/>
        </w:rPr>
      </w:pPr>
      <w:r>
        <w:rPr>
          <w:szCs w:val="24"/>
        </w:rPr>
      </w:r>
    </w:p>
    <w:p>
      <w:pPr>
        <w:pStyle w:val="Normal"/>
        <w:ind w:start="720" w:end="0"/>
        <w:jc w:val="both"/>
        <w:rPr>
          <w:szCs w:val="24"/>
        </w:rPr>
      </w:pPr>
      <w:r>
        <w:rPr>
          <w:szCs w:val="24"/>
        </w:rPr>
        <w:tab/>
        <w:t>(i)</w:t>
        <w:tab/>
        <w:t>the rate of interest determined by the Agent at its Domestic Office, from time to time, as the Agent’s base rate; and</w:t>
      </w:r>
    </w:p>
    <w:p>
      <w:pPr>
        <w:pStyle w:val="Normal"/>
        <w:jc w:val="both"/>
        <w:rPr>
          <w:szCs w:val="24"/>
        </w:rPr>
      </w:pPr>
      <w:r>
        <w:rPr>
          <w:szCs w:val="24"/>
        </w:rPr>
      </w:r>
    </w:p>
    <w:p>
      <w:pPr>
        <w:pStyle w:val="Normal"/>
        <w:ind w:hanging="720" w:start="720" w:end="0"/>
        <w:jc w:val="both"/>
        <w:rPr>
          <w:szCs w:val="24"/>
        </w:rPr>
      </w:pPr>
      <w:r>
        <w:rPr>
          <w:szCs w:val="24"/>
        </w:rPr>
        <w:tab/>
        <w:t>(ii)</w:t>
        <w:tab/>
        <w:t xml:space="preserve">the sum of 0.5 percent plus the Federal Funds Rate in effect from time to time. </w:t>
      </w:r>
    </w:p>
    <w:p>
      <w:pPr>
        <w:pStyle w:val="Normal"/>
        <w:jc w:val="both"/>
        <w:rPr>
          <w:szCs w:val="24"/>
        </w:rPr>
      </w:pPr>
      <w:r>
        <w:rPr>
          <w:szCs w:val="24"/>
        </w:rPr>
      </w:r>
    </w:p>
    <w:p>
      <w:pPr>
        <w:pStyle w:val="Normal"/>
        <w:jc w:val="both"/>
        <w:rPr>
          <w:szCs w:val="24"/>
        </w:rPr>
      </w:pPr>
      <w:r>
        <w:rPr>
          <w:szCs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Alternate Base Rate Advances</w:t>
      </w:r>
      <w:r>
        <w:rPr>
          <w:b/>
          <w:bCs/>
          <w:szCs w:val="24"/>
        </w:rPr>
        <w:t>”</w:t>
      </w:r>
      <w:r>
        <w:rPr>
          <w:szCs w:val="24"/>
        </w:rPr>
        <w:t xml:space="preserve"> means Advances which bear interest at the Alternate Base Rate.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Applicable Margin</w:t>
      </w:r>
      <w:r>
        <w:rPr>
          <w:b/>
          <w:bCs/>
          <w:szCs w:val="24"/>
        </w:rPr>
        <w:t xml:space="preserve">” </w:t>
      </w:r>
      <w:r>
        <w:rPr>
          <w:szCs w:val="24"/>
        </w:rPr>
        <w:t>means 0.80% per annum.</w:t>
      </w:r>
    </w:p>
    <w:p>
      <w:pPr>
        <w:pStyle w:val="Normal"/>
        <w:jc w:val="both"/>
        <w:rPr>
          <w:szCs w:val="24"/>
        </w:rPr>
      </w:pPr>
      <w:r>
        <w:rPr>
          <w:szCs w:val="24"/>
        </w:rPr>
      </w:r>
    </w:p>
    <w:p>
      <w:pPr>
        <w:pStyle w:val="Normal"/>
        <w:jc w:val="both"/>
        <w:rPr/>
      </w:pPr>
      <w:r>
        <w:rPr>
          <w:b/>
          <w:bCs/>
          <w:szCs w:val="24"/>
        </w:rPr>
        <w:tab/>
        <w:t>“</w:t>
      </w:r>
      <w:r>
        <w:rPr>
          <w:b/>
          <w:bCs/>
          <w:szCs w:val="24"/>
          <w:u w:val="single"/>
        </w:rPr>
        <w:t>Arranger</w:t>
      </w:r>
      <w:r>
        <w:rPr>
          <w:b/>
          <w:bCs/>
          <w:szCs w:val="24"/>
        </w:rPr>
        <w:t xml:space="preserve">” </w:t>
      </w:r>
      <w:r>
        <w:rPr>
          <w:szCs w:val="24"/>
        </w:rPr>
        <w:t>has the meaning given to such term in the introductory paragraph of this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Asset LLC</w:t>
      </w:r>
      <w:r>
        <w:rPr>
          <w:b/>
          <w:bCs/>
          <w:szCs w:val="24"/>
        </w:rPr>
        <w:t>”</w:t>
      </w:r>
      <w:r>
        <w:rPr>
          <w:szCs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Asset LLC Agreement</w:t>
      </w:r>
      <w:r>
        <w:rPr>
          <w:b/>
          <w:bCs/>
          <w:szCs w:val="24"/>
        </w:rPr>
        <w:t>”</w:t>
      </w:r>
      <w:r>
        <w:rPr>
          <w:szCs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Asset Notice</w:t>
      </w:r>
      <w:r>
        <w:rPr>
          <w:b/>
          <w:bCs/>
          <w:szCs w:val="24"/>
        </w:rPr>
        <w:t>”</w:t>
      </w:r>
      <w:r>
        <w:rPr>
          <w:szCs w:val="24"/>
        </w:rPr>
        <w:t xml:space="preserve"> means, with respect to each proposed Tranche other than the Hawaii Tranches and the Hawaii I Tranches, a notice duly executed by Enron substantially in the form of Exhibit K1 hereto.</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Asset Structure</w:t>
      </w:r>
      <w:r>
        <w:rPr>
          <w:b/>
          <w:bCs/>
          <w:szCs w:val="24"/>
        </w:rPr>
        <w:t>”</w:t>
      </w:r>
      <w:r>
        <w:rPr>
          <w:szCs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Asset Summary</w:t>
      </w:r>
      <w:r>
        <w:rPr>
          <w:b/>
          <w:bCs/>
          <w:szCs w:val="24"/>
        </w:rPr>
        <w:t>”</w:t>
      </w:r>
      <w:r>
        <w:rPr>
          <w:szCs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Assigned Interest</w:t>
      </w:r>
      <w:r>
        <w:rPr>
          <w:b/>
          <w:bCs/>
          <w:szCs w:val="24"/>
        </w:rPr>
        <w:t>”</w:t>
      </w:r>
      <w:r>
        <w:rPr>
          <w:szCs w:val="24"/>
        </w:rPr>
        <w:t xml:space="preserve"> has the meaning given to such term in Section 3.3(c).</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Assignee</w:t>
      </w:r>
      <w:r>
        <w:rPr>
          <w:b/>
          <w:bCs/>
          <w:szCs w:val="24"/>
        </w:rPr>
        <w:t>”</w:t>
      </w:r>
      <w:r>
        <w:rPr>
          <w:szCs w:val="24"/>
        </w:rPr>
        <w:t xml:space="preserve"> has the meaning given to such term in Section 23.2(b).</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Assignor</w:t>
      </w:r>
      <w:r>
        <w:rPr>
          <w:b/>
          <w:bCs/>
          <w:szCs w:val="24"/>
        </w:rPr>
        <w:t>”</w:t>
      </w:r>
      <w:r>
        <w:rPr>
          <w:szCs w:val="24"/>
        </w:rPr>
        <w:t xml:space="preserve"> has the meaning given to such term in Section 23.2(b).</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Bankruptcy Code</w:t>
      </w:r>
      <w:r>
        <w:rPr>
          <w:b/>
          <w:bCs/>
          <w:szCs w:val="24"/>
        </w:rPr>
        <w:t>”</w:t>
      </w:r>
      <w:r>
        <w:rPr>
          <w:szCs w:val="24"/>
        </w:rPr>
        <w:t xml:space="preserve"> means Title 11 of the United States Code, as now or hereafter in effect, or any successor thereto.</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Bankruptcy Party</w:t>
      </w:r>
      <w:r>
        <w:rPr>
          <w:b/>
          <w:bCs/>
          <w:szCs w:val="24"/>
        </w:rPr>
        <w:t>”</w:t>
      </w:r>
      <w:r>
        <w:rPr>
          <w:szCs w:val="24"/>
        </w:rPr>
        <w:t xml:space="preserve"> has the meaning given to such term in Section 13.1(i).</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Beneficial Interest Certificate</w:t>
      </w:r>
      <w:r>
        <w:rPr>
          <w:b/>
          <w:bCs/>
          <w:szCs w:val="24"/>
        </w:rPr>
        <w:t>”</w:t>
      </w:r>
      <w:r>
        <w:rPr>
          <w:szCs w:val="24"/>
        </w:rPr>
        <w:t xml:space="preserve"> has the meaning given to such term in the Trust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Business</w:t>
      </w:r>
      <w:r>
        <w:rPr>
          <w:b/>
          <w:bCs/>
          <w:szCs w:val="24"/>
        </w:rPr>
        <w:t>”</w:t>
      </w:r>
      <w:r>
        <w:rPr>
          <w:szCs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Business Day</w:t>
      </w:r>
      <w:r>
        <w:rPr>
          <w:b/>
          <w:bCs/>
          <w:szCs w:val="24"/>
        </w:rPr>
        <w:t>”</w:t>
      </w:r>
      <w:r>
        <w:rPr>
          <w:szCs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Business Trust Act</w:t>
      </w:r>
      <w:r>
        <w:rPr>
          <w:b/>
          <w:bCs/>
          <w:szCs w:val="24"/>
        </w:rPr>
        <w:t>”</w:t>
      </w:r>
      <w:r>
        <w:rPr>
          <w:szCs w:val="24"/>
        </w:rPr>
        <w:t xml:space="preserve"> means Chapter 38 of Title 12 of the Delaware Code, 12 Del. C. § 3801, </w:t>
      </w:r>
      <w:r>
        <w:rPr>
          <w:szCs w:val="24"/>
          <w:u w:val="single"/>
        </w:rPr>
        <w:t>et seq</w:t>
      </w:r>
      <w:r>
        <w:rPr>
          <w:szCs w:val="24"/>
        </w:rPr>
        <w:t xml:space="preserve">.; as the same may be amended from time to time.  </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Certificate</w:t>
      </w:r>
      <w:r>
        <w:rPr>
          <w:b/>
          <w:bCs/>
          <w:szCs w:val="24"/>
        </w:rPr>
        <w:t>”</w:t>
      </w:r>
      <w:r>
        <w:rPr>
          <w:szCs w:val="24"/>
        </w:rPr>
        <w:t xml:space="preserve"> has the meaning given to such term in the Trust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Certificate Holders</w:t>
      </w:r>
      <w:r>
        <w:rPr>
          <w:b/>
          <w:bCs/>
          <w:szCs w:val="24"/>
        </w:rPr>
        <w:t xml:space="preserve">” </w:t>
      </w:r>
      <w:r>
        <w:rPr>
          <w:szCs w:val="24"/>
        </w:rPr>
        <w:t>means the holders from time to time of the Certificates issued pursuant to the Trust Agreement.</w:t>
      </w:r>
    </w:p>
    <w:p>
      <w:pPr>
        <w:pStyle w:val="Normal"/>
        <w:jc w:val="both"/>
        <w:rPr>
          <w:szCs w:val="24"/>
        </w:rPr>
      </w:pPr>
      <w:r>
        <w:rPr>
          <w:szCs w:val="24"/>
        </w:rPr>
      </w:r>
    </w:p>
    <w:p>
      <w:pPr>
        <w:pStyle w:val="Normal"/>
        <w:jc w:val="both"/>
        <w:rPr/>
      </w:pPr>
      <w:r>
        <w:rPr>
          <w:b/>
          <w:bCs/>
          <w:szCs w:val="24"/>
        </w:rPr>
        <w:tab/>
        <w:t>“</w:t>
      </w:r>
      <w:r>
        <w:rPr>
          <w:b/>
          <w:bCs/>
          <w:szCs w:val="24"/>
          <w:u w:val="single"/>
        </w:rPr>
        <w:t>Class B Interest</w:t>
      </w:r>
      <w:r>
        <w:rPr>
          <w:b/>
          <w:bCs/>
          <w:szCs w:val="24"/>
        </w:rPr>
        <w:t xml:space="preserve">” </w:t>
      </w:r>
      <w:r>
        <w:rPr>
          <w:szCs w:val="24"/>
        </w:rPr>
        <w:t>means 100% of the Class B membership interest issued by an Asset LLC and transferred by the applicable Transferor to the Trust pursuant to a Transfer and Auction Agreement.</w:t>
      </w:r>
    </w:p>
    <w:p>
      <w:pPr>
        <w:pStyle w:val="Normal"/>
        <w:jc w:val="both"/>
        <w:rPr>
          <w:szCs w:val="24"/>
        </w:rPr>
      </w:pPr>
      <w:r>
        <w:rPr>
          <w:szCs w:val="24"/>
        </w:rPr>
      </w:r>
    </w:p>
    <w:p>
      <w:pPr>
        <w:pStyle w:val="Normal"/>
        <w:jc w:val="both"/>
        <w:rPr>
          <w:b/>
          <w:bCs/>
          <w:szCs w:val="24"/>
        </w:rPr>
      </w:pPr>
      <w:r>
        <w:rPr>
          <w:szCs w:val="24"/>
        </w:rPr>
        <w:tab/>
      </w:r>
      <w:r>
        <w:rPr>
          <w:b/>
          <w:bCs/>
          <w:szCs w:val="24"/>
        </w:rPr>
        <w:t>“</w:t>
      </w:r>
      <w:r>
        <w:rPr>
          <w:b/>
          <w:bCs/>
          <w:szCs w:val="24"/>
          <w:u w:val="single"/>
        </w:rPr>
        <w:t>Closing Date</w:t>
      </w:r>
      <w:r>
        <w:rPr>
          <w:b/>
          <w:bCs/>
          <w:szCs w:val="24"/>
        </w:rPr>
        <w:t>”</w:t>
      </w:r>
      <w:r>
        <w:rPr>
          <w:szCs w:val="24"/>
        </w:rPr>
        <w:t xml:space="preserve"> means November </w:t>
      </w:r>
      <w:r>
        <w:rPr>
          <w:b/>
          <w:bCs/>
          <w:szCs w:val="24"/>
        </w:rPr>
        <w:t>[</w:t>
      </w:r>
      <w:r>
        <w:rPr>
          <w:szCs w:val="24"/>
        </w:rPr>
        <w:t>17</w:t>
      </w:r>
      <w:r>
        <w:rPr>
          <w:b/>
          <w:bCs/>
          <w:szCs w:val="24"/>
        </w:rPr>
        <w:t>]</w:t>
      </w:r>
      <w:r>
        <w:rPr>
          <w:szCs w:val="24"/>
        </w:rPr>
        <w:t>, 2000.</w:t>
      </w:r>
    </w:p>
    <w:p>
      <w:pPr>
        <w:pStyle w:val="Normal"/>
        <w:jc w:val="both"/>
        <w:rPr>
          <w:b/>
          <w:bCs/>
          <w:szCs w:val="24"/>
        </w:rPr>
      </w:pPr>
      <w:r>
        <w:rPr>
          <w:b/>
          <w:bCs/>
          <w:szCs w:val="24"/>
        </w:rPr>
      </w:r>
    </w:p>
    <w:p>
      <w:pPr>
        <w:pStyle w:val="Normal"/>
        <w:jc w:val="both"/>
        <w:rPr/>
      </w:pPr>
      <w:r>
        <w:rPr>
          <w:b/>
          <w:bCs/>
          <w:szCs w:val="24"/>
        </w:rPr>
        <w:tab/>
        <w:t>“</w:t>
      </w:r>
      <w:r>
        <w:rPr>
          <w:b/>
          <w:bCs/>
          <w:szCs w:val="24"/>
          <w:u w:val="single"/>
        </w:rPr>
        <w:t>Code</w:t>
      </w:r>
      <w:r>
        <w:rPr>
          <w:b/>
          <w:bCs/>
          <w:szCs w:val="24"/>
        </w:rPr>
        <w:t>”</w:t>
      </w:r>
      <w:r>
        <w:rPr>
          <w:szCs w:val="24"/>
        </w:rPr>
        <w:t xml:space="preserve"> means the Internal Revenue Code of 1986, as amended.</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Commitment</w:t>
      </w:r>
      <w:r>
        <w:rPr>
          <w:b/>
          <w:bCs/>
          <w:szCs w:val="24"/>
        </w:rPr>
        <w:t xml:space="preserve">” </w:t>
      </w:r>
      <w:r>
        <w:rPr>
          <w:szCs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Cs w:val="24"/>
          <w:u w:val="single"/>
        </w:rPr>
        <w:t>provided</w:t>
      </w:r>
      <w:r>
        <w:rPr>
          <w:szCs w:val="24"/>
        </w:rPr>
        <w:t xml:space="preserve"> that the aggregate Commitments of all of the Lenders shall not be less than $</w:t>
      </w:r>
      <w:r>
        <w:rPr>
          <w:b/>
          <w:bCs/>
          <w:szCs w:val="24"/>
        </w:rPr>
        <w:t>[</w:t>
      </w:r>
      <w:r>
        <w:rPr>
          <w:szCs w:val="24"/>
        </w:rPr>
        <w:t>385,000,000</w:t>
      </w:r>
      <w:r>
        <w:rPr>
          <w:b/>
          <w:bCs/>
          <w:szCs w:val="24"/>
        </w:rPr>
        <w:t>]</w:t>
      </w:r>
      <w:r>
        <w:rPr>
          <w:szCs w:val="24"/>
        </w:rPr>
        <w:t xml:space="preserve"> (or such other lesser amount as may be agreed by the Agent and the Trust) for the period from the Closing Date to the day prior to the Second Closing Date, nor greater than $</w:t>
      </w:r>
      <w:r>
        <w:rPr>
          <w:b/>
          <w:bCs/>
          <w:szCs w:val="24"/>
        </w:rPr>
        <w:t>[</w:t>
      </w:r>
      <w:r>
        <w:rPr>
          <w:szCs w:val="24"/>
        </w:rPr>
        <w:t>462,000,000</w:t>
      </w:r>
      <w:r>
        <w:rPr>
          <w:b/>
          <w:bCs/>
          <w:szCs w:val="24"/>
        </w:rPr>
        <w:t>]</w:t>
      </w:r>
      <w:r>
        <w:rPr>
          <w:szCs w:val="24"/>
        </w:rPr>
        <w:t xml:space="preserve"> thereafter or such greater amount as may be agreed by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Commitment Amount</w:t>
      </w:r>
      <w:r>
        <w:rPr>
          <w:b/>
          <w:bCs/>
          <w:szCs w:val="24"/>
        </w:rPr>
        <w:t>”</w:t>
      </w:r>
      <w:r>
        <w:rPr>
          <w:szCs w:val="24"/>
        </w:rPr>
        <w:t xml:space="preserve"> has the meaning given to such term in Section 3.3(b).</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Confidential Information</w:t>
      </w:r>
      <w:r>
        <w:rPr>
          <w:b/>
          <w:bCs/>
          <w:szCs w:val="24"/>
        </w:rPr>
        <w:t>”</w:t>
      </w:r>
      <w:r>
        <w:rPr>
          <w:szCs w:val="24"/>
        </w:rPr>
        <w:t xml:space="preserve"> has the meaning given to such term in Section 22.1.</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Default</w:t>
      </w:r>
      <w:r>
        <w:rPr>
          <w:b/>
          <w:bCs/>
          <w:szCs w:val="24"/>
        </w:rPr>
        <w:t xml:space="preserve">” </w:t>
      </w:r>
      <w:r>
        <w:rPr>
          <w:szCs w:val="24"/>
        </w:rPr>
        <w:t xml:space="preserve">means any event which, with the giving of notice or the lapse of time or both, will constitute an Event of Default; </w:t>
      </w:r>
      <w:r>
        <w:rPr>
          <w:szCs w:val="24"/>
          <w:u w:val="single"/>
        </w:rPr>
        <w:t>provided</w:t>
      </w:r>
      <w:r>
        <w:rPr>
          <w:szCs w:val="24"/>
        </w:rPr>
        <w:t>, that such notice, lapse of time, determination or condition is in any case specified or referred to in the relevant Event of Default set forth in Section 13.1.</w:t>
      </w:r>
    </w:p>
    <w:p>
      <w:pPr>
        <w:pStyle w:val="Normal"/>
        <w:jc w:val="both"/>
        <w:rPr>
          <w:szCs w:val="24"/>
        </w:rPr>
      </w:pPr>
      <w:r>
        <w:rPr>
          <w:szCs w:val="24"/>
        </w:rPr>
      </w:r>
    </w:p>
    <w:p>
      <w:pPr>
        <w:pStyle w:val="Normal"/>
        <w:jc w:val="both"/>
        <w:rPr/>
      </w:pPr>
      <w:r>
        <w:rPr>
          <w:b/>
          <w:bCs/>
          <w:szCs w:val="24"/>
        </w:rPr>
        <w:tab/>
        <w:t>“</w:t>
      </w:r>
      <w:r>
        <w:rPr>
          <w:b/>
          <w:bCs/>
          <w:szCs w:val="24"/>
          <w:u w:val="single"/>
        </w:rPr>
        <w:t>Default Rate</w:t>
      </w:r>
      <w:r>
        <w:rPr>
          <w:b/>
          <w:bCs/>
          <w:szCs w:val="24"/>
        </w:rPr>
        <w:t>”</w:t>
      </w:r>
      <w:r>
        <w:rPr>
          <w:szCs w:val="24"/>
        </w:rPr>
        <w:t xml:space="preserve"> has the meaning given to such term in Section 8.3(a).</w:t>
      </w:r>
    </w:p>
    <w:p>
      <w:pPr>
        <w:pStyle w:val="Normal"/>
        <w:jc w:val="both"/>
        <w:rPr>
          <w:szCs w:val="24"/>
        </w:rPr>
      </w:pPr>
      <w:r>
        <w:rPr>
          <w:szCs w:val="24"/>
        </w:rPr>
      </w:r>
    </w:p>
    <w:p>
      <w:pPr>
        <w:pStyle w:val="Normal"/>
        <w:jc w:val="both"/>
        <w:rPr/>
      </w:pPr>
      <w:r>
        <w:rPr>
          <w:b/>
          <w:bCs/>
          <w:szCs w:val="24"/>
        </w:rPr>
        <w:tab/>
        <w:t>“</w:t>
      </w:r>
      <w:r>
        <w:rPr>
          <w:b/>
          <w:bCs/>
          <w:szCs w:val="24"/>
          <w:u w:val="single"/>
        </w:rPr>
        <w:t>Demand Note</w:t>
      </w:r>
      <w:r>
        <w:rPr>
          <w:b/>
          <w:bCs/>
          <w:szCs w:val="24"/>
        </w:rPr>
        <w:t>”</w:t>
      </w:r>
      <w:r>
        <w:rPr>
          <w:szCs w:val="24"/>
        </w:rPr>
        <w:t xml:space="preserve"> means, if applicable, a demand note executed by a Sponsor in favor of the related Asset LLC, in form and substance satisfactory to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Demand Note Assignment</w:t>
      </w:r>
      <w:r>
        <w:rPr>
          <w:b/>
          <w:bCs/>
          <w:szCs w:val="24"/>
        </w:rPr>
        <w:t>”</w:t>
      </w:r>
      <w:r>
        <w:rPr>
          <w:szCs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Dollars</w:t>
      </w:r>
      <w:r>
        <w:rPr>
          <w:b/>
          <w:bCs/>
          <w:szCs w:val="24"/>
        </w:rPr>
        <w:t xml:space="preserve">” </w:t>
      </w:r>
      <w:r>
        <w:rPr>
          <w:szCs w:val="24"/>
        </w:rPr>
        <w:t xml:space="preserve">or </w:t>
      </w:r>
      <w:r>
        <w:rPr>
          <w:b/>
          <w:bCs/>
          <w:szCs w:val="24"/>
        </w:rPr>
        <w:t>“</w:t>
      </w:r>
      <w:r>
        <w:rPr>
          <w:b/>
          <w:bCs/>
          <w:szCs w:val="24"/>
          <w:u w:val="single"/>
        </w:rPr>
        <w:t>$</w:t>
      </w:r>
      <w:r>
        <w:rPr>
          <w:b/>
          <w:bCs/>
          <w:szCs w:val="24"/>
        </w:rPr>
        <w:t xml:space="preserve">” </w:t>
      </w:r>
      <w:r>
        <w:rPr>
          <w:szCs w:val="24"/>
        </w:rPr>
        <w:t>shall mean the lawful currency of the United States.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Drawdown</w:t>
      </w:r>
      <w:r>
        <w:rPr>
          <w:b/>
          <w:bCs/>
          <w:szCs w:val="24"/>
        </w:rPr>
        <w:t>”</w:t>
      </w:r>
      <w:r>
        <w:rPr>
          <w:szCs w:val="24"/>
        </w:rPr>
        <w:t xml:space="preserve"> means the drawing down of a Tranche pursuant to Article V.</w:t>
      </w:r>
    </w:p>
    <w:p>
      <w:pPr>
        <w:pStyle w:val="Normal"/>
        <w:jc w:val="both"/>
        <w:rPr>
          <w:szCs w:val="24"/>
        </w:rPr>
      </w:pPr>
      <w:r>
        <w:rPr>
          <w:szCs w:val="24"/>
        </w:rPr>
      </w:r>
    </w:p>
    <w:p>
      <w:pPr>
        <w:pStyle w:val="Normal"/>
        <w:jc w:val="both"/>
        <w:rPr/>
      </w:pPr>
      <w:r>
        <w:rPr>
          <w:szCs w:val="24"/>
        </w:rPr>
        <w:tab/>
        <w:t>“</w:t>
      </w:r>
      <w:r>
        <w:rPr>
          <w:b/>
          <w:bCs/>
          <w:szCs w:val="24"/>
          <w:u w:val="single"/>
        </w:rPr>
        <w:t>Drawdown Date</w:t>
      </w:r>
      <w:r>
        <w:rPr>
          <w:szCs w:val="24"/>
        </w:rPr>
        <w:t>”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Drawdown Request</w:t>
      </w:r>
      <w:r>
        <w:rPr>
          <w:b/>
          <w:bCs/>
          <w:szCs w:val="24"/>
        </w:rPr>
        <w:t>”</w:t>
      </w:r>
      <w:r>
        <w:rPr>
          <w:szCs w:val="24"/>
        </w:rPr>
        <w:t xml:space="preserve"> means a notice requesting the drawdown of a Tranche in substantially the form of Exhibit A executed by the Trust and delivered to the Agent.</w:t>
      </w:r>
    </w:p>
    <w:p>
      <w:pPr>
        <w:pStyle w:val="Normal"/>
        <w:jc w:val="both"/>
        <w:rPr/>
      </w:pPr>
      <w:r>
        <w:rPr>
          <w:szCs w:val="24"/>
        </w:rPr>
        <w:tab/>
      </w:r>
      <w:r>
        <w:rPr>
          <w:b/>
          <w:bCs/>
          <w:szCs w:val="24"/>
        </w:rPr>
        <w:t>“</w:t>
      </w:r>
      <w:r>
        <w:rPr>
          <w:b/>
          <w:bCs/>
          <w:szCs w:val="24"/>
          <w:u w:val="single"/>
        </w:rPr>
        <w:t>Eligible Assignee</w:t>
      </w:r>
      <w:r>
        <w:rPr>
          <w:b/>
          <w:bCs/>
          <w:szCs w:val="24"/>
        </w:rPr>
        <w:t>”</w:t>
      </w:r>
      <w:r>
        <w:rPr>
          <w:szCs w:val="24"/>
        </w:rPr>
        <w:t xml:space="preserve"> means any Person (a) which is a bank or other financial institution and  (b) which is reasonably acceptable to Enron and the Agent.  </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Enron</w:t>
      </w:r>
      <w:r>
        <w:rPr>
          <w:b/>
          <w:bCs/>
          <w:szCs w:val="24"/>
        </w:rPr>
        <w:t>”</w:t>
      </w:r>
      <w:r>
        <w:rPr>
          <w:szCs w:val="24"/>
        </w:rPr>
        <w:t xml:space="preserve"> means Enron Corp., a corporation organized under the laws of the State of Oregon.</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Enron Guaranty</w:t>
      </w:r>
      <w:r>
        <w:rPr>
          <w:b/>
          <w:bCs/>
          <w:szCs w:val="24"/>
        </w:rPr>
        <w:t>”</w:t>
      </w:r>
      <w:r>
        <w:rPr>
          <w:szCs w:val="24"/>
        </w:rPr>
        <w:t xml:space="preserve"> means a guaranty from Enron to the Trust in substantially the form of Exhibit G4</w:t>
      </w:r>
      <w:r>
        <w:rPr>
          <w:strike/>
          <w:szCs w:val="24"/>
        </w:rPr>
        <w:t>, together with such amendments as the Agent may approve in its sole discretion</w:t>
      </w:r>
      <w:r>
        <w:rPr>
          <w:szCs w:val="24"/>
        </w:rPr>
        <w: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Equity Amount</w:t>
      </w:r>
      <w:r>
        <w:rPr>
          <w:b/>
          <w:bCs/>
          <w:szCs w:val="24"/>
        </w:rPr>
        <w:t>”</w:t>
      </w:r>
      <w:r>
        <w:rPr>
          <w:szCs w:val="24"/>
        </w:rPr>
        <w:t xml:space="preserve"> means, with respect to any Tranche, the initial Certificate Base Amount (as defined in the Trust Agreement) of the Series Certificate issued with respect to the applicable Series.</w:t>
      </w:r>
    </w:p>
    <w:p>
      <w:pPr>
        <w:pStyle w:val="Normal"/>
        <w:jc w:val="both"/>
        <w:rPr>
          <w:szCs w:val="24"/>
        </w:rPr>
      </w:pPr>
      <w:r>
        <w:rPr>
          <w:szCs w:val="24"/>
        </w:rPr>
      </w:r>
    </w:p>
    <w:p>
      <w:pPr>
        <w:pStyle w:val="Normal"/>
        <w:jc w:val="both"/>
        <w:rPr/>
      </w:pPr>
      <w:r>
        <w:rPr>
          <w:b/>
          <w:bCs/>
          <w:szCs w:val="24"/>
        </w:rPr>
        <w:tab/>
        <w:t>“</w:t>
      </w:r>
      <w:r>
        <w:rPr>
          <w:b/>
          <w:bCs/>
          <w:szCs w:val="24"/>
          <w:u w:val="single"/>
        </w:rPr>
        <w:t>Eurocurrency Liabilities</w:t>
      </w:r>
      <w:r>
        <w:rPr>
          <w:b/>
          <w:bCs/>
          <w:szCs w:val="24"/>
        </w:rPr>
        <w:t>”</w:t>
      </w:r>
      <w:r>
        <w:rPr>
          <w:szCs w:val="24"/>
        </w:rPr>
        <w:t xml:space="preserve"> has the meaning assigned to that term in Regulation D of the Federal Reserve Board, as in effect from time to time.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Event of Default</w:t>
      </w:r>
      <w:r>
        <w:rPr>
          <w:b/>
          <w:bCs/>
          <w:szCs w:val="24"/>
        </w:rPr>
        <w:t>”</w:t>
      </w:r>
      <w:r>
        <w:rPr>
          <w:szCs w:val="24"/>
        </w:rPr>
        <w:t xml:space="preserve"> means any of the events specified in Section 13.1.</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Existing Advances</w:t>
      </w:r>
      <w:r>
        <w:rPr>
          <w:b/>
          <w:bCs/>
          <w:szCs w:val="24"/>
        </w:rPr>
        <w:t>”</w:t>
      </w:r>
      <w:r>
        <w:rPr>
          <w:szCs w:val="24"/>
        </w:rPr>
        <w:t xml:space="preserve"> has the meaning given to such term in Section 3.3(c).</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Federal Funds Rate</w:t>
      </w:r>
      <w:r>
        <w:rPr>
          <w:b/>
          <w:bCs/>
          <w:szCs w:val="24"/>
        </w:rPr>
        <w:t>”</w:t>
      </w:r>
      <w:r>
        <w:rPr>
          <w:szCs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Federal Reserve Board</w:t>
      </w:r>
      <w:r>
        <w:rPr>
          <w:b/>
          <w:bCs/>
          <w:szCs w:val="24"/>
        </w:rPr>
        <w:t>”</w:t>
      </w:r>
      <w:r>
        <w:rPr>
          <w:szCs w:val="24"/>
        </w:rPr>
        <w:t xml:space="preserve"> means the Board of Governors of the Federal Reserve System, or any federal agency or authority of the United States from time to time succeeding to its function.</w:t>
      </w:r>
    </w:p>
    <w:p>
      <w:pPr>
        <w:pStyle w:val="Normal"/>
        <w:jc w:val="both"/>
        <w:rPr>
          <w:b/>
          <w:bCs/>
          <w:szCs w:val="24"/>
        </w:rPr>
      </w:pPr>
      <w:r>
        <w:rPr>
          <w:b/>
          <w:bCs/>
          <w:szCs w:val="24"/>
        </w:rPr>
      </w:r>
    </w:p>
    <w:p>
      <w:pPr>
        <w:pStyle w:val="Normal"/>
        <w:jc w:val="both"/>
        <w:rPr/>
      </w:pPr>
      <w:r>
        <w:rPr>
          <w:b/>
          <w:bCs/>
          <w:szCs w:val="24"/>
        </w:rPr>
        <w:tab/>
        <w:t>“</w:t>
      </w:r>
      <w:r>
        <w:rPr>
          <w:b/>
          <w:bCs/>
          <w:szCs w:val="24"/>
          <w:u w:val="single"/>
        </w:rPr>
        <w:t>Fee Letters</w:t>
      </w:r>
      <w:r>
        <w:rPr>
          <w:b/>
          <w:bCs/>
          <w:szCs w:val="24"/>
        </w:rPr>
        <w:t>”</w:t>
      </w:r>
      <w:r>
        <w:rPr>
          <w:szCs w:val="24"/>
        </w:rPr>
        <w:t xml:space="preserve"> means collectively, (i) the fee letter, dated as of the date hereof between Enron and the Agent relating to the facility fee and (ii) the fee letter dated October 13, 2000 among the Agent, the Arranger and Enron.</w:t>
      </w:r>
    </w:p>
    <w:p>
      <w:pPr>
        <w:pStyle w:val="Normal"/>
        <w:jc w:val="both"/>
        <w:rPr>
          <w:b/>
          <w:bCs/>
          <w:szCs w:val="24"/>
        </w:rPr>
      </w:pPr>
      <w:r>
        <w:rPr>
          <w:b/>
          <w:bCs/>
          <w:szCs w:val="24"/>
        </w:rPr>
      </w:r>
    </w:p>
    <w:p>
      <w:pPr>
        <w:pStyle w:val="Normal"/>
        <w:jc w:val="both"/>
        <w:rPr/>
      </w:pPr>
      <w:r>
        <w:rPr>
          <w:szCs w:val="24"/>
        </w:rPr>
        <w:tab/>
      </w:r>
      <w:r>
        <w:rPr>
          <w:b/>
          <w:bCs/>
          <w:szCs w:val="24"/>
        </w:rPr>
        <w:t>“</w:t>
      </w:r>
      <w:r>
        <w:rPr>
          <w:b/>
          <w:bCs/>
          <w:szCs w:val="24"/>
          <w:u w:val="single"/>
        </w:rPr>
        <w:t>Final Advance Date</w:t>
      </w:r>
      <w:r>
        <w:rPr>
          <w:b/>
          <w:bCs/>
          <w:szCs w:val="24"/>
        </w:rPr>
        <w:t>”</w:t>
      </w:r>
      <w:r>
        <w:rPr>
          <w:szCs w:val="24"/>
        </w:rPr>
        <w:t xml:space="preserve"> means October </w:t>
      </w:r>
      <w:r>
        <w:rPr>
          <w:b/>
          <w:bCs/>
          <w:szCs w:val="24"/>
        </w:rPr>
        <w:t>[</w:t>
      </w:r>
      <w:r>
        <w:rPr>
          <w:szCs w:val="24"/>
        </w:rPr>
        <w:t>17</w:t>
      </w:r>
      <w:r>
        <w:rPr>
          <w:b/>
          <w:bCs/>
          <w:szCs w:val="24"/>
        </w:rPr>
        <w:t>]</w:t>
      </w:r>
      <w:r>
        <w:rPr>
          <w:szCs w:val="24"/>
        </w:rPr>
        <w:t>,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jc w:val="both"/>
        <w:rPr>
          <w:b/>
          <w:bCs/>
          <w:szCs w:val="24"/>
        </w:rPr>
      </w:pPr>
      <w:r>
        <w:rPr>
          <w:b/>
          <w:bCs/>
          <w:szCs w:val="24"/>
        </w:rPr>
      </w:r>
    </w:p>
    <w:p>
      <w:pPr>
        <w:pStyle w:val="Normal"/>
        <w:jc w:val="both"/>
        <w:rPr/>
      </w:pPr>
      <w:r>
        <w:rPr>
          <w:b/>
          <w:bCs/>
          <w:szCs w:val="24"/>
        </w:rPr>
        <w:tab/>
        <w:t>“</w:t>
      </w:r>
      <w:r>
        <w:rPr>
          <w:b/>
          <w:bCs/>
          <w:szCs w:val="24"/>
          <w:u w:val="single"/>
        </w:rPr>
        <w:t>Finance Documents</w:t>
      </w:r>
      <w:r>
        <w:rPr>
          <w:b/>
          <w:bCs/>
          <w:szCs w:val="24"/>
        </w:rPr>
        <w:t xml:space="preserve">” </w:t>
      </w:r>
      <w:r>
        <w:rPr>
          <w:szCs w:val="24"/>
        </w:rPr>
        <w:t>means this Agreement, the Notes, the Fee Letters, the Total Return Swap Agreements, the Enron Guaranty, the Reimbursement and Disclosure Agreement, the Put Option Agreements (if applicable) and the Demand Notes (if applicable).</w:t>
      </w:r>
    </w:p>
    <w:p>
      <w:pPr>
        <w:pStyle w:val="Normal"/>
        <w:jc w:val="both"/>
        <w:rPr>
          <w:szCs w:val="24"/>
        </w:rPr>
      </w:pPr>
      <w:r>
        <w:rPr>
          <w:szCs w:val="24"/>
        </w:rPr>
      </w:r>
    </w:p>
    <w:p>
      <w:pPr>
        <w:pStyle w:val="Normal"/>
        <w:jc w:val="both"/>
        <w:rPr/>
      </w:pPr>
      <w:r>
        <w:rPr>
          <w:b/>
          <w:bCs/>
          <w:szCs w:val="24"/>
        </w:rPr>
        <w:tab/>
        <w:t>“</w:t>
      </w:r>
      <w:r>
        <w:rPr>
          <w:b/>
          <w:bCs/>
          <w:szCs w:val="24"/>
          <w:u w:val="single"/>
        </w:rPr>
        <w:t>Finance Indemnitees</w:t>
      </w:r>
      <w:r>
        <w:rPr>
          <w:b/>
          <w:bCs/>
          <w:szCs w:val="24"/>
        </w:rPr>
        <w:t>”</w:t>
      </w:r>
      <w:r>
        <w:rPr>
          <w:szCs w:val="24"/>
        </w:rPr>
        <w:t xml:space="preserve"> has the meaning given to such term in Section 25.1.</w:t>
      </w:r>
    </w:p>
    <w:p>
      <w:pPr>
        <w:pStyle w:val="Normal"/>
        <w:jc w:val="both"/>
        <w:rPr>
          <w:szCs w:val="24"/>
        </w:rPr>
      </w:pPr>
      <w:r>
        <w:rPr>
          <w:szCs w:val="24"/>
        </w:rPr>
      </w:r>
    </w:p>
    <w:p>
      <w:pPr>
        <w:pStyle w:val="Normal"/>
        <w:jc w:val="both"/>
        <w:rPr/>
      </w:pPr>
      <w:r>
        <w:rPr>
          <w:b/>
          <w:bCs/>
          <w:szCs w:val="24"/>
        </w:rPr>
        <w:tab/>
        <w:t>“</w:t>
      </w:r>
      <w:r>
        <w:rPr>
          <w:b/>
          <w:bCs/>
          <w:szCs w:val="24"/>
          <w:u w:val="single"/>
        </w:rPr>
        <w:t>Finance Parties</w:t>
      </w:r>
      <w:r>
        <w:rPr>
          <w:szCs w:val="24"/>
        </w:rPr>
        <w:t>” means the Agent, the Arranger, the Co-Arrangers,  the Syndication Agent, the Documentation Agent and the Lenders.</w:t>
      </w:r>
    </w:p>
    <w:p>
      <w:pPr>
        <w:pStyle w:val="Normal"/>
        <w:jc w:val="both"/>
        <w:rPr>
          <w:szCs w:val="24"/>
        </w:rPr>
      </w:pPr>
      <w:r>
        <w:rPr>
          <w:szCs w:val="24"/>
        </w:rPr>
        <w:t xml:space="preserve"> </w:t>
      </w:r>
    </w:p>
    <w:p>
      <w:pPr>
        <w:pStyle w:val="Normal"/>
        <w:jc w:val="both"/>
        <w:rPr/>
      </w:pPr>
      <w:r>
        <w:rPr>
          <w:szCs w:val="24"/>
        </w:rPr>
        <w:tab/>
      </w:r>
      <w:r>
        <w:rPr>
          <w:b/>
          <w:bCs/>
          <w:szCs w:val="24"/>
        </w:rPr>
        <w:t>“</w:t>
      </w:r>
      <w:r>
        <w:rPr>
          <w:b/>
          <w:bCs/>
          <w:szCs w:val="24"/>
          <w:u w:val="single"/>
        </w:rPr>
        <w:t>Funding Indemnity Agreement</w:t>
      </w:r>
      <w:r>
        <w:rPr>
          <w:b/>
          <w:bCs/>
          <w:szCs w:val="24"/>
        </w:rPr>
        <w:t>”</w:t>
      </w:r>
      <w:r>
        <w:rPr>
          <w:szCs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Funding Office</w:t>
      </w:r>
      <w:r>
        <w:rPr>
          <w:b/>
          <w:bCs/>
          <w:szCs w:val="24"/>
        </w:rPr>
        <w:t>”</w:t>
      </w:r>
      <w:r>
        <w:rPr>
          <w:szCs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jc w:val="both"/>
        <w:rPr>
          <w:szCs w:val="24"/>
        </w:rPr>
      </w:pPr>
      <w:r>
        <w:rPr>
          <w:szCs w:val="24"/>
        </w:rPr>
      </w:r>
    </w:p>
    <w:p>
      <w:pPr>
        <w:pStyle w:val="Normal"/>
        <w:jc w:val="both"/>
        <w:rPr/>
      </w:pPr>
      <w:r>
        <w:rPr>
          <w:szCs w:val="24"/>
        </w:rPr>
        <w:tab/>
        <w:t>“</w:t>
      </w:r>
      <w:r>
        <w:rPr>
          <w:b/>
          <w:bCs/>
          <w:szCs w:val="24"/>
          <w:u w:val="single"/>
        </w:rPr>
        <w:t>GAAP</w:t>
      </w:r>
      <w:r>
        <w:rPr>
          <w:szCs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jc w:val="both"/>
        <w:rPr>
          <w:szCs w:val="24"/>
        </w:rPr>
      </w:pPr>
      <w:r>
        <w:rPr>
          <w:szCs w:val="24"/>
        </w:rPr>
      </w:r>
    </w:p>
    <w:p>
      <w:pPr>
        <w:pStyle w:val="Normal"/>
        <w:jc w:val="both"/>
        <w:rPr/>
      </w:pPr>
      <w:r>
        <w:rPr>
          <w:szCs w:val="24"/>
        </w:rPr>
        <w:tab/>
        <w:t>“</w:t>
      </w:r>
      <w:r>
        <w:rPr>
          <w:b/>
          <w:bCs/>
          <w:szCs w:val="24"/>
          <w:u w:val="single"/>
        </w:rPr>
        <w:t>Hawaii Facility Agreement</w:t>
      </w:r>
      <w:r>
        <w:rPr>
          <w:szCs w:val="24"/>
        </w:rPr>
        <w:t xml:space="preserve">” means that certain Amended and Restated Facility Agreement dated May 31, 2000 among Hawaii 125-0 Trust, as issuer of the notes, the Lenders party thereto, Canadian Imperial Bank of Commerce, as Administrative Agent, CIBC World Markets Corp., as Sole Lead Arranger and Bookrunner, First Union National Bank and </w:t>
      </w:r>
      <w:r>
        <w:rPr>
          <w:strike/>
          <w:szCs w:val="24"/>
        </w:rPr>
        <w:t>San Paolo</w:t>
      </w:r>
      <w:r>
        <w:rPr>
          <w:szCs w:val="24"/>
        </w:rPr>
        <w:t xml:space="preserve"> </w:t>
      </w:r>
      <w:r>
        <w:rPr>
          <w:b/>
          <w:bCs/>
          <w:szCs w:val="24"/>
          <w:u w:val="double"/>
        </w:rPr>
        <w:t>SANPAOLO</w:t>
      </w:r>
      <w:r>
        <w:rPr>
          <w:szCs w:val="24"/>
        </w:rPr>
        <w:t xml:space="preserve"> IMI S.p.A., as Co-Arrangers, BNP Paribas, as Syndication Agent, and Bayerische Landesbank, as Documentation Agent.</w:t>
      </w:r>
    </w:p>
    <w:p>
      <w:pPr>
        <w:pStyle w:val="Normal"/>
        <w:jc w:val="both"/>
        <w:rPr>
          <w:szCs w:val="24"/>
        </w:rPr>
      </w:pPr>
      <w:r>
        <w:rPr>
          <w:szCs w:val="24"/>
        </w:rPr>
      </w:r>
    </w:p>
    <w:p>
      <w:pPr>
        <w:pStyle w:val="Normal"/>
        <w:jc w:val="both"/>
        <w:rPr/>
      </w:pPr>
      <w:r>
        <w:rPr>
          <w:szCs w:val="24"/>
        </w:rPr>
        <w:tab/>
        <w:t>“</w:t>
      </w:r>
      <w:r>
        <w:rPr>
          <w:b/>
          <w:bCs/>
          <w:szCs w:val="24"/>
          <w:u w:val="single"/>
        </w:rPr>
        <w:t>Hawaii Total Return Swap Agreement</w:t>
      </w:r>
      <w:r>
        <w:rPr>
          <w:szCs w:val="24"/>
        </w:rPr>
        <w:t xml:space="preserve">” means that certain ISDA Master Agreement, dated March 31, 2000, and executed by the Trust and Enron, together with the Schedule thereto, dated March 31, 2000, and the Total Return Swap Confirmations thereto with respect to Series McGarret A, Series McGarret C </w:t>
      </w:r>
      <w:r>
        <w:rPr>
          <w:strike/>
          <w:szCs w:val="24"/>
        </w:rPr>
        <w:t>and</w:t>
      </w:r>
      <w:r>
        <w:rPr>
          <w:b/>
          <w:bCs/>
          <w:szCs w:val="24"/>
          <w:u w:val="double"/>
        </w:rPr>
        <w:t>,</w:t>
      </w:r>
      <w:r>
        <w:rPr>
          <w:szCs w:val="24"/>
        </w:rPr>
        <w:t xml:space="preserve"> Series McGarret D </w:t>
      </w:r>
      <w:r>
        <w:rPr>
          <w:b/>
          <w:bCs/>
          <w:szCs w:val="24"/>
          <w:u w:val="double"/>
        </w:rPr>
        <w:t>and Series Danno B</w:t>
      </w:r>
      <w:r>
        <w:rPr>
          <w:szCs w:val="24"/>
        </w:rPr>
        <w:t xml:space="preserve">, dated March 31, 2000, August 31, 2000 </w:t>
      </w:r>
      <w:r>
        <w:rPr>
          <w:strike/>
          <w:szCs w:val="24"/>
        </w:rPr>
        <w:t>and</w:t>
      </w:r>
      <w:r>
        <w:rPr>
          <w:b/>
          <w:bCs/>
          <w:szCs w:val="24"/>
          <w:u w:val="double"/>
        </w:rPr>
        <w:t>,</w:t>
      </w:r>
      <w:r>
        <w:rPr>
          <w:szCs w:val="24"/>
        </w:rPr>
        <w:t xml:space="preserve"> September 29, </w:t>
      </w:r>
      <w:r>
        <w:rPr>
          <w:b/>
          <w:bCs/>
          <w:szCs w:val="24"/>
          <w:u w:val="double"/>
        </w:rPr>
        <w:t>2000 and June 15,</w:t>
      </w:r>
      <w:r>
        <w:rPr>
          <w:szCs w:val="24"/>
        </w:rPr>
        <w:t xml:space="preserve"> 2000, respectively, as such agreement is or has been amended or modified thereafter.</w:t>
      </w:r>
    </w:p>
    <w:p>
      <w:pPr>
        <w:pStyle w:val="Normal"/>
        <w:jc w:val="both"/>
        <w:rPr>
          <w:szCs w:val="24"/>
        </w:rPr>
      </w:pPr>
      <w:r>
        <w:rPr>
          <w:szCs w:val="24"/>
        </w:rPr>
      </w:r>
    </w:p>
    <w:p>
      <w:pPr>
        <w:pStyle w:val="Normal"/>
        <w:jc w:val="both"/>
        <w:rPr/>
      </w:pPr>
      <w:r>
        <w:rPr>
          <w:szCs w:val="24"/>
        </w:rPr>
        <w:tab/>
        <w:t>“</w:t>
      </w:r>
      <w:r>
        <w:rPr>
          <w:b/>
          <w:bCs/>
          <w:szCs w:val="24"/>
          <w:u w:val="single"/>
        </w:rPr>
        <w:t>Hawaii Tranches</w:t>
      </w:r>
      <w:r>
        <w:rPr>
          <w:szCs w:val="24"/>
        </w:rPr>
        <w:t xml:space="preserve">” shall mean the Tranches drawn down on the date hereof with respect to Series McGarret A, Series McGarret C </w:t>
      </w:r>
      <w:r>
        <w:rPr>
          <w:strike/>
          <w:szCs w:val="24"/>
        </w:rPr>
        <w:t>and</w:t>
      </w:r>
      <w:r>
        <w:rPr>
          <w:b/>
          <w:bCs/>
          <w:szCs w:val="24"/>
          <w:u w:val="double"/>
        </w:rPr>
        <w:t>,</w:t>
      </w:r>
      <w:r>
        <w:rPr>
          <w:szCs w:val="24"/>
        </w:rPr>
        <w:t xml:space="preserve"> Series McGarret D </w:t>
      </w:r>
      <w:r>
        <w:rPr>
          <w:b/>
          <w:bCs/>
          <w:szCs w:val="24"/>
          <w:u w:val="double"/>
        </w:rPr>
        <w:t>and Series Danno B</w:t>
      </w:r>
      <w:r>
        <w:rPr>
          <w:szCs w:val="24"/>
        </w:rPr>
        <w:t xml:space="preserve"> of the Trust, the proceeds of which shall be used to pay to Enron the Fixed Amount in exchange for the Floating Amount (as such terms are defined in the Hawaii Total Return Swap Agreement), pursuant to the Hawaii Total Return Swap Agreement, with respect to each such Series.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Hawaii I Facility Agreement</w:t>
      </w:r>
      <w:r>
        <w:rPr>
          <w:b/>
          <w:bCs/>
          <w:szCs w:val="24"/>
        </w:rPr>
        <w:t>”</w:t>
      </w:r>
      <w:r>
        <w:rPr>
          <w:szCs w:val="24"/>
        </w:rPr>
        <w:t xml:space="preserve"> means that certain Facility Agreement dated November </w:t>
      </w:r>
      <w:r>
        <w:rPr>
          <w:b/>
          <w:bCs/>
          <w:szCs w:val="24"/>
        </w:rPr>
        <w:t>[</w:t>
      </w:r>
      <w:r>
        <w:rPr>
          <w:szCs w:val="24"/>
        </w:rPr>
        <w:t>17</w:t>
      </w:r>
      <w:r>
        <w:rPr>
          <w:b/>
          <w:bCs/>
          <w:szCs w:val="24"/>
        </w:rPr>
        <w:t>]</w:t>
      </w:r>
      <w:r>
        <w:rPr>
          <w:szCs w:val="24"/>
        </w:rPr>
        <w:t xml:space="preserve">, 2000 among Hawaii I 125-0 Trust, as issuer of the notes, the Lenders party thereto, Canadian Imperial Bank of Commerce, as Administrative Agent, CIBC World Markets Corp., as Sole Lead Arranger and Bookrunner, First Union National Bank and </w:t>
      </w:r>
      <w:r>
        <w:rPr>
          <w:strike/>
          <w:szCs w:val="24"/>
        </w:rPr>
        <w:t>San Paolo</w:t>
      </w:r>
      <w:r>
        <w:rPr>
          <w:szCs w:val="24"/>
        </w:rPr>
        <w:t xml:space="preserve"> </w:t>
      </w:r>
      <w:r>
        <w:rPr>
          <w:b/>
          <w:bCs/>
          <w:szCs w:val="24"/>
          <w:u w:val="double"/>
        </w:rPr>
        <w:t>SANPAOLO</w:t>
      </w:r>
      <w:r>
        <w:rPr>
          <w:szCs w:val="24"/>
        </w:rPr>
        <w:t xml:space="preserve"> IMI S.p.A., as Co-Arrangers, BNP Paribas, as Syndication Agent, and Bayerische Landesbank, as Documentation Agent.</w:t>
      </w:r>
    </w:p>
    <w:p>
      <w:pPr>
        <w:pStyle w:val="Normal"/>
        <w:jc w:val="both"/>
        <w:rPr>
          <w:szCs w:val="24"/>
        </w:rPr>
      </w:pPr>
      <w:r>
        <w:rPr>
          <w:szCs w:val="24"/>
        </w:rPr>
      </w:r>
    </w:p>
    <w:p>
      <w:pPr>
        <w:pStyle w:val="Normal"/>
        <w:jc w:val="both"/>
        <w:rPr/>
      </w:pPr>
      <w:r>
        <w:rPr>
          <w:szCs w:val="24"/>
        </w:rPr>
        <w:tab/>
        <w:t>“</w:t>
      </w:r>
      <w:r>
        <w:rPr>
          <w:b/>
          <w:bCs/>
          <w:szCs w:val="24"/>
          <w:u w:val="single"/>
        </w:rPr>
        <w:t>Hawaii I Tranches</w:t>
      </w:r>
      <w:r>
        <w:rPr>
          <w:szCs w:val="24"/>
        </w:rPr>
        <w:t>” has the meaning given to such term in Section 2.2(b).</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Increased Commitment Certificate</w:t>
      </w:r>
      <w:r>
        <w:rPr>
          <w:b/>
          <w:bCs/>
          <w:szCs w:val="24"/>
        </w:rPr>
        <w:t>”</w:t>
      </w:r>
      <w:r>
        <w:rPr>
          <w:szCs w:val="24"/>
        </w:rPr>
        <w:t xml:space="preserve"> has the meaning given to such term in Section 3.3(b).</w:t>
      </w:r>
    </w:p>
    <w:p>
      <w:pPr>
        <w:pStyle w:val="Normal"/>
        <w:jc w:val="both"/>
        <w:rPr/>
      </w:pPr>
      <w:r>
        <w:rPr>
          <w:szCs w:val="24"/>
        </w:rPr>
        <w:tab/>
      </w:r>
      <w:r>
        <w:rPr>
          <w:b/>
          <w:bCs/>
          <w:szCs w:val="24"/>
        </w:rPr>
        <w:t>“</w:t>
      </w:r>
      <w:r>
        <w:rPr>
          <w:b/>
          <w:bCs/>
          <w:szCs w:val="24"/>
          <w:u w:val="single"/>
        </w:rPr>
        <w:t>Increased Commitment Lender</w:t>
      </w:r>
      <w:r>
        <w:rPr>
          <w:b/>
          <w:bCs/>
          <w:szCs w:val="24"/>
        </w:rPr>
        <w:t>”</w:t>
      </w:r>
      <w:r>
        <w:rPr>
          <w:szCs w:val="24"/>
        </w:rPr>
        <w:t xml:space="preserve"> has the meaning given to such term in Section 3.3(b).</w:t>
      </w:r>
    </w:p>
    <w:p>
      <w:pPr>
        <w:pStyle w:val="Normal"/>
        <w:jc w:val="both"/>
        <w:rPr>
          <w:szCs w:val="24"/>
        </w:rPr>
      </w:pPr>
      <w:r>
        <w:rPr>
          <w:szCs w:val="24"/>
        </w:rPr>
      </w:r>
    </w:p>
    <w:p>
      <w:pPr>
        <w:pStyle w:val="Normal"/>
        <w:jc w:val="both"/>
        <w:rPr/>
      </w:pPr>
      <w:r>
        <w:rPr>
          <w:szCs w:val="24"/>
        </w:rPr>
        <w:tab/>
        <w:t>“</w:t>
      </w:r>
      <w:r>
        <w:rPr>
          <w:b/>
          <w:bCs/>
          <w:szCs w:val="24"/>
          <w:u w:val="single"/>
        </w:rPr>
        <w:t>Indebtedness</w:t>
      </w:r>
      <w:r>
        <w:rPr>
          <w:szCs w:val="24"/>
        </w:rPr>
        <w:t>” means, without duplication, any obligation (whether incurred as principal or surety) for the payment or repayment of money, whether present or future, actual or contingent in respect of or arising under or in connection with:</w:t>
      </w:r>
    </w:p>
    <w:p>
      <w:pPr>
        <w:pStyle w:val="Normal"/>
        <w:jc w:val="both"/>
        <w:rPr>
          <w:szCs w:val="24"/>
        </w:rPr>
      </w:pPr>
      <w:r>
        <w:rPr>
          <w:szCs w:val="24"/>
        </w:rPr>
      </w:r>
    </w:p>
    <w:p>
      <w:pPr>
        <w:pStyle w:val="Normal"/>
        <w:ind w:start="720" w:end="0"/>
        <w:jc w:val="both"/>
        <w:rPr>
          <w:szCs w:val="24"/>
        </w:rPr>
      </w:pPr>
      <w:r>
        <w:rPr>
          <w:szCs w:val="24"/>
        </w:rPr>
        <w:t>(i)</w:t>
        <w:tab/>
        <w:t>monies  borrowed including, without limitation, on a contractually subordinated basis;</w:t>
      </w:r>
    </w:p>
    <w:p>
      <w:pPr>
        <w:pStyle w:val="Normal"/>
        <w:jc w:val="both"/>
        <w:rPr>
          <w:szCs w:val="24"/>
        </w:rPr>
      </w:pPr>
      <w:r>
        <w:rPr>
          <w:szCs w:val="24"/>
        </w:rPr>
      </w:r>
    </w:p>
    <w:p>
      <w:pPr>
        <w:pStyle w:val="Normal"/>
        <w:ind w:start="720" w:end="0"/>
        <w:jc w:val="both"/>
        <w:rPr>
          <w:szCs w:val="24"/>
        </w:rPr>
      </w:pPr>
      <w:r>
        <w:rPr>
          <w:szCs w:val="24"/>
        </w:rPr>
        <w:t>(ii)</w:t>
        <w:tab/>
        <w:t>any debenture, bond, note or other similar instrument;</w:t>
      </w:r>
    </w:p>
    <w:p>
      <w:pPr>
        <w:pStyle w:val="Normal"/>
        <w:jc w:val="both"/>
        <w:rPr>
          <w:szCs w:val="24"/>
        </w:rPr>
      </w:pPr>
      <w:r>
        <w:rPr>
          <w:szCs w:val="24"/>
        </w:rPr>
      </w:r>
    </w:p>
    <w:p>
      <w:pPr>
        <w:pStyle w:val="Normal"/>
        <w:ind w:start="720" w:end="0"/>
        <w:jc w:val="both"/>
        <w:rPr>
          <w:szCs w:val="24"/>
        </w:rPr>
      </w:pPr>
      <w:r>
        <w:rPr>
          <w:szCs w:val="24"/>
        </w:rPr>
        <w:t>(iii)</w:t>
        <w:tab/>
        <w:t>any acceptance or documentary credit;</w:t>
      </w:r>
    </w:p>
    <w:p>
      <w:pPr>
        <w:pStyle w:val="Normal"/>
        <w:jc w:val="both"/>
        <w:rPr>
          <w:szCs w:val="24"/>
        </w:rPr>
      </w:pPr>
      <w:r>
        <w:rPr>
          <w:szCs w:val="24"/>
        </w:rPr>
      </w:r>
    </w:p>
    <w:p>
      <w:pPr>
        <w:pStyle w:val="Normal"/>
        <w:ind w:start="720" w:end="0"/>
        <w:jc w:val="both"/>
        <w:rPr>
          <w:szCs w:val="24"/>
        </w:rPr>
      </w:pPr>
      <w:r>
        <w:rPr>
          <w:szCs w:val="24"/>
        </w:rPr>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jc w:val="both"/>
        <w:rPr>
          <w:szCs w:val="24"/>
        </w:rPr>
      </w:pPr>
      <w:r>
        <w:rPr>
          <w:szCs w:val="24"/>
        </w:rPr>
      </w:r>
    </w:p>
    <w:p>
      <w:pPr>
        <w:pStyle w:val="Normal"/>
        <w:ind w:start="720" w:end="0"/>
        <w:jc w:val="both"/>
        <w:rPr>
          <w:szCs w:val="24"/>
        </w:rPr>
      </w:pPr>
      <w:r>
        <w:rPr>
          <w:szCs w:val="24"/>
        </w:rPr>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jc w:val="both"/>
        <w:rPr>
          <w:szCs w:val="24"/>
        </w:rPr>
      </w:pPr>
      <w:r>
        <w:rPr>
          <w:szCs w:val="24"/>
        </w:rPr>
      </w:r>
    </w:p>
    <w:p>
      <w:pPr>
        <w:pStyle w:val="Normal"/>
        <w:ind w:start="720" w:end="0"/>
        <w:jc w:val="both"/>
        <w:rPr>
          <w:szCs w:val="24"/>
        </w:rPr>
      </w:pPr>
      <w:r>
        <w:rPr>
          <w:szCs w:val="24"/>
        </w:rPr>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jc w:val="both"/>
        <w:rPr>
          <w:szCs w:val="24"/>
        </w:rPr>
      </w:pPr>
      <w:r>
        <w:rPr>
          <w:szCs w:val="24"/>
        </w:rPr>
      </w:r>
    </w:p>
    <w:p>
      <w:pPr>
        <w:pStyle w:val="Normal"/>
        <w:ind w:start="720" w:end="0"/>
        <w:jc w:val="both"/>
        <w:rPr>
          <w:szCs w:val="24"/>
        </w:rPr>
      </w:pPr>
      <w:r>
        <w:rPr>
          <w:szCs w:val="24"/>
        </w:rPr>
        <w:t>(vii)</w:t>
        <w:tab/>
        <w:t>the amount payable under any put option or other arrangement whereby the Trust, any Asset LLC or any Transferor is liable to purchase share capital or other securities issued;</w:t>
      </w:r>
    </w:p>
    <w:p>
      <w:pPr>
        <w:pStyle w:val="Normal"/>
        <w:jc w:val="both"/>
        <w:rPr>
          <w:szCs w:val="24"/>
        </w:rPr>
      </w:pPr>
      <w:r>
        <w:rPr>
          <w:szCs w:val="24"/>
        </w:rPr>
      </w:r>
    </w:p>
    <w:p>
      <w:pPr>
        <w:pStyle w:val="Normal"/>
        <w:ind w:start="720" w:end="0"/>
        <w:jc w:val="both"/>
        <w:rPr>
          <w:szCs w:val="24"/>
        </w:rPr>
      </w:pPr>
      <w:r>
        <w:rPr>
          <w:szCs w:val="24"/>
        </w:rPr>
        <w:t>(viii)</w:t>
        <w:tab/>
        <w:t>any guarantee, indemnity or similar assurance against financial loss of any Person in respect of obligations of the type described in the preceding paragraphs (i) to (vii);</w:t>
      </w:r>
    </w:p>
    <w:p>
      <w:pPr>
        <w:pStyle w:val="Normal"/>
        <w:jc w:val="both"/>
        <w:rPr>
          <w:szCs w:val="24"/>
        </w:rPr>
      </w:pPr>
      <w:r>
        <w:rPr>
          <w:szCs w:val="24"/>
        </w:rPr>
      </w:r>
    </w:p>
    <w:p>
      <w:pPr>
        <w:pStyle w:val="Normal"/>
        <w:ind w:start="720" w:end="0"/>
        <w:jc w:val="both"/>
        <w:rPr>
          <w:szCs w:val="24"/>
        </w:rPr>
      </w:pPr>
      <w:r>
        <w:rPr>
          <w:szCs w:val="24"/>
        </w:rPr>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jc w:val="both"/>
        <w:rPr>
          <w:szCs w:val="24"/>
        </w:rPr>
      </w:pPr>
      <w:r>
        <w:rPr>
          <w:szCs w:val="24"/>
        </w:rPr>
      </w:r>
    </w:p>
    <w:p>
      <w:pPr>
        <w:pStyle w:val="Normal"/>
        <w:ind w:start="720" w:end="0"/>
        <w:jc w:val="both"/>
        <w:rPr>
          <w:szCs w:val="24"/>
        </w:rPr>
      </w:pPr>
      <w:r>
        <w:rPr>
          <w:szCs w:val="24"/>
        </w:rPr>
        <w:t>(x)</w:t>
        <w:tab/>
        <w:t>amounts raised under any other transaction having as a primary, and not an incidental effect, the commercial effect of a borrowing;</w:t>
      </w:r>
    </w:p>
    <w:p>
      <w:pPr>
        <w:pStyle w:val="Normal"/>
        <w:jc w:val="both"/>
        <w:rPr>
          <w:szCs w:val="24"/>
        </w:rPr>
      </w:pPr>
      <w:r>
        <w:rPr>
          <w:szCs w:val="24"/>
        </w:rPr>
      </w:r>
    </w:p>
    <w:p>
      <w:pPr>
        <w:pStyle w:val="Normal"/>
        <w:ind w:start="720" w:end="0"/>
        <w:jc w:val="both"/>
        <w:rPr>
          <w:szCs w:val="24"/>
        </w:rPr>
      </w:pPr>
      <w:r>
        <w:rPr>
          <w:szCs w:val="24"/>
        </w:rPr>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jc w:val="both"/>
        <w:rPr>
          <w:szCs w:val="24"/>
        </w:rPr>
      </w:pPr>
      <w:r>
        <w:rPr>
          <w:szCs w:val="24"/>
        </w:rPr>
      </w:r>
    </w:p>
    <w:p>
      <w:pPr>
        <w:pStyle w:val="Normal"/>
        <w:ind w:start="720" w:end="0"/>
        <w:jc w:val="both"/>
        <w:rPr>
          <w:szCs w:val="24"/>
        </w:rPr>
      </w:pPr>
      <w:r>
        <w:rPr>
          <w:szCs w:val="24"/>
        </w:rPr>
        <w:t>(xii)</w:t>
        <w:tab/>
        <w:t>net amounts payable under any interest rate or currency swap, collar or other similar agreement or any other hedging or derivative instrument; or</w:t>
      </w:r>
    </w:p>
    <w:p>
      <w:pPr>
        <w:pStyle w:val="Normal"/>
        <w:jc w:val="both"/>
        <w:rPr>
          <w:szCs w:val="24"/>
        </w:rPr>
      </w:pPr>
      <w:r>
        <w:rPr>
          <w:szCs w:val="24"/>
        </w:rPr>
      </w:r>
    </w:p>
    <w:p>
      <w:pPr>
        <w:pStyle w:val="Normal"/>
        <w:ind w:start="720" w:end="0"/>
        <w:jc w:val="both"/>
        <w:rPr>
          <w:szCs w:val="24"/>
        </w:rPr>
      </w:pPr>
      <w:r>
        <w:rPr>
          <w:szCs w:val="24"/>
        </w:rPr>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jc w:val="both"/>
        <w:rPr>
          <w:szCs w:val="24"/>
        </w:rPr>
      </w:pPr>
      <w:r>
        <w:rPr>
          <w:szCs w:val="24"/>
        </w:rPr>
      </w:r>
    </w:p>
    <w:p>
      <w:pPr>
        <w:pStyle w:val="Normal"/>
        <w:jc w:val="both"/>
        <w:rPr/>
      </w:pPr>
      <w:r>
        <w:rPr>
          <w:b/>
          <w:bCs/>
          <w:szCs w:val="24"/>
        </w:rPr>
        <w:tab/>
        <w:t>“</w:t>
      </w:r>
      <w:r>
        <w:rPr>
          <w:b/>
          <w:bCs/>
          <w:szCs w:val="24"/>
          <w:u w:val="single"/>
        </w:rPr>
        <w:t>Independent Auctioneer Letter</w:t>
      </w:r>
      <w:r>
        <w:rPr>
          <w:b/>
          <w:bCs/>
          <w:szCs w:val="24"/>
        </w:rPr>
        <w:t xml:space="preserve">” </w:t>
      </w:r>
      <w:r>
        <w:rPr>
          <w:szCs w:val="24"/>
        </w:rPr>
        <w:t>means, with respect to each Asset LLC Agreement,  an Independent Auctioneer Letter in substantially the form of Exhibit F (with any amendments that may be approved by the Agent) between CIBC Inc. and the applicable Sponsor.</w:t>
      </w:r>
    </w:p>
    <w:p>
      <w:pPr>
        <w:pStyle w:val="Normal"/>
        <w:jc w:val="both"/>
        <w:rPr>
          <w:szCs w:val="24"/>
        </w:rPr>
      </w:pPr>
      <w:r>
        <w:rPr>
          <w:szCs w:val="24"/>
        </w:rPr>
      </w:r>
    </w:p>
    <w:p>
      <w:pPr>
        <w:pStyle w:val="Normal"/>
        <w:jc w:val="both"/>
        <w:rPr/>
      </w:pPr>
      <w:r>
        <w:rPr>
          <w:b/>
          <w:bCs/>
          <w:szCs w:val="24"/>
        </w:rPr>
        <w:tab/>
        <w:t>“</w:t>
      </w:r>
      <w:r>
        <w:rPr>
          <w:b/>
          <w:bCs/>
          <w:szCs w:val="24"/>
          <w:u w:val="single"/>
        </w:rPr>
        <w:t>Instrument of Assignment</w:t>
      </w:r>
      <w:r>
        <w:rPr>
          <w:b/>
          <w:bCs/>
          <w:szCs w:val="24"/>
        </w:rPr>
        <w:t xml:space="preserve">” </w:t>
      </w:r>
      <w:r>
        <w:rPr>
          <w:szCs w:val="24"/>
        </w:rPr>
        <w:t>means an instrument substantially in the form of Exhibit C.</w:t>
      </w:r>
    </w:p>
    <w:p>
      <w:pPr>
        <w:pStyle w:val="Normal"/>
        <w:jc w:val="both"/>
        <w:rPr>
          <w:szCs w:val="24"/>
        </w:rPr>
      </w:pPr>
      <w:r>
        <w:rPr>
          <w:szCs w:val="24"/>
        </w:rPr>
      </w:r>
    </w:p>
    <w:p>
      <w:pPr>
        <w:pStyle w:val="Normal"/>
        <w:jc w:val="both"/>
        <w:rPr/>
      </w:pPr>
      <w:r>
        <w:rPr>
          <w:b/>
          <w:bCs/>
          <w:szCs w:val="24"/>
        </w:rPr>
        <w:tab/>
        <w:t>“</w:t>
      </w:r>
      <w:r>
        <w:rPr>
          <w:b/>
          <w:bCs/>
          <w:szCs w:val="24"/>
          <w:u w:val="single"/>
        </w:rPr>
        <w:t>Interest Payment Date</w:t>
      </w:r>
      <w:r>
        <w:rPr>
          <w:b/>
          <w:bCs/>
          <w:szCs w:val="24"/>
        </w:rPr>
        <w:t xml:space="preserve">” </w:t>
      </w:r>
      <w:r>
        <w:rPr>
          <w:szCs w:val="24"/>
        </w:rPr>
        <w:t>means, in relation to the Advances, the date for payment of interest determined pursuant to Section 8.1(a).</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Interest Period</w:t>
      </w:r>
      <w:r>
        <w:rPr>
          <w:b/>
          <w:bCs/>
          <w:szCs w:val="24"/>
        </w:rPr>
        <w:t>”</w:t>
      </w:r>
      <w:r>
        <w:rPr>
          <w:szCs w:val="24"/>
        </w:rPr>
        <w:t xml:space="preserve"> means a period by reference to which interest is calculated and payable on the LIBOR Advances, determined in accordance with Section 8.2.</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Lender</w:t>
      </w:r>
      <w:r>
        <w:rPr>
          <w:b/>
          <w:bCs/>
          <w:szCs w:val="24"/>
        </w:rPr>
        <w:t>”</w:t>
      </w:r>
      <w:r>
        <w:rPr>
          <w:szCs w:val="24"/>
        </w:rPr>
        <w:t xml:space="preserve"> and </w:t>
      </w:r>
      <w:r>
        <w:rPr>
          <w:b/>
          <w:bCs/>
          <w:szCs w:val="24"/>
        </w:rPr>
        <w:t>“</w:t>
      </w:r>
      <w:r>
        <w:rPr>
          <w:b/>
          <w:bCs/>
          <w:szCs w:val="24"/>
          <w:u w:val="single"/>
        </w:rPr>
        <w:t>Lenders</w:t>
      </w:r>
      <w:r>
        <w:rPr>
          <w:b/>
          <w:bCs/>
          <w:szCs w:val="24"/>
        </w:rPr>
        <w:t>”</w:t>
      </w:r>
      <w:r>
        <w:rPr>
          <w:szCs w:val="24"/>
        </w:rPr>
        <w:t xml:space="preserve"> have the respective meanings given to such terms in the introductory paragraph to this Agreement.</w:t>
      </w:r>
    </w:p>
    <w:p>
      <w:pPr>
        <w:pStyle w:val="Normal"/>
        <w:keepNext w:val="true"/>
        <w:jc w:val="both"/>
        <w:rPr>
          <w:szCs w:val="24"/>
        </w:rPr>
      </w:pPr>
      <w:r>
        <w:rPr>
          <w:szCs w:val="24"/>
        </w:rPr>
      </w:r>
    </w:p>
    <w:p>
      <w:pPr>
        <w:pStyle w:val="Normal"/>
        <w:keepNext w:val="true"/>
        <w:keepLines/>
        <w:jc w:val="both"/>
        <w:rPr/>
      </w:pPr>
      <w:r>
        <w:rPr>
          <w:b/>
          <w:bCs/>
          <w:szCs w:val="24"/>
        </w:rPr>
        <w:tab/>
        <w:t>“</w:t>
      </w:r>
      <w:r>
        <w:rPr>
          <w:b/>
          <w:bCs/>
          <w:szCs w:val="24"/>
          <w:u w:val="single"/>
        </w:rPr>
        <w:t>LIBOR</w:t>
      </w:r>
      <w:r>
        <w:rPr>
          <w:b/>
          <w:bCs/>
          <w:szCs w:val="24"/>
        </w:rPr>
        <w:t>”</w:t>
      </w:r>
      <w:r>
        <w:rPr>
          <w:szCs w:val="24"/>
        </w:rPr>
        <w:t xml:space="preserve"> means, in relation to LIBOR Advances:</w:t>
      </w:r>
    </w:p>
    <w:p>
      <w:pPr>
        <w:pStyle w:val="Normal"/>
        <w:keepNext w:val="true"/>
        <w:keepLines/>
        <w:jc w:val="both"/>
        <w:rPr>
          <w:szCs w:val="24"/>
        </w:rPr>
      </w:pPr>
      <w:r>
        <w:rPr>
          <w:szCs w:val="24"/>
        </w:rPr>
      </w:r>
    </w:p>
    <w:p>
      <w:pPr>
        <w:pStyle w:val="Normal"/>
        <w:jc w:val="both"/>
        <w:rPr>
          <w:szCs w:val="24"/>
        </w:rPr>
      </w:pPr>
      <w:r>
        <w:rPr>
          <w:szCs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jc w:val="both"/>
        <w:rPr>
          <w:szCs w:val="24"/>
        </w:rPr>
      </w:pPr>
      <w:r>
        <w:rPr>
          <w:szCs w:val="24"/>
        </w:rPr>
      </w:r>
    </w:p>
    <w:p>
      <w:pPr>
        <w:pStyle w:val="Normal"/>
        <w:jc w:val="both"/>
        <w:rPr>
          <w:szCs w:val="24"/>
        </w:rPr>
      </w:pPr>
      <w:r>
        <w:rPr>
          <w:szCs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LIBOR Advances</w:t>
      </w:r>
      <w:r>
        <w:rPr>
          <w:b/>
          <w:bCs/>
          <w:szCs w:val="24"/>
        </w:rPr>
        <w:t>”</w:t>
      </w:r>
      <w:r>
        <w:rPr>
          <w:szCs w:val="24"/>
        </w:rPr>
        <w:t xml:space="preserve"> means Advances which bear interest at LIBOR.</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Lien</w:t>
      </w:r>
      <w:r>
        <w:rPr>
          <w:b/>
          <w:bCs/>
          <w:szCs w:val="24"/>
        </w:rPr>
        <w:t>”</w:t>
      </w:r>
      <w:r>
        <w:rPr>
          <w:szCs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Majority Lenders</w:t>
      </w:r>
      <w:r>
        <w:rPr>
          <w:b/>
          <w:bCs/>
          <w:szCs w:val="24"/>
        </w:rPr>
        <w:t>”</w:t>
      </w:r>
      <w:r>
        <w:rPr>
          <w:szCs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Mandatory Prepayment</w:t>
      </w:r>
      <w:r>
        <w:rPr>
          <w:b/>
          <w:bCs/>
          <w:szCs w:val="24"/>
        </w:rPr>
        <w:t>”</w:t>
      </w:r>
      <w:r>
        <w:rPr>
          <w:szCs w:val="24"/>
        </w:rPr>
        <w:t xml:space="preserve"> has the meaning given to such term in Section 7.1.</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Margin Stock</w:t>
      </w:r>
      <w:r>
        <w:rPr>
          <w:b/>
          <w:bCs/>
          <w:szCs w:val="24"/>
        </w:rPr>
        <w:t xml:space="preserve">” </w:t>
      </w:r>
      <w:r>
        <w:rPr>
          <w:szCs w:val="24"/>
        </w:rPr>
        <w:t>means margin stock within the meaning of Regulations T, U or X promulgated by the Federal Reserve Board.</w:t>
      </w:r>
    </w:p>
    <w:p>
      <w:pPr>
        <w:pStyle w:val="Normal"/>
        <w:jc w:val="both"/>
        <w:rPr>
          <w:szCs w:val="24"/>
        </w:rPr>
      </w:pPr>
      <w:r>
        <w:rPr>
          <w:szCs w:val="24"/>
        </w:rPr>
      </w:r>
    </w:p>
    <w:p>
      <w:pPr>
        <w:pStyle w:val="Normal"/>
        <w:jc w:val="both"/>
        <w:rPr/>
      </w:pPr>
      <w:r>
        <w:rPr>
          <w:b/>
          <w:bCs/>
          <w:szCs w:val="24"/>
        </w:rPr>
        <w:tab/>
        <w:t>“</w:t>
      </w:r>
      <w:r>
        <w:rPr>
          <w:b/>
          <w:bCs/>
          <w:szCs w:val="24"/>
          <w:u w:val="single"/>
        </w:rPr>
        <w:t>Material Adverse Effect</w:t>
      </w:r>
      <w:r>
        <w:rPr>
          <w:b/>
          <w:bCs/>
          <w:szCs w:val="24"/>
        </w:rPr>
        <w:t>”</w:t>
      </w:r>
      <w:r>
        <w:rPr>
          <w:szCs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Methodology</w:t>
      </w:r>
      <w:r>
        <w:rPr>
          <w:b/>
          <w:bCs/>
          <w:szCs w:val="24"/>
        </w:rPr>
        <w:t>”</w:t>
      </w:r>
      <w:r>
        <w:rPr>
          <w:szCs w:val="24"/>
        </w:rPr>
        <w:t xml:space="preserve"> means the methodology for selecting Underlying Assets, described in Part A of Exhibit E hereto.</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Model Structure</w:t>
      </w:r>
      <w:r>
        <w:rPr>
          <w:b/>
          <w:bCs/>
          <w:szCs w:val="24"/>
        </w:rPr>
        <w:t>”</w:t>
      </w:r>
      <w:r>
        <w:rPr>
          <w:szCs w:val="24"/>
        </w:rPr>
        <w:t xml:space="preserve"> means the model structure described in Part B of Exhibit E hereto.</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Moody’s</w:t>
      </w:r>
      <w:r>
        <w:rPr>
          <w:b/>
          <w:bCs/>
          <w:szCs w:val="24"/>
        </w:rPr>
        <w:t>”</w:t>
      </w:r>
      <w:r>
        <w:rPr>
          <w:szCs w:val="24"/>
        </w:rPr>
        <w:t xml:space="preserve"> means Moody’s Investors Service, Inc.</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Notes</w:t>
      </w:r>
      <w:r>
        <w:rPr>
          <w:b/>
          <w:bCs/>
          <w:szCs w:val="24"/>
        </w:rPr>
        <w:t>”</w:t>
      </w:r>
      <w:r>
        <w:rPr>
          <w:szCs w:val="24"/>
        </w:rPr>
        <w:t xml:space="preserve"> means the promissory notes, issued pursuant to Section 4.1(ii)(E) and Section 23.2(h), to the Lenders, substantially in the form of Exhibit B, evidencing the Advances hereunder.</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Omnibus Amendment</w:t>
      </w:r>
      <w:r>
        <w:rPr>
          <w:b/>
          <w:bCs/>
          <w:szCs w:val="24"/>
        </w:rPr>
        <w:t>”</w:t>
      </w:r>
      <w:r>
        <w:rPr>
          <w:szCs w:val="24"/>
        </w:rPr>
        <w:t xml:space="preserve"> means, with respect to each of the Hawaii Tranches, that certain Omnibus Amendment, dated the date hereof, substantially in the form of Exhibit M.</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Operative Documents</w:t>
      </w:r>
      <w:r>
        <w:rPr>
          <w:b/>
          <w:bCs/>
          <w:szCs w:val="24"/>
        </w:rPr>
        <w:t>”</w:t>
      </w:r>
      <w:r>
        <w:rPr>
          <w:szCs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Other Taxes</w:t>
      </w:r>
      <w:r>
        <w:rPr>
          <w:b/>
          <w:bCs/>
          <w:szCs w:val="24"/>
        </w:rPr>
        <w:t>”</w:t>
      </w:r>
      <w:r>
        <w:rPr>
          <w:szCs w:val="24"/>
        </w:rPr>
        <w:t xml:space="preserve"> has the meaning given to such term in Section 8.8(c).</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Owner Trustee</w:t>
      </w:r>
      <w:r>
        <w:rPr>
          <w:b/>
          <w:bCs/>
          <w:szCs w:val="24"/>
        </w:rPr>
        <w:t>”</w:t>
      </w:r>
      <w:r>
        <w:rPr>
          <w:szCs w:val="24"/>
        </w:rPr>
        <w:t xml:space="preserve"> means the person appointed as owner trustee under the Trust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Percentage Commitment</w:t>
      </w:r>
      <w:r>
        <w:rPr>
          <w:b/>
          <w:bCs/>
          <w:szCs w:val="24"/>
        </w:rPr>
        <w:t>”</w:t>
      </w:r>
      <w:r>
        <w:rPr>
          <w:szCs w:val="24"/>
        </w:rPr>
        <w:t xml:space="preserve"> means, in respect of each Lender, that Lender’s Commitment divided by the aggregate of all the Lenders’ Commitments, expressed as a percentage.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Permitted Investments</w:t>
      </w:r>
      <w:r>
        <w:rPr>
          <w:b/>
          <w:bCs/>
          <w:szCs w:val="24"/>
        </w:rPr>
        <w:t xml:space="preserve">” </w:t>
      </w:r>
      <w:r>
        <w:rPr>
          <w:szCs w:val="24"/>
        </w:rPr>
        <w:t>means the following investments:</w:t>
      </w:r>
    </w:p>
    <w:p>
      <w:pPr>
        <w:pStyle w:val="Normal"/>
        <w:jc w:val="both"/>
        <w:rPr>
          <w:szCs w:val="24"/>
        </w:rPr>
      </w:pPr>
      <w:r>
        <w:rPr>
          <w:szCs w:val="24"/>
        </w:rPr>
      </w:r>
    </w:p>
    <w:p>
      <w:pPr>
        <w:pStyle w:val="Normal"/>
        <w:ind w:start="720" w:end="0"/>
        <w:jc w:val="both"/>
        <w:rPr>
          <w:szCs w:val="24"/>
        </w:rPr>
      </w:pPr>
      <w:r>
        <w:rPr>
          <w:szCs w:val="24"/>
        </w:rPr>
        <w:t>(i)</w:t>
        <w:tab/>
        <w:t>cash;</w:t>
      </w:r>
    </w:p>
    <w:p>
      <w:pPr>
        <w:pStyle w:val="Normal"/>
        <w:jc w:val="both"/>
        <w:rPr>
          <w:szCs w:val="24"/>
        </w:rPr>
      </w:pPr>
      <w:r>
        <w:rPr>
          <w:szCs w:val="24"/>
        </w:rPr>
      </w:r>
    </w:p>
    <w:p>
      <w:pPr>
        <w:pStyle w:val="Normal"/>
        <w:ind w:hanging="720" w:start="720" w:end="0"/>
        <w:jc w:val="both"/>
        <w:rPr>
          <w:szCs w:val="24"/>
        </w:rPr>
      </w:pPr>
      <w:r>
        <w:rPr>
          <w:szCs w:val="24"/>
        </w:rPr>
        <w:tab/>
        <w:tab/>
        <w:t>(ii)</w:t>
        <w:tab/>
        <w:t xml:space="preserve">commercial paper maturing not more than nine months from the date of issue </w:t>
        <w:tab/>
        <w:t>and rated at least A-1 by S&amp;P or P-1 by Moody’s;</w:t>
      </w:r>
    </w:p>
    <w:p>
      <w:pPr>
        <w:pStyle w:val="Normal"/>
        <w:jc w:val="both"/>
        <w:rPr>
          <w:szCs w:val="24"/>
        </w:rPr>
      </w:pPr>
      <w:r>
        <w:rPr>
          <w:szCs w:val="24"/>
        </w:rPr>
      </w:r>
    </w:p>
    <w:p>
      <w:pPr>
        <w:pStyle w:val="Normal"/>
        <w:ind w:start="720" w:end="0"/>
        <w:jc w:val="both"/>
        <w:rPr>
          <w:szCs w:val="24"/>
        </w:rPr>
      </w:pPr>
      <w:r>
        <w:rPr>
          <w:szCs w:val="24"/>
        </w:rPr>
        <w:t>(iii)</w:t>
        <w:tab/>
        <w:t xml:space="preserve">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A-1 by S&amp;P or P-1 by Moody’s; </w:t>
      </w:r>
    </w:p>
    <w:p>
      <w:pPr>
        <w:pStyle w:val="Normal"/>
        <w:jc w:val="both"/>
        <w:rPr>
          <w:szCs w:val="24"/>
        </w:rPr>
      </w:pPr>
      <w:r>
        <w:rPr>
          <w:szCs w:val="24"/>
        </w:rPr>
      </w:r>
    </w:p>
    <w:p>
      <w:pPr>
        <w:pStyle w:val="Normal"/>
        <w:ind w:start="720" w:end="0"/>
        <w:jc w:val="both"/>
        <w:rPr>
          <w:szCs w:val="24"/>
        </w:rPr>
      </w:pPr>
      <w:r>
        <w:rPr>
          <w:szCs w:val="24"/>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jc w:val="both"/>
        <w:rPr>
          <w:szCs w:val="24"/>
        </w:rPr>
      </w:pPr>
      <w:r>
        <w:rPr>
          <w:szCs w:val="24"/>
        </w:rPr>
      </w:r>
    </w:p>
    <w:p>
      <w:pPr>
        <w:pStyle w:val="Normal"/>
        <w:ind w:start="720" w:end="0"/>
        <w:jc w:val="both"/>
        <w:rPr>
          <w:szCs w:val="24"/>
        </w:rPr>
      </w:pPr>
      <w:r>
        <w:rPr>
          <w:szCs w:val="24"/>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jc w:val="both"/>
        <w:rPr>
          <w:szCs w:val="24"/>
        </w:rPr>
      </w:pPr>
      <w:r>
        <w:rPr>
          <w:szCs w:val="24"/>
        </w:rPr>
      </w:r>
    </w:p>
    <w:p>
      <w:pPr>
        <w:pStyle w:val="Normal"/>
        <w:ind w:hanging="720" w:start="720" w:end="0"/>
        <w:jc w:val="both"/>
        <w:rPr>
          <w:szCs w:val="24"/>
        </w:rPr>
      </w:pPr>
      <w:r>
        <w:rPr>
          <w:szCs w:val="24"/>
        </w:rPr>
        <w:tab/>
        <w:tab/>
        <w:t>(vi)</w:t>
        <w:tab/>
        <w:t xml:space="preserve">debt securities having not more than one year until final maturity and listed </w:t>
        <w:tab/>
        <w:t>on a recognized stock exchange and rated at least AA by Moody’s or AA by S&amp;P; and</w:t>
      </w:r>
    </w:p>
    <w:p>
      <w:pPr>
        <w:pStyle w:val="Normal"/>
        <w:jc w:val="both"/>
        <w:rPr>
          <w:szCs w:val="24"/>
        </w:rPr>
      </w:pPr>
      <w:r>
        <w:rPr>
          <w:szCs w:val="24"/>
        </w:rPr>
      </w:r>
    </w:p>
    <w:p>
      <w:pPr>
        <w:pStyle w:val="Normal"/>
        <w:ind w:start="720" w:end="0"/>
        <w:jc w:val="both"/>
        <w:rPr>
          <w:szCs w:val="24"/>
        </w:rPr>
      </w:pPr>
      <w:r>
        <w:rPr>
          <w:szCs w:val="24"/>
        </w:rPr>
        <w:t>(vii)</w:t>
        <w:tab/>
        <w:t>notes and other obligations issued by Enron and/or any of its wholly owned Subsidiaries.</w:t>
      </w:r>
    </w:p>
    <w:p>
      <w:pPr>
        <w:pStyle w:val="Normal"/>
        <w:jc w:val="both"/>
        <w:rPr>
          <w:szCs w:val="24"/>
        </w:rPr>
      </w:pPr>
      <w:r>
        <w:rPr>
          <w:szCs w:val="24"/>
        </w:rPr>
      </w:r>
    </w:p>
    <w:p>
      <w:pPr>
        <w:pStyle w:val="Normal"/>
        <w:jc w:val="both"/>
        <w:rPr>
          <w:szCs w:val="24"/>
        </w:rPr>
      </w:pPr>
      <w:r>
        <w:rPr>
          <w:szCs w:val="24"/>
        </w:rPr>
        <w:t>provided that no such investment of Series Property shall mature after the Repayment Date for the Tranche to which it relates.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Permitted Swap Party</w:t>
      </w:r>
      <w:r>
        <w:rPr>
          <w:b/>
          <w:bCs/>
          <w:szCs w:val="24"/>
        </w:rPr>
        <w:t>”</w:t>
      </w:r>
      <w:r>
        <w:rPr>
          <w:szCs w:val="24"/>
        </w:rPr>
        <w:t xml:space="preserve">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p>
    <w:p>
      <w:pPr>
        <w:pStyle w:val="Normal"/>
        <w:jc w:val="both"/>
        <w:rPr/>
      </w:pPr>
      <w:r>
        <w:rPr>
          <w:szCs w:val="24"/>
        </w:rPr>
        <w:tab/>
      </w:r>
      <w:r>
        <w:rPr>
          <w:b/>
          <w:bCs/>
          <w:szCs w:val="24"/>
        </w:rPr>
        <w:t>“</w:t>
      </w:r>
      <w:r>
        <w:rPr>
          <w:b/>
          <w:bCs/>
          <w:szCs w:val="24"/>
          <w:u w:val="single"/>
        </w:rPr>
        <w:t>Person</w:t>
      </w:r>
      <w:r>
        <w:rPr>
          <w:b/>
          <w:bCs/>
          <w:szCs w:val="24"/>
        </w:rPr>
        <w:t>”</w:t>
      </w:r>
      <w:r>
        <w:rPr>
          <w:szCs w:val="24"/>
        </w:rPr>
        <w:t xml:space="preserve"> shall mean any individual, corporation, company, voluntary association, partnership, joint venture, trust, limited liability company, unincorporated organization or government authority or entity.</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Prescribed Forms</w:t>
      </w:r>
      <w:r>
        <w:rPr>
          <w:b/>
          <w:bCs/>
          <w:szCs w:val="24"/>
        </w:rPr>
        <w:t>”</w:t>
      </w:r>
      <w:r>
        <w:rPr>
          <w:szCs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Put Notice</w:t>
      </w:r>
      <w:r>
        <w:rPr>
          <w:b/>
          <w:bCs/>
          <w:szCs w:val="24"/>
        </w:rPr>
        <w:t>”</w:t>
      </w:r>
      <w:r>
        <w:rPr>
          <w:szCs w:val="24"/>
        </w:rPr>
        <w:t xml:space="preserve"> has the meaning given to that term in the Put Option Agreements (if applicable).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Put Option Agreement</w:t>
      </w:r>
      <w:r>
        <w:rPr>
          <w:b/>
          <w:bCs/>
          <w:szCs w:val="24"/>
        </w:rPr>
        <w:t>”</w:t>
      </w:r>
      <w:r>
        <w:rPr>
          <w:szCs w:val="24"/>
        </w:rPr>
        <w:t xml:space="preserve"> means, if applicable, a Put Option Agreement executed by an Asset LLC  and the applicable Sponsor, in form and substance reasonably satisfactory to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Put Option Assignment</w:t>
      </w:r>
      <w:r>
        <w:rPr>
          <w:b/>
          <w:bCs/>
          <w:szCs w:val="24"/>
        </w:rPr>
        <w:t>”</w:t>
      </w:r>
      <w:r>
        <w:rPr>
          <w:szCs w:val="24"/>
        </w:rPr>
        <w:t xml:space="preserve"> means, if applicable, an Assignment by an Asset LLC to the Trust whereby such Asset LLC assigns to the Trust its rights to deliver a Put Notice, in form and substance reasonably satisfactory to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Quarter</w:t>
      </w:r>
      <w:r>
        <w:rPr>
          <w:b/>
          <w:bCs/>
          <w:szCs w:val="24"/>
        </w:rPr>
        <w:t>”</w:t>
      </w:r>
      <w:r>
        <w:rPr>
          <w:szCs w:val="24"/>
        </w:rPr>
        <w:t xml:space="preserve"> means a period of three (3) calendar months ending on March 31</w:t>
      </w:r>
      <w:r>
        <w:rPr>
          <w:szCs w:val="24"/>
          <w:vertAlign w:val="superscript"/>
        </w:rPr>
        <w:t>st</w:t>
      </w:r>
      <w:r>
        <w:rPr>
          <w:szCs w:val="24"/>
        </w:rPr>
        <w:t>, June 30</w:t>
      </w:r>
      <w:r>
        <w:rPr>
          <w:szCs w:val="24"/>
          <w:vertAlign w:val="superscript"/>
        </w:rPr>
        <w:t>th</w:t>
      </w:r>
      <w:r>
        <w:rPr>
          <w:szCs w:val="24"/>
        </w:rPr>
        <w:t>, September 30</w:t>
      </w:r>
      <w:r>
        <w:rPr>
          <w:szCs w:val="24"/>
          <w:vertAlign w:val="superscript"/>
        </w:rPr>
        <w:t>th</w:t>
      </w:r>
      <w:r>
        <w:rPr>
          <w:szCs w:val="24"/>
        </w:rPr>
        <w:t xml:space="preserve"> or December 31</w:t>
      </w:r>
      <w:r>
        <w:rPr>
          <w:szCs w:val="24"/>
          <w:vertAlign w:val="superscript"/>
        </w:rPr>
        <w:t>st</w:t>
      </w:r>
      <w:r>
        <w:rPr>
          <w:szCs w:val="24"/>
        </w:rPr>
        <w:t xml:space="preserve"> in any year.</w:t>
      </w:r>
    </w:p>
    <w:p>
      <w:pPr>
        <w:pStyle w:val="Normal"/>
        <w:jc w:val="both"/>
        <w:rPr>
          <w:szCs w:val="24"/>
        </w:rPr>
      </w:pPr>
      <w:r>
        <w:rPr>
          <w:szCs w:val="24"/>
        </w:rPr>
      </w:r>
    </w:p>
    <w:p>
      <w:pPr>
        <w:pStyle w:val="Normal"/>
        <w:jc w:val="both"/>
        <w:rPr/>
      </w:pPr>
      <w:r>
        <w:rPr>
          <w:b/>
          <w:bCs/>
          <w:szCs w:val="24"/>
        </w:rPr>
        <w:tab/>
        <w:t>“</w:t>
      </w:r>
      <w:r>
        <w:rPr>
          <w:b/>
          <w:bCs/>
          <w:szCs w:val="24"/>
          <w:u w:val="single"/>
        </w:rPr>
        <w:t>Rate Fixing Day</w:t>
      </w:r>
      <w:r>
        <w:rPr>
          <w:b/>
          <w:bCs/>
          <w:szCs w:val="24"/>
        </w:rPr>
        <w:t xml:space="preserve">” </w:t>
      </w:r>
      <w:r>
        <w:rPr>
          <w:szCs w:val="24"/>
        </w:rPr>
        <w:t>means, in relation to any Interest Period, the Business Day that is two Business Days prior to the first day of such Interest Period.</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Record</w:t>
      </w:r>
      <w:r>
        <w:rPr>
          <w:b/>
          <w:bCs/>
          <w:szCs w:val="24"/>
        </w:rPr>
        <w:t>”</w:t>
      </w:r>
      <w:r>
        <w:rPr>
          <w:szCs w:val="24"/>
        </w:rPr>
        <w:t xml:space="preserve"> has the meaning given to such term in Section 23.2(d).</w:t>
      </w:r>
    </w:p>
    <w:p>
      <w:pPr>
        <w:pStyle w:val="Normal"/>
        <w:jc w:val="both"/>
        <w:rPr>
          <w:szCs w:val="24"/>
        </w:rPr>
      </w:pPr>
      <w:r>
        <w:rPr>
          <w:szCs w:val="24"/>
        </w:rPr>
      </w:r>
    </w:p>
    <w:p>
      <w:pPr>
        <w:pStyle w:val="Normal"/>
        <w:spacing w:lineRule="auto" w:line="480"/>
        <w:jc w:val="both"/>
        <w:rPr/>
      </w:pPr>
      <w:r>
        <w:rPr>
          <w:szCs w:val="24"/>
        </w:rPr>
        <w:tab/>
      </w:r>
      <w:r>
        <w:rPr>
          <w:b/>
          <w:bCs/>
          <w:szCs w:val="24"/>
        </w:rPr>
        <w:t>“</w:t>
      </w:r>
      <w:r>
        <w:rPr>
          <w:b/>
          <w:bCs/>
          <w:szCs w:val="24"/>
          <w:u w:val="single"/>
        </w:rPr>
        <w:t>Recovery</w:t>
      </w:r>
      <w:r>
        <w:rPr>
          <w:b/>
          <w:bCs/>
          <w:szCs w:val="24"/>
        </w:rPr>
        <w:t xml:space="preserve">” </w:t>
      </w:r>
      <w:r>
        <w:rPr>
          <w:szCs w:val="24"/>
        </w:rPr>
        <w:t>has the meaning given to such term in Section 17.1.</w:t>
      </w:r>
    </w:p>
    <w:p>
      <w:pPr>
        <w:pStyle w:val="Normal"/>
        <w:jc w:val="both"/>
        <w:rPr/>
      </w:pPr>
      <w:r>
        <w:rPr>
          <w:szCs w:val="24"/>
        </w:rPr>
        <w:tab/>
      </w:r>
      <w:r>
        <w:rPr>
          <w:b/>
          <w:bCs/>
          <w:szCs w:val="24"/>
        </w:rPr>
        <w:t>“</w:t>
      </w:r>
      <w:r>
        <w:rPr>
          <w:b/>
          <w:bCs/>
          <w:szCs w:val="24"/>
          <w:u w:val="single"/>
        </w:rPr>
        <w:t>Reference Banks</w:t>
      </w:r>
      <w:r>
        <w:rPr>
          <w:b/>
          <w:bCs/>
          <w:szCs w:val="24"/>
        </w:rPr>
        <w:t>”</w:t>
      </w:r>
      <w:r>
        <w:rPr>
          <w:szCs w:val="24"/>
        </w:rPr>
        <w:t xml:space="preserve"> means four major banks selected by the Agent in the London interbank market.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Regulation A</w:t>
      </w:r>
      <w:r>
        <w:rPr>
          <w:b/>
          <w:bCs/>
          <w:szCs w:val="24"/>
        </w:rPr>
        <w:t xml:space="preserve">” </w:t>
      </w:r>
      <w:r>
        <w:rPr>
          <w:szCs w:val="24"/>
        </w:rPr>
        <w:t>means Regulation A of the Federal Reserve Board.</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Reimbursement and Disclosure Agreement</w:t>
      </w:r>
      <w:r>
        <w:rPr>
          <w:b/>
          <w:bCs/>
          <w:szCs w:val="24"/>
        </w:rPr>
        <w:t>”</w:t>
      </w:r>
      <w:r>
        <w:rPr>
          <w:szCs w:val="24"/>
        </w:rPr>
        <w:t xml:space="preserve"> means the Reimbursement and Disclosure Agreement dated as of November</w:t>
      </w:r>
      <w:r>
        <w:rPr>
          <w:b/>
          <w:bCs/>
          <w:szCs w:val="24"/>
        </w:rPr>
        <w:t xml:space="preserve"> [</w:t>
      </w:r>
      <w:r>
        <w:rPr>
          <w:szCs w:val="24"/>
        </w:rPr>
        <w:t>17</w:t>
      </w:r>
      <w:r>
        <w:rPr>
          <w:b/>
          <w:bCs/>
          <w:szCs w:val="24"/>
        </w:rPr>
        <w:t>]</w:t>
      </w:r>
      <w:r>
        <w:rPr>
          <w:szCs w:val="24"/>
        </w:rPr>
        <w:t>, 2000 among Enron, the Trust and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Relevant Taxes</w:t>
      </w:r>
      <w:r>
        <w:rPr>
          <w:b/>
          <w:bCs/>
          <w:szCs w:val="24"/>
        </w:rPr>
        <w:t>”</w:t>
      </w:r>
      <w:r>
        <w:rPr>
          <w:szCs w:val="24"/>
        </w:rPr>
        <w:t xml:space="preserve"> has the meaning given to such term in Section 8.8.</w:t>
      </w:r>
    </w:p>
    <w:p>
      <w:pPr>
        <w:pStyle w:val="Normal"/>
        <w:jc w:val="both"/>
        <w:rPr>
          <w:szCs w:val="24"/>
        </w:rPr>
      </w:pPr>
      <w:r>
        <w:rPr>
          <w:szCs w:val="24"/>
        </w:rPr>
      </w:r>
    </w:p>
    <w:p>
      <w:pPr>
        <w:pStyle w:val="Normal"/>
        <w:jc w:val="both"/>
        <w:rPr/>
      </w:pPr>
      <w:r>
        <w:rPr>
          <w:szCs w:val="24"/>
        </w:rPr>
        <w:tab/>
        <w:t>“</w:t>
      </w:r>
      <w:r>
        <w:rPr>
          <w:b/>
          <w:bCs/>
          <w:szCs w:val="24"/>
          <w:u w:val="single"/>
        </w:rPr>
        <w:t>Repayment Date</w:t>
      </w:r>
      <w:r>
        <w:rPr>
          <w:szCs w:val="24"/>
        </w:rPr>
        <w:t>” means, in respect of each Tranche, the date specified in the applicable Drawdown Request, but in no event earlier than one month after the applicable Drawdown Date, nor later than November</w:t>
      </w:r>
      <w:r>
        <w:rPr>
          <w:b/>
          <w:bCs/>
          <w:szCs w:val="24"/>
        </w:rPr>
        <w:t xml:space="preserve"> [</w:t>
      </w:r>
      <w:r>
        <w:rPr>
          <w:szCs w:val="24"/>
        </w:rPr>
        <w:t>16</w:t>
      </w:r>
      <w:r>
        <w:rPr>
          <w:b/>
          <w:bCs/>
          <w:szCs w:val="24"/>
        </w:rPr>
        <w:t>],</w:t>
      </w:r>
      <w:r>
        <w:rPr>
          <w:szCs w:val="24"/>
        </w:rPr>
        <w:t xml:space="preserve"> 2002.</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Replacement Funds</w:t>
      </w:r>
      <w:r>
        <w:rPr>
          <w:b/>
          <w:bCs/>
          <w:szCs w:val="24"/>
        </w:rPr>
        <w:t>”</w:t>
      </w:r>
      <w:r>
        <w:rPr>
          <w:szCs w:val="24"/>
        </w:rPr>
        <w:t xml:space="preserve"> has the meaning given to such term in Section 3.3(c).</w:t>
      </w:r>
    </w:p>
    <w:p>
      <w:pPr>
        <w:pStyle w:val="Normal"/>
        <w:jc w:val="both"/>
        <w:rPr>
          <w:szCs w:val="24"/>
        </w:rPr>
      </w:pPr>
      <w:r>
        <w:rPr>
          <w:szCs w:val="24"/>
        </w:rPr>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Reservations</w:t>
      </w:r>
      <w:r>
        <w:rPr>
          <w:b/>
          <w:bCs/>
          <w:szCs w:val="24"/>
        </w:rPr>
        <w:t>”</w:t>
      </w:r>
      <w:r>
        <w:rPr>
          <w:szCs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S&amp;P</w:t>
      </w:r>
      <w:r>
        <w:rPr>
          <w:b/>
          <w:bCs/>
          <w:szCs w:val="24"/>
        </w:rPr>
        <w:t>”</w:t>
      </w:r>
      <w:r>
        <w:rPr>
          <w:szCs w:val="24"/>
        </w:rPr>
        <w:t xml:space="preserve"> means Standard &amp; Poor’s Ratings Services, a division of The McGraw Hill Companies.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Schedule</w:t>
      </w:r>
      <w:r>
        <w:rPr>
          <w:b/>
          <w:bCs/>
          <w:szCs w:val="24"/>
        </w:rPr>
        <w:t>”</w:t>
      </w:r>
      <w:r>
        <w:rPr>
          <w:szCs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Second Closing Date</w:t>
      </w:r>
      <w:r>
        <w:rPr>
          <w:b/>
          <w:bCs/>
          <w:szCs w:val="24"/>
        </w:rPr>
        <w:t>”</w:t>
      </w:r>
      <w:r>
        <w:rPr>
          <w:szCs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w:t>
      </w:r>
      <w:r>
        <w:rPr>
          <w:b/>
          <w:bCs/>
          <w:szCs w:val="24"/>
        </w:rPr>
        <w:t xml:space="preserve"> [</w:t>
      </w:r>
      <w:r>
        <w:rPr>
          <w:szCs w:val="24"/>
        </w:rPr>
        <w:t>9</w:t>
      </w:r>
      <w:r>
        <w:rPr>
          <w:b/>
          <w:bCs/>
          <w:szCs w:val="24"/>
        </w:rPr>
        <w:t>]</w:t>
      </w:r>
      <w:r>
        <w:rPr>
          <w:szCs w:val="24"/>
        </w:rPr>
        <w:t>, 2001.</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Second Drawdown Date</w:t>
      </w:r>
      <w:r>
        <w:rPr>
          <w:b/>
          <w:bCs/>
          <w:szCs w:val="24"/>
        </w:rPr>
        <w:t>”</w:t>
      </w:r>
      <w:r>
        <w:rPr>
          <w:szCs w:val="24"/>
        </w:rPr>
        <w:t xml:space="preserve"> means the Drawdown Date first occurring on or after the Second Closing Date.</w:t>
      </w:r>
    </w:p>
    <w:p>
      <w:pPr>
        <w:pStyle w:val="Normal"/>
        <w:jc w:val="both"/>
        <w:rPr>
          <w:szCs w:val="24"/>
        </w:rPr>
      </w:pPr>
      <w:r>
        <w:rPr>
          <w:szCs w:val="24"/>
        </w:rPr>
      </w:r>
    </w:p>
    <w:p>
      <w:pPr>
        <w:pStyle w:val="Normal"/>
        <w:jc w:val="both"/>
        <w:rPr/>
      </w:pPr>
      <w:r>
        <w:rPr>
          <w:b/>
          <w:bCs/>
          <w:szCs w:val="24"/>
        </w:rPr>
        <w:tab/>
        <w:t>“</w:t>
      </w:r>
      <w:r>
        <w:rPr>
          <w:b/>
          <w:bCs/>
          <w:szCs w:val="24"/>
          <w:u w:val="single"/>
        </w:rPr>
        <w:t>Series</w:t>
      </w:r>
      <w:r>
        <w:rPr>
          <w:b/>
          <w:bCs/>
          <w:szCs w:val="24"/>
        </w:rPr>
        <w:t>”</w:t>
      </w:r>
      <w:r>
        <w:rPr>
          <w:szCs w:val="24"/>
        </w:rPr>
        <w:t xml:space="preserve"> has the meaning given to such term in the Trust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Series Property</w:t>
      </w:r>
      <w:r>
        <w:rPr>
          <w:b/>
          <w:bCs/>
          <w:szCs w:val="24"/>
        </w:rPr>
        <w:t>”</w:t>
      </w:r>
      <w:r>
        <w:rPr>
          <w:szCs w:val="24"/>
        </w:rPr>
        <w:t xml:space="preserve"> has the meaning given to such term in the Trust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Series Supplement</w:t>
      </w:r>
      <w:r>
        <w:rPr>
          <w:b/>
          <w:bCs/>
          <w:szCs w:val="24"/>
        </w:rPr>
        <w:t>”</w:t>
      </w:r>
      <w:r>
        <w:rPr>
          <w:szCs w:val="24"/>
        </w:rPr>
        <w:t xml:space="preserve"> has the meaning given to such term in the Trust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Sponsor</w:t>
      </w:r>
      <w:r>
        <w:rPr>
          <w:b/>
          <w:bCs/>
          <w:szCs w:val="24"/>
        </w:rPr>
        <w:t>”</w:t>
      </w:r>
      <w:r>
        <w:rPr>
          <w:szCs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Sponsor Designee</w:t>
      </w:r>
      <w:r>
        <w:rPr>
          <w:b/>
          <w:bCs/>
          <w:szCs w:val="24"/>
        </w:rPr>
        <w:t>”</w:t>
      </w:r>
      <w:r>
        <w:rPr>
          <w:szCs w:val="24"/>
        </w:rPr>
        <w:t xml:space="preserve"> has the meaning given to such term in the Trust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Subscriber</w:t>
      </w:r>
      <w:r>
        <w:rPr>
          <w:b/>
          <w:bCs/>
          <w:szCs w:val="24"/>
        </w:rPr>
        <w:t>”</w:t>
      </w:r>
      <w:r>
        <w:rPr>
          <w:szCs w:val="24"/>
        </w:rPr>
        <w:t xml:space="preserve"> shall mean CIBC Inc.</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Subscription Agreement</w:t>
      </w:r>
      <w:r>
        <w:rPr>
          <w:b/>
          <w:bCs/>
          <w:szCs w:val="24"/>
        </w:rPr>
        <w:t>”</w:t>
      </w:r>
      <w:r>
        <w:rPr>
          <w:szCs w:val="24"/>
        </w:rPr>
        <w:t xml:space="preserve"> shall mean that certain Subscription Agreement dated November</w:t>
      </w:r>
      <w:r>
        <w:rPr>
          <w:b/>
          <w:bCs/>
          <w:szCs w:val="24"/>
        </w:rPr>
        <w:t> [</w:t>
      </w:r>
      <w:r>
        <w:rPr>
          <w:szCs w:val="24"/>
        </w:rPr>
        <w:t>17</w:t>
      </w:r>
      <w:r>
        <w:rPr>
          <w:b/>
          <w:bCs/>
          <w:szCs w:val="24"/>
        </w:rPr>
        <w:t>]</w:t>
      </w:r>
      <w:r>
        <w:rPr>
          <w:szCs w:val="24"/>
        </w:rPr>
        <w:t>, 2000 and executed by the Trust and the Subscriber, as amended or restated after such date.</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Subsidiary</w:t>
      </w:r>
      <w:r>
        <w:rPr>
          <w:b/>
          <w:bCs/>
          <w:szCs w:val="24"/>
        </w:rPr>
        <w:t>”</w:t>
      </w:r>
      <w:r>
        <w:rPr>
          <w:szCs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Swap Confirmation</w:t>
      </w:r>
      <w:r>
        <w:rPr>
          <w:b/>
          <w:bCs/>
          <w:szCs w:val="24"/>
        </w:rPr>
        <w:t>”</w:t>
      </w:r>
      <w:r>
        <w:rPr>
          <w:szCs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jc w:val="both"/>
        <w:rPr>
          <w:b/>
          <w:bCs/>
          <w:szCs w:val="24"/>
        </w:rPr>
      </w:pPr>
      <w:r>
        <w:rPr>
          <w:b/>
          <w:bCs/>
          <w:szCs w:val="24"/>
        </w:rPr>
      </w:r>
    </w:p>
    <w:p>
      <w:pPr>
        <w:pStyle w:val="Normal"/>
        <w:jc w:val="both"/>
        <w:rPr/>
      </w:pPr>
      <w:r>
        <w:rPr>
          <w:szCs w:val="24"/>
        </w:rPr>
        <w:tab/>
      </w:r>
      <w:r>
        <w:rPr>
          <w:b/>
          <w:bCs/>
          <w:szCs w:val="24"/>
        </w:rPr>
        <w:t>“</w:t>
      </w:r>
      <w:r>
        <w:rPr>
          <w:b/>
          <w:bCs/>
          <w:szCs w:val="24"/>
          <w:u w:val="single"/>
        </w:rPr>
        <w:t>Taxes</w:t>
      </w:r>
      <w:r>
        <w:rPr>
          <w:b/>
          <w:bCs/>
          <w:szCs w:val="24"/>
        </w:rPr>
        <w:t>”</w:t>
      </w:r>
      <w:r>
        <w:rPr>
          <w:szCs w:val="24"/>
        </w:rPr>
        <w:t xml:space="preserve"> means and includes all present and future taxes, levies, assessments, imposts, deductions, charges, duties and withholdings and any payments made on or in respect thereof, including income, franchise and similar taxes; and</w:t>
      </w:r>
      <w:r>
        <w:rPr>
          <w:b/>
          <w:bCs/>
          <w:szCs w:val="24"/>
        </w:rPr>
        <w:t xml:space="preserve"> “</w:t>
      </w:r>
      <w:r>
        <w:rPr>
          <w:b/>
          <w:bCs/>
          <w:szCs w:val="24"/>
          <w:u w:val="single"/>
        </w:rPr>
        <w:t>Tax</w:t>
      </w:r>
      <w:r>
        <w:rPr>
          <w:b/>
          <w:bCs/>
          <w:szCs w:val="24"/>
        </w:rPr>
        <w:t xml:space="preserve">” </w:t>
      </w:r>
      <w:r>
        <w:rPr>
          <w:szCs w:val="24"/>
        </w:rPr>
        <w:t xml:space="preserve">and </w:t>
      </w:r>
      <w:r>
        <w:rPr>
          <w:b/>
          <w:bCs/>
          <w:szCs w:val="24"/>
        </w:rPr>
        <w:t>“</w:t>
      </w:r>
      <w:r>
        <w:rPr>
          <w:b/>
          <w:bCs/>
          <w:szCs w:val="24"/>
          <w:u w:val="single"/>
        </w:rPr>
        <w:t>Taxation</w:t>
      </w:r>
      <w:r>
        <w:rPr>
          <w:b/>
          <w:bCs/>
          <w:szCs w:val="24"/>
        </w:rPr>
        <w:t xml:space="preserve">” </w:t>
      </w:r>
      <w:r>
        <w:rPr>
          <w:szCs w:val="24"/>
        </w:rPr>
        <w:t>shall be construed accordingly.</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Termination of Hawaii Facility Agreement</w:t>
      </w:r>
      <w:r>
        <w:rPr>
          <w:b/>
          <w:bCs/>
          <w:szCs w:val="24"/>
        </w:rPr>
        <w:t>”</w:t>
      </w:r>
      <w:r>
        <w:rPr>
          <w:szCs w:val="24"/>
        </w:rPr>
        <w:t xml:space="preserve"> means that certain Termination of Hawaii Facility Agreement, dated the date hereof, between the Trust, the Agent and Enron, terminating all obligations of all parties to the Hawaii Facility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Total Return Swap Agreement</w:t>
      </w:r>
      <w:r>
        <w:rPr>
          <w:b/>
          <w:bCs/>
          <w:szCs w:val="24"/>
        </w:rPr>
        <w:t>”</w:t>
      </w:r>
      <w:r>
        <w:rPr>
          <w:szCs w:val="24"/>
        </w:rPr>
        <w:t xml:space="preserve"> means (i) that certain ISDA Master Agreement dated November </w:t>
      </w:r>
      <w:r>
        <w:rPr>
          <w:b/>
          <w:bCs/>
          <w:szCs w:val="24"/>
        </w:rPr>
        <w:t>[</w:t>
      </w:r>
      <w:r>
        <w:rPr>
          <w:szCs w:val="24"/>
        </w:rPr>
        <w:t>17</w:t>
      </w:r>
      <w:r>
        <w:rPr>
          <w:b/>
          <w:bCs/>
          <w:szCs w:val="24"/>
        </w:rPr>
        <w:t>]</w:t>
      </w:r>
      <w:r>
        <w:rPr>
          <w:szCs w:val="24"/>
        </w:rPr>
        <w:t>,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jc w:val="both"/>
        <w:rPr>
          <w:b/>
          <w:bCs/>
          <w:szCs w:val="24"/>
        </w:rPr>
      </w:pPr>
      <w:r>
        <w:rPr>
          <w:b/>
          <w:bCs/>
          <w:szCs w:val="24"/>
        </w:rPr>
      </w:r>
    </w:p>
    <w:p>
      <w:pPr>
        <w:pStyle w:val="Normal"/>
        <w:jc w:val="both"/>
        <w:rPr/>
      </w:pPr>
      <w:r>
        <w:rPr>
          <w:b/>
          <w:bCs/>
          <w:szCs w:val="24"/>
        </w:rPr>
        <w:tab/>
        <w:t>“</w:t>
      </w:r>
      <w:r>
        <w:rPr>
          <w:b/>
          <w:bCs/>
          <w:szCs w:val="24"/>
          <w:u w:val="single"/>
        </w:rPr>
        <w:t>Tranche</w:t>
      </w:r>
      <w:r>
        <w:rPr>
          <w:b/>
          <w:bCs/>
          <w:szCs w:val="24"/>
        </w:rPr>
        <w:t>”</w:t>
      </w:r>
      <w:r>
        <w:rPr>
          <w:szCs w:val="24"/>
        </w:rPr>
        <w:t xml:space="preserve"> has the meaning given to such term in Section 2.1.</w:t>
      </w:r>
    </w:p>
    <w:p>
      <w:pPr>
        <w:pStyle w:val="Normal"/>
        <w:jc w:val="both"/>
        <w:rPr>
          <w:szCs w:val="24"/>
        </w:rPr>
      </w:pPr>
      <w:r>
        <w:rPr>
          <w:szCs w:val="24"/>
        </w:rPr>
      </w:r>
    </w:p>
    <w:p>
      <w:pPr>
        <w:pStyle w:val="Normal"/>
        <w:jc w:val="both"/>
        <w:rPr/>
      </w:pPr>
      <w:r>
        <w:rPr>
          <w:szCs w:val="24"/>
        </w:rPr>
        <w:tab/>
        <w:t>“</w:t>
      </w:r>
      <w:r>
        <w:rPr>
          <w:b/>
          <w:bCs/>
          <w:szCs w:val="24"/>
          <w:u w:val="single"/>
        </w:rPr>
        <w:t>Transfer and Auction Agreement</w:t>
      </w:r>
      <w:r>
        <w:rPr>
          <w:szCs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Transferor</w:t>
      </w:r>
      <w:r>
        <w:rPr>
          <w:b/>
          <w:bCs/>
          <w:szCs w:val="24"/>
        </w:rPr>
        <w:t>”</w:t>
      </w:r>
      <w:r>
        <w:rPr>
          <w:szCs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Transferor Constitutional Document</w:t>
      </w:r>
      <w:r>
        <w:rPr>
          <w:b/>
          <w:bCs/>
          <w:szCs w:val="24"/>
        </w:rPr>
        <w:t>”</w:t>
      </w:r>
      <w:r>
        <w:rPr>
          <w:szCs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Transferor LLC Agreement</w:t>
      </w:r>
      <w:r>
        <w:rPr>
          <w:b/>
          <w:bCs/>
          <w:szCs w:val="24"/>
        </w:rPr>
        <w:t>”</w:t>
      </w:r>
      <w:r>
        <w:rPr>
          <w:szCs w:val="24"/>
        </w:rPr>
        <w:t xml:space="preserve"> means a limited liability company agreement substantially in the form of Part 2 of Exhibit I (with such amendments as the Agent may approve) .</w:t>
      </w:r>
    </w:p>
    <w:p>
      <w:pPr>
        <w:pStyle w:val="Normal"/>
        <w:jc w:val="both"/>
        <w:rPr>
          <w:szCs w:val="24"/>
        </w:rPr>
      </w:pPr>
      <w:r>
        <w:rPr>
          <w:szCs w:val="24"/>
        </w:rPr>
      </w:r>
    </w:p>
    <w:p>
      <w:pPr>
        <w:pStyle w:val="Normal"/>
        <w:jc w:val="both"/>
        <w:rPr/>
      </w:pPr>
      <w:r>
        <w:rPr>
          <w:b/>
          <w:bCs/>
          <w:szCs w:val="24"/>
        </w:rPr>
        <w:tab/>
        <w:t>“</w:t>
      </w:r>
      <w:r>
        <w:rPr>
          <w:b/>
          <w:bCs/>
          <w:szCs w:val="24"/>
          <w:u w:val="single"/>
        </w:rPr>
        <w:t>Trust</w:t>
      </w:r>
      <w:r>
        <w:rPr>
          <w:b/>
          <w:bCs/>
          <w:szCs w:val="24"/>
        </w:rPr>
        <w:t>”</w:t>
      </w:r>
      <w:r>
        <w:rPr>
          <w:szCs w:val="24"/>
        </w:rPr>
        <w:t xml:space="preserve"> has the meaning given to that term in the introductory paragraph to this Agreement.</w:t>
      </w:r>
    </w:p>
    <w:p>
      <w:pPr>
        <w:pStyle w:val="Normal"/>
        <w:jc w:val="both"/>
        <w:rPr>
          <w:szCs w:val="24"/>
        </w:rPr>
      </w:pPr>
      <w:r>
        <w:rPr>
          <w:szCs w:val="24"/>
        </w:rPr>
      </w:r>
    </w:p>
    <w:p>
      <w:pPr>
        <w:pStyle w:val="Normal"/>
        <w:jc w:val="both"/>
        <w:rPr/>
      </w:pPr>
      <w:r>
        <w:rPr>
          <w:b/>
          <w:bCs/>
          <w:szCs w:val="24"/>
        </w:rPr>
        <w:tab/>
        <w:t>“</w:t>
      </w:r>
      <w:r>
        <w:rPr>
          <w:b/>
          <w:bCs/>
          <w:szCs w:val="24"/>
          <w:u w:val="single"/>
        </w:rPr>
        <w:t>Trust Agreement</w:t>
      </w:r>
      <w:r>
        <w:rPr>
          <w:b/>
          <w:bCs/>
          <w:szCs w:val="24"/>
        </w:rPr>
        <w:t>”</w:t>
      </w:r>
      <w:r>
        <w:rPr>
          <w:szCs w:val="24"/>
        </w:rPr>
        <w:t xml:space="preserve"> means the Second Amended and Restated Trust Agreement of Hawaii II 125-0 Trust, dated as of November</w:t>
      </w:r>
      <w:r>
        <w:rPr>
          <w:b/>
          <w:bCs/>
          <w:szCs w:val="24"/>
        </w:rPr>
        <w:t> [</w:t>
      </w:r>
      <w:r>
        <w:rPr>
          <w:szCs w:val="24"/>
        </w:rPr>
        <w:t>17</w:t>
      </w:r>
      <w:r>
        <w:rPr>
          <w:b/>
          <w:bCs/>
          <w:szCs w:val="24"/>
        </w:rPr>
        <w:t>]</w:t>
      </w:r>
      <w:r>
        <w:rPr>
          <w:szCs w:val="24"/>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Trust Property</w:t>
      </w:r>
      <w:r>
        <w:rPr>
          <w:b/>
          <w:bCs/>
          <w:szCs w:val="24"/>
        </w:rPr>
        <w:t>”</w:t>
      </w:r>
      <w:r>
        <w:rPr>
          <w:szCs w:val="24"/>
        </w:rPr>
        <w:t xml:space="preserve"> has the meaning given to such term in the Trust Agreement .</w:t>
      </w:r>
    </w:p>
    <w:p>
      <w:pPr>
        <w:pStyle w:val="Normal"/>
        <w:jc w:val="both"/>
        <w:rPr>
          <w:b/>
          <w:bCs/>
          <w:szCs w:val="24"/>
        </w:rPr>
      </w:pPr>
      <w:r>
        <w:rPr>
          <w:b/>
          <w:bCs/>
          <w:szCs w:val="24"/>
        </w:rPr>
      </w:r>
    </w:p>
    <w:p>
      <w:pPr>
        <w:pStyle w:val="Normal"/>
        <w:jc w:val="both"/>
        <w:rPr/>
      </w:pPr>
      <w:r>
        <w:rPr>
          <w:b/>
          <w:bCs/>
          <w:szCs w:val="24"/>
        </w:rPr>
        <w:tab/>
        <w:t>“</w:t>
      </w:r>
      <w:r>
        <w:rPr>
          <w:b/>
          <w:bCs/>
          <w:szCs w:val="24"/>
          <w:u w:val="single"/>
        </w:rPr>
        <w:t>Underlying Assets</w:t>
      </w:r>
      <w:r>
        <w:rPr>
          <w:b/>
          <w:bCs/>
          <w:szCs w:val="24"/>
        </w:rPr>
        <w:t>”</w:t>
      </w:r>
      <w:r>
        <w:rPr>
          <w:szCs w:val="24"/>
        </w:rPr>
        <w:t xml:space="preserve"> means, with respect to any Series, the assets owned by or to be transferred to the applicable Asset LLC by the Sponsor pursuant to the applicable Asset LLC Agreement.</w:t>
      </w:r>
    </w:p>
    <w:p>
      <w:pPr>
        <w:pStyle w:val="Normal"/>
        <w:jc w:val="both"/>
        <w:rPr>
          <w:szCs w:val="24"/>
        </w:rPr>
      </w:pPr>
      <w:r>
        <w:rPr>
          <w:szCs w:val="24"/>
        </w:rPr>
      </w:r>
    </w:p>
    <w:p>
      <w:pPr>
        <w:pStyle w:val="Normal"/>
        <w:jc w:val="both"/>
        <w:rPr/>
      </w:pPr>
      <w:r>
        <w:rPr>
          <w:szCs w:val="24"/>
        </w:rPr>
        <w:tab/>
      </w:r>
      <w:r>
        <w:rPr>
          <w:b/>
          <w:bCs/>
          <w:szCs w:val="24"/>
        </w:rPr>
        <w:t>“</w:t>
      </w:r>
      <w:r>
        <w:rPr>
          <w:b/>
          <w:bCs/>
          <w:szCs w:val="24"/>
          <w:u w:val="single"/>
        </w:rPr>
        <w:t>Unpaid Sum</w:t>
      </w:r>
      <w:r>
        <w:rPr>
          <w:b/>
          <w:bCs/>
          <w:szCs w:val="24"/>
        </w:rPr>
        <w:t>”</w:t>
      </w:r>
      <w:r>
        <w:rPr>
          <w:szCs w:val="24"/>
        </w:rPr>
        <w:t xml:space="preserve"> has the meaning given to such term in Section 8.3(a).</w:t>
      </w:r>
    </w:p>
    <w:p>
      <w:pPr>
        <w:pStyle w:val="Normal"/>
        <w:keepNext w:val="true"/>
        <w:jc w:val="both"/>
        <w:rPr>
          <w:szCs w:val="24"/>
        </w:rPr>
      </w:pPr>
      <w:r>
        <w:rPr>
          <w:szCs w:val="24"/>
        </w:rPr>
      </w:r>
    </w:p>
    <w:p>
      <w:pPr>
        <w:pStyle w:val="Normal"/>
        <w:keepNext w:val="true"/>
        <w:jc w:val="both"/>
        <w:rPr/>
      </w:pPr>
      <w:r>
        <w:rPr>
          <w:szCs w:val="24"/>
        </w:rPr>
        <w:tab/>
        <w:t xml:space="preserve">Section  1.2   Interpretation </w:t>
      </w:r>
      <w:r>
        <w:fldChar w:fldCharType="begin"/>
      </w:r>
      <w:r>
        <w:rPr/>
        <w:instrText xml:space="preserve"> TC "</w:instrText>
        <w:tab/>
        <w:instrText xml:space="preserve">Section  1.2   Interpretation " \l 2 </w:instrText>
      </w:r>
      <w:r>
        <w:rPr/>
        <w:fldChar w:fldCharType="separate"/>
      </w:r>
      <w:r>
        <w:rPr/>
      </w:r>
      <w:r>
        <w:rPr/>
        <w:fldChar w:fldCharType="end"/>
      </w:r>
      <w:r>
        <w:rPr>
          <w:szCs w:val="24"/>
        </w:rPr>
        <w:t>.  In this Agreement, unless the context otherwise requires, a reference to:</w:t>
      </w:r>
    </w:p>
    <w:p>
      <w:pPr>
        <w:pStyle w:val="Normal"/>
        <w:keepNext w:val="true"/>
        <w:jc w:val="both"/>
        <w:rPr>
          <w:szCs w:val="24"/>
        </w:rPr>
      </w:pPr>
      <w:r>
        <w:rPr>
          <w:szCs w:val="24"/>
        </w:rPr>
      </w:r>
    </w:p>
    <w:p>
      <w:pPr>
        <w:pStyle w:val="Normal"/>
        <w:spacing w:before="0" w:after="240"/>
        <w:jc w:val="both"/>
        <w:rPr/>
      </w:pPr>
      <w:r>
        <w:rPr>
          <w:szCs w:val="24"/>
        </w:rPr>
        <w:tab/>
        <w:t>(a)</w:t>
        <w:tab/>
        <w:t xml:space="preserve">a </w:t>
      </w:r>
      <w:r>
        <w:rPr>
          <w:b/>
          <w:bCs/>
          <w:szCs w:val="24"/>
        </w:rPr>
        <w:t>“</w:t>
      </w:r>
      <w:r>
        <w:rPr>
          <w:b/>
          <w:bCs/>
          <w:szCs w:val="24"/>
          <w:u w:val="single"/>
        </w:rPr>
        <w:t>Month</w:t>
      </w:r>
      <w:r>
        <w:rPr>
          <w:b/>
          <w:bCs/>
          <w:szCs w:val="24"/>
        </w:rPr>
        <w:t>”</w:t>
      </w:r>
      <w:r>
        <w:rPr>
          <w:szCs w:val="24"/>
        </w:rPr>
        <w:t xml:space="preserve"> means (except where used in the expression</w:t>
      </w:r>
      <w:r>
        <w:rPr>
          <w:b/>
          <w:bCs/>
          <w:szCs w:val="24"/>
        </w:rPr>
        <w:t xml:space="preserve"> “</w:t>
      </w:r>
      <w:r>
        <w:rPr>
          <w:b/>
          <w:bCs/>
          <w:szCs w:val="24"/>
          <w:u w:val="single"/>
        </w:rPr>
        <w:t>calendar month</w:t>
      </w:r>
      <w:r>
        <w:rPr>
          <w:b/>
          <w:bCs/>
          <w:szCs w:val="24"/>
        </w:rPr>
        <w:t>”</w:t>
      </w:r>
      <w:r>
        <w:rPr>
          <w:szCs w:val="24"/>
        </w:rPr>
        <w:t xml:space="preserve">) a period starting on one day in a calendar month and ending on the numerically corresponding day in the next calendar month (or in a subsequent calendar month in the case of the plural </w:t>
      </w:r>
      <w:r>
        <w:rPr>
          <w:b/>
          <w:bCs/>
          <w:szCs w:val="24"/>
        </w:rPr>
        <w:t>“</w:t>
      </w:r>
      <w:r>
        <w:rPr>
          <w:b/>
          <w:bCs/>
          <w:szCs w:val="24"/>
          <w:u w:val="single"/>
        </w:rPr>
        <w:t>months</w:t>
      </w:r>
      <w:r>
        <w:rPr>
          <w:b/>
          <w:bCs/>
          <w:szCs w:val="24"/>
        </w:rPr>
        <w:t>”</w:t>
      </w:r>
      <w:r>
        <w:rPr>
          <w:szCs w:val="24"/>
        </w:rPr>
        <w:t>), provided that if:</w:t>
      </w:r>
    </w:p>
    <w:p>
      <w:pPr>
        <w:pStyle w:val="Normal"/>
        <w:spacing w:before="0" w:after="240"/>
        <w:ind w:start="720" w:end="0"/>
        <w:jc w:val="both"/>
        <w:rPr>
          <w:szCs w:val="24"/>
        </w:rPr>
      </w:pPr>
      <w:r>
        <w:rPr>
          <w:szCs w:val="24"/>
        </w:rPr>
        <w:t>(i)</w:t>
        <w:tab/>
        <w:t>any such period would otherwise end on a day which is not a Business Day, it shall end on the next Business Day in the same calendar month, or if none, on the preceding Business Day, and</w:t>
      </w:r>
    </w:p>
    <w:p>
      <w:pPr>
        <w:pStyle w:val="Normal"/>
        <w:spacing w:before="0" w:after="240"/>
        <w:ind w:start="720" w:end="0"/>
        <w:jc w:val="both"/>
        <w:rPr>
          <w:szCs w:val="24"/>
        </w:rPr>
      </w:pPr>
      <w:r>
        <w:rPr>
          <w:szCs w:val="24"/>
        </w:rPr>
        <w:t>(ii)</w:t>
        <w:tab/>
        <w:t>a period starts on the last Business Day in a calendar month or if there is no numerically corresponding day in the month in which that period ends, that period shall end on the last Business Day in that later month.</w:t>
      </w:r>
    </w:p>
    <w:p>
      <w:pPr>
        <w:pStyle w:val="Normal"/>
        <w:spacing w:before="0" w:after="240"/>
        <w:jc w:val="both"/>
        <w:rPr>
          <w:szCs w:val="24"/>
        </w:rPr>
      </w:pPr>
      <w:r>
        <w:rPr>
          <w:szCs w:val="24"/>
        </w:rPr>
        <w:tab/>
        <w:t>(b)</w:t>
        <w:tab/>
        <w:t>a reference to the Trust or a Finance Party is, where relevant, deemed to be a reference to or to include, as appropriate, their respective successors or assigns;</w:t>
      </w:r>
    </w:p>
    <w:p>
      <w:pPr>
        <w:pStyle w:val="Normal"/>
        <w:spacing w:before="0" w:after="240"/>
        <w:jc w:val="both"/>
        <w:rPr>
          <w:szCs w:val="24"/>
        </w:rPr>
      </w:pPr>
      <w:r>
        <w:rPr>
          <w:szCs w:val="24"/>
        </w:rPr>
        <w:tab/>
        <w:t>(c)</w:t>
        <w:tab/>
        <w:t>references to Articles, Sections, Schedules and Exhibits are references to, respectively, articles and sections of and schedules and exhibits to this Agreement;</w:t>
      </w:r>
    </w:p>
    <w:p>
      <w:pPr>
        <w:pStyle w:val="Normal"/>
        <w:spacing w:before="0" w:after="240"/>
        <w:jc w:val="both"/>
        <w:rPr>
          <w:szCs w:val="24"/>
        </w:rPr>
      </w:pPr>
      <w:r>
        <w:rPr>
          <w:szCs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spacing w:before="0" w:after="240"/>
        <w:jc w:val="both"/>
        <w:rPr>
          <w:szCs w:val="24"/>
        </w:rPr>
      </w:pPr>
      <w:r>
        <w:rPr>
          <w:szCs w:val="24"/>
        </w:rPr>
        <w:tab/>
        <w:t>(e)</w:t>
        <w:tab/>
        <w:t>a reference to a statute, law, rule, regulation or statutory instrument is to be construed as a reference to that statute as the same may have been or may from time to time hereafter be, amended or re-enacted and any includes any successor thereto;</w:t>
      </w:r>
    </w:p>
    <w:p>
      <w:pPr>
        <w:pStyle w:val="Normal"/>
        <w:spacing w:before="0" w:after="240"/>
        <w:jc w:val="both"/>
        <w:rPr>
          <w:szCs w:val="24"/>
        </w:rPr>
      </w:pPr>
      <w:r>
        <w:rPr>
          <w:szCs w:val="24"/>
        </w:rPr>
        <w:tab/>
        <w:t>(f)</w:t>
        <w:tab/>
        <w:t>unless otherwise specified, a time of day is a reference to New York, New York time;</w:t>
      </w:r>
    </w:p>
    <w:p>
      <w:pPr>
        <w:pStyle w:val="Normal"/>
        <w:spacing w:before="0" w:after="240"/>
        <w:jc w:val="both"/>
        <w:rPr>
          <w:szCs w:val="24"/>
        </w:rPr>
      </w:pPr>
      <w:r>
        <w:rPr>
          <w:szCs w:val="24"/>
        </w:rPr>
        <w:tab/>
        <w:t>(g)</w:t>
        <w:tab/>
        <w:t>the index to and the headings in this Agreement are inserted for convenience only and are to be ignored in construing this Agreement;</w:t>
      </w:r>
    </w:p>
    <w:p>
      <w:pPr>
        <w:pStyle w:val="Normal"/>
        <w:spacing w:before="0" w:after="240"/>
        <w:jc w:val="both"/>
        <w:rPr/>
      </w:pPr>
      <w:r>
        <w:rPr>
          <w:szCs w:val="24"/>
        </w:rPr>
        <w:tab/>
        <w:t>(h)</w:t>
        <w:tab/>
        <w:t xml:space="preserve">references to the singular shall include the plural and </w:t>
      </w:r>
      <w:r>
        <w:rPr>
          <w:szCs w:val="24"/>
          <w:u w:val="single"/>
        </w:rPr>
        <w:t>vice</w:t>
      </w:r>
      <w:r>
        <w:rPr>
          <w:szCs w:val="24"/>
        </w:rPr>
        <w:t xml:space="preserve"> </w:t>
      </w:r>
      <w:r>
        <w:rPr>
          <w:szCs w:val="24"/>
          <w:u w:val="single"/>
        </w:rPr>
        <w:t>versa</w:t>
      </w:r>
      <w:r>
        <w:rPr>
          <w:szCs w:val="24"/>
        </w:rPr>
        <w:t xml:space="preserve">, and reference by way of masculine pronoun or adjective shall include references by way of the feminine, and </w:t>
      </w:r>
      <w:r>
        <w:rPr>
          <w:szCs w:val="24"/>
          <w:u w:val="single"/>
        </w:rPr>
        <w:t>vice</w:t>
      </w:r>
      <w:r>
        <w:rPr>
          <w:szCs w:val="24"/>
        </w:rPr>
        <w:t xml:space="preserve"> </w:t>
      </w:r>
      <w:r>
        <w:rPr>
          <w:szCs w:val="24"/>
          <w:u w:val="single"/>
        </w:rPr>
        <w:t>versa</w:t>
      </w:r>
      <w:r>
        <w:rPr>
          <w:szCs w:val="24"/>
        </w:rPr>
        <w:t>;</w:t>
      </w:r>
    </w:p>
    <w:p>
      <w:pPr>
        <w:pStyle w:val="Normal"/>
        <w:spacing w:before="0" w:after="240"/>
        <w:jc w:val="both"/>
        <w:rPr>
          <w:szCs w:val="24"/>
        </w:rPr>
      </w:pPr>
      <w:r>
        <w:rPr>
          <w:szCs w:val="24"/>
        </w:rPr>
        <w:tab/>
        <w:t>(i)</w:t>
        <w:tab/>
        <w:t>accounting terms are to be construed in accordance with GAAP;</w:t>
      </w:r>
    </w:p>
    <w:p>
      <w:pPr>
        <w:pStyle w:val="Normal"/>
        <w:spacing w:before="0" w:after="240"/>
        <w:jc w:val="both"/>
        <w:rPr/>
      </w:pPr>
      <w:r>
        <w:rPr>
          <w:szCs w:val="24"/>
        </w:rPr>
        <w:tab/>
        <w:t>(j)</w:t>
        <w:tab/>
        <w:t>references to</w:t>
      </w:r>
      <w:r>
        <w:rPr>
          <w:b/>
          <w:bCs/>
          <w:szCs w:val="24"/>
        </w:rPr>
        <w:t xml:space="preserve"> “</w:t>
      </w:r>
      <w:r>
        <w:rPr>
          <w:b/>
          <w:bCs/>
          <w:szCs w:val="24"/>
          <w:u w:val="single"/>
        </w:rPr>
        <w:t>continue</w:t>
      </w:r>
      <w:r>
        <w:rPr>
          <w:b/>
          <w:bCs/>
          <w:szCs w:val="24"/>
        </w:rPr>
        <w:t>”</w:t>
      </w:r>
      <w:r>
        <w:rPr>
          <w:szCs w:val="24"/>
        </w:rPr>
        <w:t xml:space="preserve">, </w:t>
      </w:r>
      <w:r>
        <w:rPr>
          <w:b/>
          <w:bCs/>
          <w:szCs w:val="24"/>
        </w:rPr>
        <w:t>“</w:t>
      </w:r>
      <w:r>
        <w:rPr>
          <w:b/>
          <w:bCs/>
          <w:szCs w:val="24"/>
          <w:u w:val="single"/>
        </w:rPr>
        <w:t>continuation</w:t>
      </w:r>
      <w:r>
        <w:rPr>
          <w:b/>
          <w:bCs/>
          <w:szCs w:val="24"/>
        </w:rPr>
        <w:t>”</w:t>
      </w:r>
      <w:r>
        <w:rPr>
          <w:szCs w:val="24"/>
        </w:rPr>
        <w:t xml:space="preserve"> and </w:t>
      </w:r>
      <w:r>
        <w:rPr>
          <w:b/>
          <w:bCs/>
          <w:szCs w:val="24"/>
        </w:rPr>
        <w:t>“</w:t>
      </w:r>
      <w:r>
        <w:rPr>
          <w:b/>
          <w:bCs/>
          <w:szCs w:val="24"/>
          <w:u w:val="single"/>
        </w:rPr>
        <w:t>continued</w:t>
      </w:r>
      <w:r>
        <w:rPr>
          <w:b/>
          <w:bCs/>
          <w:szCs w:val="24"/>
        </w:rPr>
        <w:t>”</w:t>
      </w:r>
      <w:r>
        <w:rPr>
          <w:szCs w:val="24"/>
        </w:rPr>
        <w:t xml:space="preserve"> shall refer to the continuation pursuant hereto of a LIBOR Advance as such from one Interest Period to the next;</w:t>
      </w:r>
    </w:p>
    <w:p>
      <w:pPr>
        <w:pStyle w:val="Normal"/>
        <w:spacing w:before="0" w:after="240"/>
        <w:jc w:val="both"/>
        <w:rPr/>
      </w:pPr>
      <w:r>
        <w:rPr>
          <w:szCs w:val="24"/>
        </w:rPr>
        <w:tab/>
        <w:t>(k)</w:t>
        <w:tab/>
        <w:t xml:space="preserve">references to </w:t>
      </w:r>
      <w:r>
        <w:rPr>
          <w:b/>
          <w:bCs/>
          <w:szCs w:val="24"/>
        </w:rPr>
        <w:t>“</w:t>
      </w:r>
      <w:r>
        <w:rPr>
          <w:b/>
          <w:bCs/>
          <w:szCs w:val="24"/>
          <w:u w:val="single"/>
        </w:rPr>
        <w:t>convert</w:t>
      </w:r>
      <w:r>
        <w:rPr>
          <w:b/>
          <w:bCs/>
          <w:szCs w:val="24"/>
        </w:rPr>
        <w:t>”</w:t>
      </w:r>
      <w:r>
        <w:rPr>
          <w:szCs w:val="24"/>
        </w:rPr>
        <w:t xml:space="preserve">, </w:t>
      </w:r>
      <w:r>
        <w:rPr>
          <w:b/>
          <w:bCs/>
          <w:szCs w:val="24"/>
        </w:rPr>
        <w:t>“</w:t>
      </w:r>
      <w:r>
        <w:rPr>
          <w:b/>
          <w:bCs/>
          <w:szCs w:val="24"/>
          <w:u w:val="single"/>
        </w:rPr>
        <w:t>conversion</w:t>
      </w:r>
      <w:r>
        <w:rPr>
          <w:b/>
          <w:bCs/>
          <w:szCs w:val="24"/>
        </w:rPr>
        <w:t>”</w:t>
      </w:r>
      <w:r>
        <w:rPr>
          <w:szCs w:val="24"/>
        </w:rPr>
        <w:t xml:space="preserve"> and </w:t>
      </w:r>
      <w:r>
        <w:rPr>
          <w:b/>
          <w:bCs/>
          <w:szCs w:val="24"/>
        </w:rPr>
        <w:t>“</w:t>
      </w:r>
      <w:r>
        <w:rPr>
          <w:b/>
          <w:bCs/>
          <w:szCs w:val="24"/>
          <w:u w:val="single"/>
        </w:rPr>
        <w:t>converted</w:t>
      </w:r>
      <w:r>
        <w:rPr>
          <w:b/>
          <w:bCs/>
          <w:szCs w:val="24"/>
        </w:rPr>
        <w:t>”</w:t>
      </w:r>
      <w:r>
        <w:rPr>
          <w:szCs w:val="24"/>
        </w:rPr>
        <w:t xml:space="preserve"> shall refer to the conversion pursuant hereto of LIBOR Advances into Alternate Base Rate Advances and </w:t>
      </w:r>
      <w:r>
        <w:rPr>
          <w:szCs w:val="24"/>
          <w:u w:val="single"/>
        </w:rPr>
        <w:t>vice</w:t>
      </w:r>
      <w:r>
        <w:rPr>
          <w:szCs w:val="24"/>
        </w:rPr>
        <w:t xml:space="preserve"> </w:t>
      </w:r>
      <w:r>
        <w:rPr>
          <w:szCs w:val="24"/>
          <w:u w:val="single"/>
        </w:rPr>
        <w:t>versa</w:t>
      </w:r>
      <w:r>
        <w:rPr>
          <w:szCs w:val="24"/>
        </w:rPr>
        <w:t>; and</w:t>
      </w:r>
    </w:p>
    <w:p>
      <w:pPr>
        <w:pStyle w:val="Normal"/>
        <w:keepNext w:val="true"/>
        <w:spacing w:before="0" w:after="240"/>
        <w:jc w:val="both"/>
        <w:rPr/>
      </w:pPr>
      <w:r>
        <w:rPr>
          <w:szCs w:val="24"/>
        </w:rPr>
        <w:tab/>
        <w:t>(l)</w:t>
        <w:tab/>
        <w:t xml:space="preserve">references to a </w:t>
      </w:r>
      <w:r>
        <w:rPr>
          <w:b/>
          <w:bCs/>
          <w:szCs w:val="24"/>
        </w:rPr>
        <w:t>“</w:t>
      </w:r>
      <w:r>
        <w:rPr>
          <w:b/>
          <w:bCs/>
          <w:szCs w:val="24"/>
          <w:u w:val="single"/>
        </w:rPr>
        <w:t>type</w:t>
      </w:r>
      <w:r>
        <w:rPr>
          <w:b/>
          <w:bCs/>
          <w:szCs w:val="24"/>
        </w:rPr>
        <w:t>”</w:t>
      </w:r>
      <w:r>
        <w:rPr>
          <w:szCs w:val="24"/>
        </w:rPr>
        <w:t xml:space="preserve"> of Advance shall refer to either an Alternate Base Rate Advance or a LIBOR Advance, each of which shall be a type of Advance.</w:t>
      </w:r>
    </w:p>
    <w:p>
      <w:pPr>
        <w:pStyle w:val="Normal"/>
        <w:keepNext w:val="true"/>
        <w:keepLines/>
        <w:ind w:start="1440" w:end="1440"/>
        <w:jc w:val="center"/>
        <w:rPr>
          <w:b/>
          <w:bCs/>
          <w:szCs w:val="24"/>
        </w:rPr>
      </w:pPr>
      <w:r>
        <w:rPr>
          <w:b/>
          <w:bCs/>
          <w:szCs w:val="24"/>
        </w:rPr>
        <w:t>ARTICLE 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TRANCHES AND ADVANCES</w:t>
      </w:r>
      <w:r>
        <w:fldChar w:fldCharType="begin"/>
      </w:r>
      <w:r>
        <w:rPr/>
        <w:instrText xml:space="preserve"> TC "ARTICLE IITRANCHES AND ADVANCES"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Section  2.1   Tranches </w:t>
      </w:r>
      <w:r>
        <w:fldChar w:fldCharType="begin"/>
      </w:r>
      <w:r>
        <w:rPr/>
        <w:instrText xml:space="preserve"> TC "</w:instrText>
        <w:tab/>
        <w:instrText xml:space="preserve">Section  2.1   Tranches " \l 2 </w:instrText>
      </w:r>
      <w:r>
        <w:rPr/>
        <w:fldChar w:fldCharType="separate"/>
      </w:r>
      <w:r>
        <w:rPr/>
      </w:r>
      <w:r>
        <w:rPr/>
        <w:fldChar w:fldCharType="end"/>
      </w:r>
      <w:r>
        <w:rPr>
          <w:szCs w:val="24"/>
        </w:rPr>
        <w:t xml:space="preserve">.  The facility extended to the Trust hereunder will be drawn down in tranches (each, a </w:t>
      </w:r>
      <w:r>
        <w:rPr>
          <w:b/>
          <w:bCs/>
          <w:szCs w:val="24"/>
        </w:rPr>
        <w:t>“</w:t>
      </w:r>
      <w:r>
        <w:rPr>
          <w:b/>
          <w:bCs/>
          <w:szCs w:val="24"/>
          <w:u w:val="single"/>
        </w:rPr>
        <w:t>Tranche</w:t>
      </w:r>
      <w:r>
        <w:rPr>
          <w:b/>
          <w:bCs/>
          <w:szCs w:val="24"/>
        </w:rPr>
        <w:t>”</w:t>
      </w:r>
      <w:r>
        <w:rPr>
          <w:szCs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jc w:val="both"/>
        <w:rPr>
          <w:szCs w:val="24"/>
        </w:rPr>
      </w:pPr>
      <w:r>
        <w:rPr>
          <w:szCs w:val="24"/>
        </w:rPr>
      </w:r>
    </w:p>
    <w:p>
      <w:pPr>
        <w:pStyle w:val="Normal"/>
        <w:keepNext w:val="true"/>
        <w:jc w:val="both"/>
        <w:rPr/>
      </w:pPr>
      <w:r>
        <w:rPr>
          <w:szCs w:val="24"/>
        </w:rPr>
        <w:tab/>
        <w:t xml:space="preserve">Section  2.2   Advances </w:t>
      </w:r>
      <w:r>
        <w:fldChar w:fldCharType="begin"/>
      </w:r>
      <w:r>
        <w:rPr/>
        <w:instrText xml:space="preserve"> TC "</w:instrText>
        <w:tab/>
        <w:instrText xml:space="preserve">Section  2.2   Advances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pPr>
      <w:r>
        <w:rPr>
          <w:szCs w:val="24"/>
        </w:rPr>
        <w:tab/>
        <w:t>(a)</w:t>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bCs/>
          <w:szCs w:val="24"/>
        </w:rPr>
        <w:t>“</w:t>
      </w:r>
      <w:r>
        <w:rPr>
          <w:b/>
          <w:bCs/>
          <w:szCs w:val="24"/>
          <w:u w:val="single"/>
        </w:rPr>
        <w:t>Advance</w:t>
      </w:r>
      <w:r>
        <w:rPr>
          <w:b/>
          <w:bCs/>
          <w:szCs w:val="24"/>
        </w:rPr>
        <w:t>”</w:t>
      </w:r>
      <w:r>
        <w:rPr>
          <w:szCs w:val="24"/>
        </w:rPr>
        <w:t xml:space="preserve"> and, collectively with all such Advances made by the Lenders hereunder including those maintained by the Lenders from time to time hereunder pursuant to an assignment or assignments of all or part of the initial Advances, the </w:t>
      </w:r>
      <w:r>
        <w:rPr>
          <w:b/>
          <w:bCs/>
          <w:szCs w:val="24"/>
        </w:rPr>
        <w:t>“</w:t>
      </w:r>
      <w:r>
        <w:rPr>
          <w:b/>
          <w:bCs/>
          <w:szCs w:val="24"/>
          <w:u w:val="single"/>
        </w:rPr>
        <w:t>Advances</w:t>
      </w:r>
      <w:r>
        <w:rPr>
          <w:b/>
          <w:bCs/>
          <w:szCs w:val="24"/>
        </w:rPr>
        <w:t>”</w:t>
      </w:r>
      <w:r>
        <w:rPr>
          <w:szCs w:val="24"/>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Normal"/>
        <w:spacing w:before="0" w:after="240"/>
        <w:jc w:val="both"/>
        <w:rPr/>
      </w:pPr>
      <w:r>
        <w:rPr>
          <w:szCs w:val="24"/>
        </w:rPr>
        <w:tab/>
        <w:t>(b)</w:t>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125-0 Trust, a Delaware business trust, (such Tranches being referred to herein as the “</w:t>
      </w:r>
      <w:r>
        <w:rPr>
          <w:b/>
          <w:bCs/>
          <w:szCs w:val="24"/>
          <w:u w:val="single"/>
        </w:rPr>
        <w:t>Hawaii I Tranches</w:t>
      </w:r>
      <w:r>
        <w:rPr>
          <w:szCs w:val="24"/>
        </w:rPr>
        <w:t>”).</w:t>
      </w:r>
    </w:p>
    <w:p>
      <w:pPr>
        <w:pStyle w:val="Normal"/>
        <w:keepNext w:val="true"/>
        <w:spacing w:before="0" w:after="240"/>
        <w:jc w:val="both"/>
        <w:rPr/>
      </w:pPr>
      <w:r>
        <w:rPr>
          <w:szCs w:val="24"/>
        </w:rPr>
        <w:tab/>
        <w:t>(c)</w:t>
        <w:tab/>
        <w:t>Each Lender’s obligation to make Advances shall terminate at [2:00 p.m.</w:t>
      </w:r>
      <w:r>
        <w:rPr>
          <w:b/>
          <w:bCs/>
          <w:szCs w:val="24"/>
        </w:rPr>
        <w:t>]</w:t>
      </w:r>
      <w:r>
        <w:rPr>
          <w:szCs w:val="24"/>
        </w:rPr>
        <w:t xml:space="preserve"> on the Final Advance Date and the Commitments shall reduce to zero at </w:t>
      </w:r>
      <w:r>
        <w:rPr>
          <w:b/>
          <w:bCs/>
          <w:szCs w:val="24"/>
        </w:rPr>
        <w:t>[</w:t>
      </w:r>
      <w:r>
        <w:rPr>
          <w:szCs w:val="24"/>
        </w:rPr>
        <w:t>2:00 p.m.</w:t>
      </w:r>
      <w:r>
        <w:rPr>
          <w:b/>
          <w:bCs/>
          <w:szCs w:val="24"/>
        </w:rPr>
        <w:t>]</w:t>
      </w:r>
      <w:r>
        <w:rPr>
          <w:szCs w:val="24"/>
        </w:rPr>
        <w:t xml:space="preserve"> on the Final Advance Date.</w:t>
      </w:r>
    </w:p>
    <w:p>
      <w:pPr>
        <w:pStyle w:val="Normal"/>
        <w:keepNext w:val="true"/>
        <w:keepLines/>
        <w:ind w:start="1440" w:end="1440"/>
        <w:jc w:val="center"/>
        <w:rPr>
          <w:b/>
          <w:bCs/>
          <w:szCs w:val="24"/>
        </w:rPr>
      </w:pPr>
      <w:r>
        <w:rPr>
          <w:b/>
          <w:bCs/>
          <w:szCs w:val="24"/>
        </w:rPr>
        <w:t>ARTICLE III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PARTICIPATION OF LENDERS</w:t>
      </w:r>
      <w:r>
        <w:fldChar w:fldCharType="begin"/>
      </w:r>
      <w:r>
        <w:rPr/>
        <w:instrText xml:space="preserve"> TC "ARTICLE IIIPARTICIPATION OF LENDERS"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3.1   Funding Office </w:t>
      </w:r>
      <w:r>
        <w:fldChar w:fldCharType="begin"/>
      </w:r>
      <w:r>
        <w:rPr/>
        <w:instrText xml:space="preserve"> TC "</w:instrText>
        <w:tab/>
        <w:instrText xml:space="preserve">Section  3.1   Funding Office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keepNext w:val="true"/>
        <w:keepLines/>
        <w:spacing w:before="0" w:after="240"/>
        <w:jc w:val="both"/>
        <w:rPr>
          <w:szCs w:val="24"/>
        </w:rPr>
      </w:pPr>
      <w:r>
        <w:rPr>
          <w:szCs w:val="24"/>
        </w:rPr>
        <w:tab/>
        <w:t>(a)</w:t>
        <w:tab/>
        <w:t>Each Lender will make its Advances through its Funding Office.</w:t>
      </w:r>
    </w:p>
    <w:p>
      <w:pPr>
        <w:pStyle w:val="Normal"/>
        <w:spacing w:before="0" w:after="240"/>
        <w:jc w:val="both"/>
        <w:rPr>
          <w:szCs w:val="24"/>
        </w:rPr>
      </w:pPr>
      <w:r>
        <w:rPr>
          <w:szCs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jc w:val="both"/>
        <w:rPr/>
      </w:pPr>
      <w:r>
        <w:rPr>
          <w:szCs w:val="24"/>
        </w:rPr>
        <w:tab/>
        <w:t xml:space="preserve">Section  3.2   Rights and Obligations of Finance Parties </w:t>
      </w:r>
      <w:r>
        <w:fldChar w:fldCharType="begin"/>
      </w:r>
      <w:r>
        <w:rPr/>
        <w:instrText xml:space="preserve"> TC "</w:instrText>
        <w:tab/>
        <w:instrText xml:space="preserve">Section  3.2   Rights and Obligations of Finance Parties " \l 2 </w:instrText>
      </w:r>
      <w:r>
        <w:rPr/>
        <w:fldChar w:fldCharType="separate"/>
      </w:r>
      <w:r>
        <w:rPr/>
      </w:r>
      <w:r>
        <w:rPr/>
        <w:fldChar w:fldCharType="end"/>
      </w:r>
      <w:r>
        <w:rPr>
          <w:szCs w:val="24"/>
        </w:rPr>
        <w:t>.</w:t>
      </w:r>
    </w:p>
    <w:p>
      <w:pPr>
        <w:pStyle w:val="Normal"/>
        <w:keepLines/>
        <w:jc w:val="both"/>
        <w:rPr>
          <w:szCs w:val="24"/>
        </w:rPr>
      </w:pPr>
      <w:r>
        <w:rPr>
          <w:szCs w:val="24"/>
        </w:rPr>
      </w:r>
    </w:p>
    <w:p>
      <w:pPr>
        <w:pStyle w:val="Normal"/>
        <w:spacing w:before="0" w:after="240"/>
        <w:jc w:val="both"/>
        <w:rPr>
          <w:szCs w:val="24"/>
        </w:rPr>
      </w:pPr>
      <w:r>
        <w:rPr>
          <w:szCs w:val="24"/>
        </w:rPr>
        <w:tab/>
        <w:t>(a)</w:t>
        <w:tab/>
        <w:t>The rights and obligations of each of the Finance Parties under the Finance Documents are several. Failure of any Finance Party to observe and perform its obligations under any Finance Document shall neither:</w:t>
      </w:r>
    </w:p>
    <w:p>
      <w:pPr>
        <w:pStyle w:val="Normal"/>
        <w:spacing w:before="0" w:after="240"/>
        <w:ind w:start="720" w:end="0"/>
        <w:jc w:val="both"/>
        <w:rPr>
          <w:szCs w:val="24"/>
        </w:rPr>
      </w:pPr>
      <w:r>
        <w:rPr>
          <w:szCs w:val="24"/>
        </w:rPr>
        <w:t>(i)</w:t>
        <w:tab/>
        <w:t>result in any other non-defaulting Finance Party incurring any liability whatsoever; nor</w:t>
      </w:r>
    </w:p>
    <w:p>
      <w:pPr>
        <w:pStyle w:val="Normal"/>
        <w:spacing w:before="0" w:after="240"/>
        <w:ind w:start="720" w:end="0"/>
        <w:jc w:val="both"/>
        <w:rPr>
          <w:szCs w:val="24"/>
        </w:rPr>
      </w:pPr>
      <w:r>
        <w:rPr>
          <w:szCs w:val="24"/>
        </w:rPr>
        <w:t>(ii)</w:t>
        <w:tab/>
        <w:t>relieve the Trust or any other Finance Party from their respective obligations under the Finance Documents.</w:t>
      </w:r>
    </w:p>
    <w:p>
      <w:pPr>
        <w:pStyle w:val="Normal"/>
        <w:keepNext w:val="true"/>
        <w:spacing w:before="0" w:after="240"/>
        <w:jc w:val="both"/>
        <w:rPr>
          <w:szCs w:val="24"/>
        </w:rPr>
      </w:pPr>
      <w:r>
        <w:rPr>
          <w:szCs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jc w:val="both"/>
        <w:rPr/>
      </w:pPr>
      <w:r>
        <w:rPr>
          <w:szCs w:val="24"/>
        </w:rPr>
        <w:tab/>
        <w:t xml:space="preserve">Section  3.3   Second Closing Date; Addition of Lenders and Increase in Commitments </w:t>
      </w:r>
      <w:r>
        <w:fldChar w:fldCharType="begin"/>
      </w:r>
      <w:r>
        <w:rPr/>
        <w:instrText xml:space="preserve"> TC "Section  3.3   Second Closing Date; Addition of Lenders and Increase in Commitments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pPr>
      <w:r>
        <w:rPr>
          <w:szCs w:val="24"/>
        </w:rPr>
        <w:tab/>
        <w:t>(a)</w:t>
        <w:tab/>
        <w:t xml:space="preserve">On the Second Closing Date, each financial institution which shall have executed and delivered to the Trust and the Agent a certificate (the </w:t>
      </w:r>
      <w:r>
        <w:rPr>
          <w:b/>
          <w:bCs/>
          <w:szCs w:val="24"/>
        </w:rPr>
        <w:t>“</w:t>
      </w:r>
      <w:r>
        <w:rPr>
          <w:b/>
          <w:bCs/>
          <w:szCs w:val="24"/>
          <w:u w:val="single"/>
        </w:rPr>
        <w:t>Additional Lender Certificate</w:t>
      </w:r>
      <w:r>
        <w:rPr>
          <w:b/>
          <w:bCs/>
          <w:szCs w:val="24"/>
        </w:rPr>
        <w:t>”</w:t>
      </w:r>
      <w:r>
        <w:rPr>
          <w:szCs w:val="24"/>
        </w:rPr>
        <w:t xml:space="preserve">) substantially in the form of </w:t>
      </w:r>
      <w:r>
        <w:rPr>
          <w:szCs w:val="24"/>
          <w:u w:val="single"/>
        </w:rPr>
        <w:t>Exhibit L1</w:t>
      </w:r>
      <w:r>
        <w:rPr>
          <w:szCs w:val="24"/>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jc w:val="both"/>
        <w:rPr/>
      </w:pPr>
      <w:r>
        <w:rPr>
          <w:szCs w:val="24"/>
        </w:rPr>
        <w:tab/>
        <w:t>(b)</w:t>
        <w:tab/>
        <w:t>On the Second Closing Date (i) the Commitments of each existing Lender (each, an “</w:t>
      </w:r>
      <w:r>
        <w:rPr>
          <w:b/>
          <w:bCs/>
          <w:szCs w:val="24"/>
          <w:u w:val="single"/>
        </w:rPr>
        <w:t>Increased Commitment Lender</w:t>
      </w:r>
      <w:r>
        <w:rPr>
          <w:szCs w:val="24"/>
        </w:rPr>
        <w:t>”) which has executed and delivered to the Trust and to the Agent a certificate (the “</w:t>
      </w:r>
      <w:r>
        <w:rPr>
          <w:b/>
          <w:bCs/>
          <w:szCs w:val="24"/>
          <w:u w:val="single"/>
        </w:rPr>
        <w:t>Increased Commitment Certificate</w:t>
      </w:r>
      <w:r>
        <w:rPr>
          <w:szCs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b/>
          <w:bCs/>
          <w:szCs w:val="24"/>
        </w:rPr>
        <w:t>$[462,000,000]</w:t>
      </w:r>
      <w:r>
        <w:rPr>
          <w:szCs w:val="24"/>
        </w:rPr>
        <w:t xml:space="preserve"> unless otherwise agreed by the Agent), and the definition of </w:t>
      </w:r>
      <w:r>
        <w:rPr>
          <w:b/>
          <w:bCs/>
          <w:szCs w:val="24"/>
        </w:rPr>
        <w:t>“</w:t>
      </w:r>
      <w:r>
        <w:rPr>
          <w:b/>
          <w:bCs/>
          <w:szCs w:val="24"/>
          <w:u w:val="single"/>
        </w:rPr>
        <w:t>Commitment Amount</w:t>
      </w:r>
      <w:r>
        <w:rPr>
          <w:b/>
          <w:bCs/>
          <w:szCs w:val="24"/>
        </w:rPr>
        <w:t xml:space="preserve">” </w:t>
      </w:r>
      <w:r>
        <w:rPr>
          <w:szCs w:val="24"/>
        </w:rPr>
        <w:t xml:space="preserve">shall be deemed increased by such increase in the Commitments; (iii) </w:t>
      </w:r>
      <w:r>
        <w:rPr>
          <w:szCs w:val="24"/>
          <w:u w:val="single"/>
        </w:rPr>
        <w:t>Schedule I</w:t>
      </w:r>
      <w:r>
        <w:rPr>
          <w:szCs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jc w:val="both"/>
        <w:rPr>
          <w:szCs w:val="24"/>
        </w:rPr>
      </w:pPr>
      <w:r>
        <w:rPr>
          <w:szCs w:val="24"/>
        </w:rPr>
      </w:r>
    </w:p>
    <w:p>
      <w:pPr>
        <w:pStyle w:val="Normal"/>
        <w:jc w:val="both"/>
        <w:rPr/>
      </w:pPr>
      <w:r>
        <w:rPr>
          <w:szCs w:val="24"/>
        </w:rPr>
        <w:tab/>
        <w:t>(c)</w:t>
        <w:tab/>
        <w:t xml:space="preserve">For the purposes of this Section 3.3(c), </w:t>
      </w:r>
      <w:r>
        <w:rPr>
          <w:b/>
          <w:bCs/>
          <w:szCs w:val="24"/>
        </w:rPr>
        <w:t>“</w:t>
      </w:r>
      <w:r>
        <w:rPr>
          <w:b/>
          <w:bCs/>
          <w:szCs w:val="24"/>
          <w:u w:val="single"/>
        </w:rPr>
        <w:t>Existing Advances</w:t>
      </w:r>
      <w:r>
        <w:rPr>
          <w:b/>
          <w:bCs/>
          <w:szCs w:val="24"/>
        </w:rPr>
        <w:t>”</w:t>
      </w:r>
      <w:r>
        <w:rPr>
          <w:szCs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bCs/>
          <w:szCs w:val="24"/>
        </w:rPr>
        <w:t>“</w:t>
      </w:r>
      <w:r>
        <w:rPr>
          <w:b/>
          <w:bCs/>
          <w:szCs w:val="24"/>
          <w:u w:val="single"/>
        </w:rPr>
        <w:t>Replacement Funds</w:t>
      </w:r>
      <w:r>
        <w:rPr>
          <w:b/>
          <w:bCs/>
          <w:szCs w:val="24"/>
        </w:rPr>
        <w:t>”</w:t>
      </w:r>
      <w:r>
        <w:rPr>
          <w:szCs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bCs/>
          <w:szCs w:val="24"/>
        </w:rPr>
        <w:t>“</w:t>
      </w:r>
      <w:r>
        <w:rPr>
          <w:b/>
          <w:bCs/>
          <w:szCs w:val="24"/>
          <w:u w:val="single"/>
        </w:rPr>
        <w:t>Assigned Interest</w:t>
      </w:r>
      <w:r>
        <w:rPr>
          <w:b/>
          <w:bCs/>
          <w:szCs w:val="24"/>
        </w:rPr>
        <w:t>”)</w:t>
      </w:r>
      <w:r>
        <w:rPr>
          <w:szCs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jc w:val="both"/>
        <w:rPr>
          <w:szCs w:val="24"/>
        </w:rPr>
      </w:pPr>
      <w:r>
        <w:rPr>
          <w:szCs w:val="24"/>
        </w:rPr>
      </w:r>
    </w:p>
    <w:p>
      <w:pPr>
        <w:pStyle w:val="Normal"/>
        <w:jc w:val="both"/>
        <w:rPr>
          <w:szCs w:val="24"/>
        </w:rPr>
      </w:pPr>
      <w:r>
        <w:rPr>
          <w:szCs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jc w:val="both"/>
        <w:rPr>
          <w:szCs w:val="24"/>
        </w:rPr>
      </w:pPr>
      <w:r>
        <w:rPr>
          <w:szCs w:val="24"/>
        </w:rPr>
      </w:r>
    </w:p>
    <w:p>
      <w:pPr>
        <w:pStyle w:val="Normal"/>
        <w:jc w:val="both"/>
        <w:rPr>
          <w:szCs w:val="24"/>
        </w:rPr>
      </w:pPr>
      <w:r>
        <w:rPr>
          <w:szCs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jc w:val="both"/>
        <w:rPr>
          <w:szCs w:val="24"/>
        </w:rPr>
      </w:pPr>
      <w:r>
        <w:rPr>
          <w:szCs w:val="24"/>
        </w:rPr>
      </w:r>
    </w:p>
    <w:p>
      <w:pPr>
        <w:pStyle w:val="Normal"/>
        <w:jc w:val="both"/>
        <w:rPr>
          <w:szCs w:val="24"/>
        </w:rPr>
      </w:pPr>
      <w:r>
        <w:rPr>
          <w:szCs w:val="24"/>
        </w:rPr>
        <w:tab/>
        <w:t>(f)</w:t>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IV</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CONDITIONS PRECEDENT</w:t>
      </w:r>
      <w:r>
        <w:fldChar w:fldCharType="begin"/>
      </w:r>
      <w:r>
        <w:rPr/>
        <w:instrText xml:space="preserve"> TC "ARTICLE IVCONDITIONS PRECEDENT" \l 1 </w:instrText>
      </w:r>
      <w:r>
        <w:rPr/>
        <w:fldChar w:fldCharType="separate"/>
      </w:r>
      <w:r>
        <w:rPr/>
      </w:r>
      <w:r>
        <w:rPr/>
        <w:fldChar w:fldCharType="end"/>
      </w:r>
    </w:p>
    <w:p>
      <w:pPr>
        <w:pStyle w:val="Normal"/>
        <w:keepNext w:val="true"/>
        <w:keepLines/>
        <w:jc w:val="both"/>
        <w:rPr>
          <w:szCs w:val="24"/>
        </w:rPr>
      </w:pPr>
      <w:r>
        <w:rPr>
          <w:szCs w:val="24"/>
        </w:rPr>
      </w:r>
    </w:p>
    <w:p>
      <w:pPr>
        <w:pStyle w:val="Normal"/>
        <w:keepLines/>
        <w:jc w:val="both"/>
        <w:rPr/>
      </w:pPr>
      <w:r>
        <w:rPr>
          <w:szCs w:val="24"/>
        </w:rPr>
        <w:tab/>
        <w:t xml:space="preserve">Section  4.1   Conditions Precedent to Lenders’ Obligations under this Agreement.   </w:t>
      </w:r>
      <w:r>
        <w:fldChar w:fldCharType="begin"/>
      </w:r>
      <w:r>
        <w:rPr/>
        <w:instrText xml:space="preserve"> TC "</w:instrText>
        <w:tab/>
        <w:instrText xml:space="preserve">Section  4.1   Conditions Precedent to Lenders’ Obligations under this Agreement.   " \l 2 </w:instrText>
      </w:r>
      <w:r>
        <w:rPr/>
        <w:fldChar w:fldCharType="separate"/>
      </w:r>
      <w:r>
        <w:rPr/>
      </w:r>
      <w:r>
        <w:rPr/>
        <w:fldChar w:fldCharType="end"/>
      </w:r>
      <w:r>
        <w:rPr>
          <w:szCs w:val="24"/>
        </w:rPr>
        <w:t>The obligations of the Lenders under this Agreement are conditioned upon the Agent having received the following items in all respects (except where otherwise specified) in form and substance reasonably satisfactory to the Agent:</w:t>
      </w:r>
    </w:p>
    <w:p>
      <w:pPr>
        <w:pStyle w:val="Normal"/>
        <w:jc w:val="both"/>
        <w:rPr>
          <w:szCs w:val="24"/>
        </w:rPr>
      </w:pPr>
      <w:r>
        <w:rPr>
          <w:szCs w:val="24"/>
        </w:rPr>
      </w:r>
    </w:p>
    <w:p>
      <w:pPr>
        <w:pStyle w:val="Normal"/>
        <w:spacing w:before="0" w:after="240"/>
        <w:ind w:start="720" w:end="0"/>
        <w:jc w:val="both"/>
        <w:rPr>
          <w:szCs w:val="24"/>
        </w:rPr>
      </w:pPr>
      <w:r>
        <w:rPr>
          <w:szCs w:val="24"/>
        </w:rPr>
        <w:t>(i)</w:t>
        <w:tab/>
        <w:t>a copy, certified as of the applicable Drawdown Date, or such other date as agreed by the Agent, as true and complete by a duly authorized representative of the Trust and Enron as the case may be of:</w:t>
      </w:r>
    </w:p>
    <w:p>
      <w:pPr>
        <w:pStyle w:val="Normal"/>
        <w:spacing w:before="0" w:after="240"/>
        <w:ind w:start="1440" w:end="0"/>
        <w:jc w:val="both"/>
        <w:rPr>
          <w:szCs w:val="24"/>
        </w:rPr>
      </w:pPr>
      <w:r>
        <w:rPr>
          <w:szCs w:val="24"/>
        </w:rPr>
        <w:t>(A)</w:t>
        <w:tab/>
        <w:t>the organizational documents of Enron and the Trust including evidence of due formation and “good standing” of Enron and the Trust.</w:t>
      </w:r>
    </w:p>
    <w:p>
      <w:pPr>
        <w:pStyle w:val="Normal"/>
        <w:spacing w:before="0" w:after="240"/>
        <w:ind w:start="1440" w:end="0"/>
        <w:jc w:val="both"/>
        <w:rPr>
          <w:szCs w:val="24"/>
        </w:rPr>
      </w:pPr>
      <w:r>
        <w:rPr>
          <w:szCs w:val="24"/>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spacing w:before="0" w:after="240"/>
        <w:ind w:start="1440" w:end="0"/>
        <w:jc w:val="both"/>
        <w:rPr>
          <w:szCs w:val="24"/>
        </w:rPr>
      </w:pPr>
      <w:r>
        <w:rPr>
          <w:szCs w:val="24"/>
        </w:rPr>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spacing w:before="0" w:after="240"/>
        <w:ind w:start="720" w:end="0"/>
        <w:jc w:val="both"/>
        <w:rPr>
          <w:szCs w:val="24"/>
        </w:rPr>
      </w:pPr>
      <w:r>
        <w:rPr>
          <w:szCs w:val="24"/>
        </w:rPr>
        <w:t>(ii)</w:t>
        <w:tab/>
        <w:t>on the Closing Date, and in the case of clause (E), on the Second Closing Date, duly executed counterparts of:</w:t>
      </w:r>
    </w:p>
    <w:p>
      <w:pPr>
        <w:pStyle w:val="Normal"/>
        <w:spacing w:before="0" w:after="240"/>
        <w:ind w:start="1440" w:end="0"/>
        <w:jc w:val="both"/>
        <w:rPr>
          <w:szCs w:val="24"/>
        </w:rPr>
      </w:pPr>
      <w:r>
        <w:rPr>
          <w:szCs w:val="24"/>
        </w:rPr>
        <w:t>(A)</w:t>
        <w:tab/>
        <w:t>this Agreement;</w:t>
      </w:r>
    </w:p>
    <w:p>
      <w:pPr>
        <w:pStyle w:val="Normal"/>
        <w:spacing w:before="0" w:after="240"/>
        <w:ind w:start="1440" w:end="0"/>
        <w:jc w:val="both"/>
        <w:rPr>
          <w:szCs w:val="24"/>
        </w:rPr>
      </w:pPr>
      <w:r>
        <w:rPr>
          <w:szCs w:val="24"/>
        </w:rPr>
        <w:t>(B)</w:t>
        <w:tab/>
        <w:t>the Trust Agreement;</w:t>
      </w:r>
    </w:p>
    <w:p>
      <w:pPr>
        <w:pStyle w:val="Normal"/>
        <w:spacing w:before="0" w:after="240"/>
        <w:ind w:start="1440" w:end="0"/>
        <w:jc w:val="both"/>
        <w:rPr>
          <w:szCs w:val="24"/>
        </w:rPr>
      </w:pPr>
      <w:r>
        <w:rPr>
          <w:szCs w:val="24"/>
        </w:rPr>
        <w:t>(C)</w:t>
        <w:tab/>
        <w:t>the Total Return Swap Agreement described in clause (i) of the definition of Total Return Swap Agreement (not including the Swap Confirmations);</w:t>
      </w:r>
    </w:p>
    <w:p>
      <w:pPr>
        <w:pStyle w:val="Normal"/>
        <w:spacing w:before="0" w:after="240"/>
        <w:ind w:start="1440" w:end="0"/>
        <w:jc w:val="both"/>
        <w:rPr>
          <w:szCs w:val="24"/>
        </w:rPr>
      </w:pPr>
      <w:r>
        <w:rPr>
          <w:szCs w:val="24"/>
        </w:rPr>
        <w:t>(D)</w:t>
        <w:tab/>
        <w:t>the Reimbursement and Disclosure Agreement;</w:t>
      </w:r>
    </w:p>
    <w:p>
      <w:pPr>
        <w:pStyle w:val="Normal"/>
        <w:spacing w:before="0" w:after="240"/>
        <w:ind w:start="1440" w:end="0"/>
        <w:jc w:val="both"/>
        <w:rPr>
          <w:szCs w:val="24"/>
        </w:rPr>
      </w:pPr>
      <w:r>
        <w:rPr>
          <w:szCs w:val="24"/>
        </w:rPr>
        <w:t>(E)</w:t>
        <w:tab/>
        <w:t>the replacement Beneficial Interest Certificate and the Notes including on the Second Closing Date any Notes required to be issued to additional Lenders under Section 3.3;</w:t>
      </w:r>
    </w:p>
    <w:p>
      <w:pPr>
        <w:pStyle w:val="Normal"/>
        <w:spacing w:before="0" w:after="240"/>
        <w:ind w:start="1440" w:end="0"/>
        <w:jc w:val="both"/>
        <w:rPr>
          <w:szCs w:val="24"/>
        </w:rPr>
      </w:pPr>
      <w:r>
        <w:rPr>
          <w:szCs w:val="24"/>
        </w:rPr>
        <w:t>(F)</w:t>
        <w:tab/>
        <w:t>Termination of Facility Agreement;</w:t>
      </w:r>
    </w:p>
    <w:p>
      <w:pPr>
        <w:pStyle w:val="Normal"/>
        <w:spacing w:before="0" w:after="240"/>
        <w:ind w:start="1440" w:end="0"/>
        <w:jc w:val="both"/>
        <w:rPr>
          <w:szCs w:val="24"/>
        </w:rPr>
      </w:pPr>
      <w:r>
        <w:rPr>
          <w:szCs w:val="24"/>
        </w:rPr>
        <w:t>(G)</w:t>
        <w:tab/>
        <w:t>the fee letter referred to in clause (i) of the definition of Fee Letters;</w:t>
      </w:r>
    </w:p>
    <w:p>
      <w:pPr>
        <w:pStyle w:val="Normal"/>
        <w:spacing w:before="0" w:after="240"/>
        <w:ind w:start="1440" w:end="0"/>
        <w:jc w:val="both"/>
        <w:rPr>
          <w:szCs w:val="24"/>
        </w:rPr>
      </w:pPr>
      <w:r>
        <w:rPr>
          <w:szCs w:val="24"/>
        </w:rPr>
        <w:tab/>
        <w:t>(H)</w:t>
        <w:tab/>
        <w:t>the Enron Guaranty; and</w:t>
      </w:r>
    </w:p>
    <w:p>
      <w:pPr>
        <w:pStyle w:val="Normal"/>
        <w:keepNext w:val="true"/>
        <w:spacing w:before="0" w:after="240"/>
        <w:ind w:start="1440" w:end="0"/>
        <w:jc w:val="both"/>
        <w:rPr>
          <w:szCs w:val="24"/>
        </w:rPr>
      </w:pPr>
      <w:r>
        <w:rPr>
          <w:szCs w:val="24"/>
        </w:rPr>
        <w:t>(I)</w:t>
        <w:tab/>
        <w:t>the Funding Indemnity Agreement.</w:t>
      </w:r>
    </w:p>
    <w:p>
      <w:pPr>
        <w:pStyle w:val="Normal"/>
        <w:keepLines/>
        <w:jc w:val="both"/>
        <w:rPr/>
      </w:pPr>
      <w:r>
        <w:rPr>
          <w:szCs w:val="24"/>
        </w:rPr>
        <w:tab/>
        <w:t xml:space="preserve">Section  4.2   Conditions Precedent to Lenders’ Obligations to Make Advances.   </w:t>
      </w:r>
      <w:r>
        <w:fldChar w:fldCharType="begin"/>
      </w:r>
      <w:r>
        <w:rPr/>
        <w:instrText xml:space="preserve"> TC "</w:instrText>
        <w:tab/>
        <w:instrText xml:space="preserve">Section  4.2   Conditions Precedent to Lenders’ Obligations to Make Advances.   " \l 2 </w:instrText>
      </w:r>
      <w:r>
        <w:rPr/>
        <w:fldChar w:fldCharType="separate"/>
      </w:r>
      <w:r>
        <w:rPr/>
      </w:r>
      <w:r>
        <w:rPr/>
        <w:fldChar w:fldCharType="end"/>
      </w:r>
      <w:r>
        <w:rPr>
          <w:szCs w:val="24"/>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jc w:val="both"/>
        <w:rPr>
          <w:szCs w:val="24"/>
        </w:rPr>
      </w:pPr>
      <w:r>
        <w:rPr>
          <w:szCs w:val="24"/>
        </w:rPr>
      </w:r>
    </w:p>
    <w:p>
      <w:pPr>
        <w:pStyle w:val="Normal"/>
        <w:spacing w:before="0" w:after="240"/>
        <w:jc w:val="both"/>
        <w:rPr>
          <w:szCs w:val="24"/>
        </w:rPr>
      </w:pPr>
      <w:r>
        <w:rPr>
          <w:szCs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spacing w:before="0" w:after="240"/>
        <w:ind w:start="720" w:end="0"/>
        <w:jc w:val="both"/>
        <w:rPr>
          <w:szCs w:val="24"/>
        </w:rPr>
      </w:pPr>
      <w:r>
        <w:rPr>
          <w:szCs w:val="24"/>
        </w:rPr>
        <w:t>(i)</w:t>
        <w:tab/>
        <w:t>duly executed counterparts (or, in the case of (D) only, a copy certified by an officer of the Transferor as being true and correct) of:</w:t>
      </w:r>
    </w:p>
    <w:p>
      <w:pPr>
        <w:pStyle w:val="Normal"/>
        <w:spacing w:before="0" w:after="240"/>
        <w:ind w:start="1440" w:end="0"/>
        <w:jc w:val="both"/>
        <w:rPr>
          <w:szCs w:val="24"/>
        </w:rPr>
      </w:pPr>
      <w:r>
        <w:rPr>
          <w:szCs w:val="24"/>
        </w:rPr>
        <w:t>(A)</w:t>
        <w:tab/>
        <w:t>the applicable Series Supplement;</w:t>
      </w:r>
    </w:p>
    <w:p>
      <w:pPr>
        <w:pStyle w:val="Normal"/>
        <w:spacing w:before="0" w:after="240"/>
        <w:ind w:start="1440" w:end="0"/>
        <w:jc w:val="both"/>
        <w:rPr>
          <w:szCs w:val="24"/>
        </w:rPr>
      </w:pPr>
      <w:r>
        <w:rPr>
          <w:szCs w:val="24"/>
        </w:rPr>
        <w:t>(B)</w:t>
        <w:tab/>
        <w:t>the applicable Drawdown Request;</w:t>
      </w:r>
    </w:p>
    <w:p>
      <w:pPr>
        <w:pStyle w:val="Normal"/>
        <w:spacing w:before="0" w:after="240"/>
        <w:ind w:start="1440" w:end="0"/>
        <w:jc w:val="both"/>
        <w:rPr>
          <w:szCs w:val="24"/>
        </w:rPr>
      </w:pPr>
      <w:r>
        <w:rPr>
          <w:szCs w:val="24"/>
        </w:rPr>
        <w:t>(C)</w:t>
        <w:tab/>
        <w:t>the applicable Asset LLC Agreement;</w:t>
      </w:r>
    </w:p>
    <w:p>
      <w:pPr>
        <w:pStyle w:val="Normal"/>
        <w:spacing w:before="0" w:after="240"/>
        <w:ind w:start="1440" w:end="0"/>
        <w:jc w:val="both"/>
        <w:rPr>
          <w:szCs w:val="24"/>
        </w:rPr>
      </w:pPr>
      <w:r>
        <w:rPr>
          <w:szCs w:val="24"/>
        </w:rPr>
        <w:t>(D)</w:t>
        <w:tab/>
        <w:t>the applicable Transferor Constitutional Document;</w:t>
      </w:r>
    </w:p>
    <w:p>
      <w:pPr>
        <w:pStyle w:val="Normal"/>
        <w:spacing w:before="0" w:after="240"/>
        <w:ind w:start="1440" w:end="0"/>
        <w:jc w:val="both"/>
        <w:rPr>
          <w:szCs w:val="24"/>
        </w:rPr>
      </w:pPr>
      <w:r>
        <w:rPr>
          <w:szCs w:val="24"/>
        </w:rPr>
        <w:t>(E)</w:t>
        <w:tab/>
        <w:t>the applicable Swap Confirmation and, if applicable, the related Total Return Swap Agreement described in clause (ii) of the definition of Total Return Swap Agreement;</w:t>
      </w:r>
    </w:p>
    <w:p>
      <w:pPr>
        <w:pStyle w:val="Normal"/>
        <w:spacing w:before="0" w:after="240"/>
        <w:ind w:start="1440" w:end="0"/>
        <w:jc w:val="both"/>
        <w:rPr>
          <w:szCs w:val="24"/>
        </w:rPr>
      </w:pPr>
      <w:r>
        <w:rPr>
          <w:szCs w:val="24"/>
        </w:rPr>
        <w:t>(F)</w:t>
        <w:tab/>
        <w:t>the applicable Series Certificate (the initial holder of which shall be CIBC Inc. or its assignee);</w:t>
      </w:r>
    </w:p>
    <w:p>
      <w:pPr>
        <w:pStyle w:val="Normal"/>
        <w:spacing w:before="0" w:after="240"/>
        <w:ind w:start="1440" w:end="0"/>
        <w:jc w:val="both"/>
        <w:rPr>
          <w:szCs w:val="24"/>
        </w:rPr>
      </w:pPr>
      <w:r>
        <w:rPr>
          <w:szCs w:val="24"/>
        </w:rPr>
        <w:t>(G)</w:t>
        <w:tab/>
        <w:t>the applicable Independent Auctioneer Letter;</w:t>
      </w:r>
    </w:p>
    <w:p>
      <w:pPr>
        <w:pStyle w:val="Normal"/>
        <w:spacing w:before="0" w:after="240"/>
        <w:ind w:start="1440" w:end="0"/>
        <w:jc w:val="both"/>
        <w:rPr>
          <w:szCs w:val="24"/>
        </w:rPr>
      </w:pPr>
      <w:r>
        <w:rPr>
          <w:szCs w:val="24"/>
        </w:rPr>
        <w:t>(H)</w:t>
        <w:tab/>
        <w:t>the applicable Transfer and Auction Agreement;</w:t>
      </w:r>
    </w:p>
    <w:p>
      <w:pPr>
        <w:pStyle w:val="Normal"/>
        <w:spacing w:before="0" w:after="240"/>
        <w:ind w:start="1440" w:end="0"/>
        <w:jc w:val="both"/>
        <w:rPr>
          <w:szCs w:val="24"/>
        </w:rPr>
      </w:pPr>
      <w:r>
        <w:rPr>
          <w:szCs w:val="24"/>
        </w:rPr>
        <w:t>(I)</w:t>
        <w:tab/>
        <w:t>as applicable, either (i) the applicable Put Option Agreement and the applicable Put Option Assignment and/or (ii) the applicable Demand Note and the applicable Demand Note Assignment;</w:t>
      </w:r>
    </w:p>
    <w:p>
      <w:pPr>
        <w:pStyle w:val="Normal"/>
        <w:spacing w:before="0" w:after="240"/>
        <w:ind w:start="1440" w:end="0"/>
        <w:jc w:val="both"/>
        <w:rPr>
          <w:szCs w:val="24"/>
        </w:rPr>
      </w:pPr>
      <w:r>
        <w:rPr>
          <w:szCs w:val="24"/>
        </w:rPr>
        <w:t>(J)</w:t>
        <w:tab/>
        <w:t>the applicable Asset Notice;</w:t>
      </w:r>
    </w:p>
    <w:p>
      <w:pPr>
        <w:pStyle w:val="Normal"/>
        <w:spacing w:before="0" w:after="240"/>
        <w:ind w:start="1440" w:end="0"/>
        <w:jc w:val="both"/>
        <w:rPr>
          <w:szCs w:val="24"/>
        </w:rPr>
      </w:pPr>
      <w:r>
        <w:rPr>
          <w:szCs w:val="24"/>
        </w:rPr>
        <w:t>(K)</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Normal"/>
        <w:spacing w:before="0" w:after="240"/>
        <w:ind w:start="1440" w:end="0"/>
        <w:jc w:val="both"/>
        <w:rPr>
          <w:szCs w:val="24"/>
        </w:rPr>
      </w:pPr>
      <w:r>
        <w:rPr>
          <w:szCs w:val="24"/>
        </w:rPr>
        <w:t>(L)</w:t>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Normal"/>
        <w:spacing w:before="0" w:after="240"/>
        <w:ind w:start="720" w:end="0"/>
        <w:jc w:val="both"/>
        <w:rPr>
          <w:szCs w:val="24"/>
        </w:rPr>
      </w:pPr>
      <w:r>
        <w:rPr>
          <w:szCs w:val="24"/>
        </w:rPr>
        <w:t>(ii)</w:t>
        <w:tab/>
        <w:t>legal opinions in substantially the form of Exhibit J hereto and dated the Drawdown Date from:</w:t>
      </w:r>
    </w:p>
    <w:p>
      <w:pPr>
        <w:pStyle w:val="Normal"/>
        <w:spacing w:before="0" w:after="240"/>
        <w:ind w:start="1440" w:end="0"/>
        <w:jc w:val="both"/>
        <w:rPr>
          <w:szCs w:val="24"/>
        </w:rPr>
      </w:pPr>
      <w:r>
        <w:rPr>
          <w:szCs w:val="24"/>
        </w:rPr>
        <w:t>(A)</w:t>
        <w:tab/>
        <w:t>Andrews &amp; Kurth L.L.P., special counsel to the applicable Asset LLC, the Sponsor, Enron and the applicable Permitted Swap Party (if any);</w:t>
      </w:r>
    </w:p>
    <w:p>
      <w:pPr>
        <w:pStyle w:val="Normal"/>
        <w:spacing w:before="0" w:after="240"/>
        <w:ind w:start="1440" w:end="0"/>
        <w:jc w:val="both"/>
        <w:rPr>
          <w:szCs w:val="24"/>
        </w:rPr>
      </w:pPr>
      <w:r>
        <w:rPr>
          <w:szCs w:val="24"/>
        </w:rPr>
        <w:t>(B)</w:t>
        <w:tab/>
        <w:t>Prickett, Jones &amp; Elliott, special Delaware counsel to the applicable Asset LLC;</w:t>
      </w:r>
    </w:p>
    <w:p>
      <w:pPr>
        <w:pStyle w:val="Normal"/>
        <w:spacing w:before="0" w:after="240"/>
        <w:ind w:start="1440" w:end="0"/>
        <w:jc w:val="both"/>
        <w:rPr>
          <w:szCs w:val="24"/>
        </w:rPr>
      </w:pPr>
      <w:r>
        <w:rPr>
          <w:szCs w:val="24"/>
        </w:rPr>
        <w:t>(C)</w:t>
        <w:tab/>
        <w:t>General counsel to Enron, the Sponsor and the applicable Permitted Swap Party (if any), respectively;</w:t>
      </w:r>
    </w:p>
    <w:p>
      <w:pPr>
        <w:pStyle w:val="Normal"/>
        <w:spacing w:before="0" w:after="240"/>
        <w:ind w:start="1440" w:end="0"/>
        <w:jc w:val="both"/>
        <w:rPr>
          <w:szCs w:val="24"/>
        </w:rPr>
      </w:pPr>
      <w:r>
        <w:rPr>
          <w:szCs w:val="24"/>
        </w:rPr>
        <w:t>(D)</w:t>
        <w:tab/>
        <w:t>Richards, Layton &amp; Finger, counsel to the Trust;</w:t>
      </w:r>
    </w:p>
    <w:p>
      <w:pPr>
        <w:pStyle w:val="Normal"/>
        <w:spacing w:before="0" w:after="240"/>
        <w:ind w:start="1440" w:end="0"/>
        <w:jc w:val="both"/>
        <w:rPr>
          <w:szCs w:val="24"/>
        </w:rPr>
      </w:pPr>
      <w:r>
        <w:rPr>
          <w:szCs w:val="24"/>
        </w:rPr>
        <w:t>(E)</w:t>
        <w:tab/>
        <w:t>only on the Second Drawdown Date, an opinion of Mayer Brown &amp; Platt, counsel to the Agent; and</w:t>
      </w:r>
    </w:p>
    <w:p>
      <w:pPr>
        <w:pStyle w:val="Normal"/>
        <w:spacing w:before="0" w:after="240"/>
        <w:ind w:start="1440" w:end="0"/>
        <w:jc w:val="both"/>
        <w:rPr>
          <w:szCs w:val="24"/>
        </w:rPr>
      </w:pPr>
      <w:r>
        <w:rPr>
          <w:szCs w:val="24"/>
        </w:rPr>
        <w:t>(F)</w:t>
        <w:tab/>
        <w:t>Andrews &amp; Kurth L.L.P., Prickett, Jones &amp; Elliott, Richards, Layton &amp; Finger or such other counsel as may be reasonably acceptable to the Agent, as special counsel to the applicable Transferor.</w:t>
      </w:r>
    </w:p>
    <w:p>
      <w:pPr>
        <w:pStyle w:val="Normal"/>
        <w:ind w:hanging="1440" w:start="1440" w:end="0"/>
        <w:jc w:val="both"/>
        <w:rPr>
          <w:szCs w:val="24"/>
        </w:rPr>
      </w:pPr>
      <w:r>
        <w:rPr>
          <w:szCs w:val="24"/>
        </w:rPr>
        <w:tab/>
        <w:tab/>
        <w:t>(iii)</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jc w:val="both"/>
        <w:rPr>
          <w:szCs w:val="24"/>
        </w:rPr>
      </w:pPr>
      <w:r>
        <w:rPr>
          <w:szCs w:val="24"/>
        </w:rPr>
      </w:r>
    </w:p>
    <w:p>
      <w:pPr>
        <w:pStyle w:val="Normal"/>
        <w:ind w:start="1440" w:end="0"/>
        <w:jc w:val="both"/>
        <w:rPr/>
      </w:pPr>
      <w:r>
        <w:rPr>
          <w:szCs w:val="24"/>
        </w:rPr>
        <w:t>(B)</w:t>
        <w:tab/>
        <w:t xml:space="preserve">board (or other appropriate governing body) resolutions of each party to the Operative Documents other than Enron, the Trust and the Finance Parties </w:t>
      </w:r>
      <w:r>
        <w:rPr>
          <w:strike/>
          <w:szCs w:val="24"/>
        </w:rPr>
        <w:t>(a)</w:t>
      </w:r>
      <w:r>
        <w:rPr>
          <w:b/>
          <w:bCs/>
          <w:szCs w:val="24"/>
          <w:u w:val="double"/>
        </w:rPr>
        <w:t>(a)</w:t>
      </w:r>
      <w:r>
        <w:rPr>
          <w:szCs w:val="24"/>
        </w:rPr>
        <w:t xml:space="preserve">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ind w:start="1440" w:end="0"/>
        <w:jc w:val="both"/>
        <w:rPr>
          <w:szCs w:val="24"/>
        </w:rPr>
      </w:pPr>
      <w:r>
        <w:rPr>
          <w:szCs w:val="24"/>
        </w:rPr>
        <w:tab/>
        <w:t>(C)</w:t>
        <w:tab/>
        <w:t>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jc w:val="both"/>
        <w:rPr>
          <w:szCs w:val="24"/>
        </w:rPr>
      </w:pPr>
      <w:r>
        <w:rPr>
          <w:szCs w:val="24"/>
        </w:rPr>
      </w:r>
    </w:p>
    <w:p>
      <w:pPr>
        <w:pStyle w:val="Normal"/>
        <w:spacing w:before="0" w:after="240"/>
        <w:jc w:val="both"/>
        <w:rPr>
          <w:szCs w:val="24"/>
        </w:rPr>
      </w:pPr>
      <w:r>
        <w:rPr>
          <w:szCs w:val="24"/>
        </w:rPr>
        <w:tab/>
        <w:t>(b)</w:t>
        <w:tab/>
        <w:t>Since the date of this Agreement:</w:t>
      </w:r>
    </w:p>
    <w:p>
      <w:pPr>
        <w:pStyle w:val="Normal"/>
        <w:spacing w:before="0" w:after="240"/>
        <w:ind w:start="720" w:end="0"/>
        <w:jc w:val="both"/>
        <w:rPr>
          <w:szCs w:val="24"/>
        </w:rPr>
      </w:pPr>
      <w:r>
        <w:rPr>
          <w:szCs w:val="24"/>
        </w:rPr>
        <w:t>(i)</w:t>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spacing w:before="0" w:after="240"/>
        <w:ind w:start="720" w:end="0"/>
        <w:jc w:val="both"/>
        <w:rPr>
          <w:szCs w:val="24"/>
        </w:rPr>
      </w:pPr>
      <w:r>
        <w:rPr>
          <w:szCs w:val="24"/>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jc w:val="both"/>
        <w:rPr/>
      </w:pPr>
      <w:r>
        <w:rPr>
          <w:szCs w:val="24"/>
        </w:rPr>
        <w:tab/>
        <w:t xml:space="preserve">Section  4.3   Conditions Precedent to Lenders’ Obligations to Make Advances with Respect to the Hawaii Tranches.   </w:t>
      </w:r>
      <w:r>
        <w:fldChar w:fldCharType="begin"/>
      </w:r>
      <w:r>
        <w:rPr/>
        <w:instrText xml:space="preserve"> TC "</w:instrText>
        <w:tab/>
        <w:instrText xml:space="preserve">Section  4.3   Conditions Precedent to Lenders’ Obligations to Make Advances with Respect to the Hawaii Tranches.   " \l 2 </w:instrText>
      </w:r>
      <w:r>
        <w:rPr/>
        <w:fldChar w:fldCharType="separate"/>
      </w:r>
      <w:r>
        <w:rPr/>
      </w:r>
      <w:r>
        <w:rPr/>
        <w:fldChar w:fldCharType="end"/>
      </w:r>
      <w:r>
        <w:rPr>
          <w:szCs w:val="24"/>
        </w:rPr>
        <w:t>The obligations of the Lenders to make the Advances with respect to the Hawaii Tranches available to the Trust on the Closing Date under this Agreement are conditioned upon the satisfaction of the following conditions precedent:</w:t>
      </w:r>
    </w:p>
    <w:p>
      <w:pPr>
        <w:pStyle w:val="Normal"/>
        <w:jc w:val="both"/>
        <w:rPr>
          <w:szCs w:val="24"/>
        </w:rPr>
      </w:pPr>
      <w:r>
        <w:rPr>
          <w:szCs w:val="24"/>
        </w:rPr>
      </w:r>
    </w:p>
    <w:p>
      <w:pPr>
        <w:pStyle w:val="Normal"/>
        <w:spacing w:before="0" w:after="240"/>
        <w:jc w:val="both"/>
        <w:rPr>
          <w:szCs w:val="24"/>
        </w:rPr>
      </w:pPr>
      <w:r>
        <w:rPr>
          <w:szCs w:val="24"/>
        </w:rPr>
        <w:tab/>
        <w:t>(a)</w:t>
        <w:tab/>
        <w:t>the Agent shall have received the following items, with respect to each Hawaii Tranche, in all respects (except where otherwise specified) in form and substance reasonably satisfactory to the Agent:</w:t>
      </w:r>
    </w:p>
    <w:p>
      <w:pPr>
        <w:pStyle w:val="Normal"/>
        <w:spacing w:before="0" w:after="240"/>
        <w:ind w:start="720" w:end="0"/>
        <w:jc w:val="both"/>
        <w:rPr>
          <w:szCs w:val="24"/>
        </w:rPr>
      </w:pPr>
      <w:r>
        <w:rPr>
          <w:szCs w:val="24"/>
        </w:rPr>
        <w:t>(i)</w:t>
        <w:tab/>
        <w:t>duly executed counterparts of:</w:t>
      </w:r>
    </w:p>
    <w:p>
      <w:pPr>
        <w:pStyle w:val="Normal"/>
        <w:spacing w:before="0" w:after="240"/>
        <w:ind w:start="1440" w:end="0"/>
        <w:jc w:val="both"/>
        <w:rPr>
          <w:szCs w:val="24"/>
        </w:rPr>
      </w:pPr>
      <w:r>
        <w:rPr>
          <w:szCs w:val="24"/>
        </w:rPr>
        <w:t>(A)</w:t>
        <w:tab/>
        <w:t>the applicable Drawdown Request with a copy of the Asset Notice executed and delivered in connection with the drawdown of the applicable Hawaii Tranche under the Hawaii Facility Agreement;</w:t>
      </w:r>
    </w:p>
    <w:p>
      <w:pPr>
        <w:pStyle w:val="Normal"/>
        <w:spacing w:before="0" w:after="240"/>
        <w:ind w:start="1440" w:end="0"/>
        <w:jc w:val="both"/>
        <w:rPr>
          <w:szCs w:val="24"/>
        </w:rPr>
      </w:pPr>
      <w:r>
        <w:rPr>
          <w:szCs w:val="24"/>
        </w:rPr>
        <w:t>(B)</w:t>
        <w:tab/>
        <w:t>the applicable replacement Series Certificate (the initial holder of which shall be CIBC Inc. or its assignee);</w:t>
      </w:r>
    </w:p>
    <w:p>
      <w:pPr>
        <w:pStyle w:val="Normal"/>
        <w:spacing w:before="0" w:after="240"/>
        <w:ind w:start="1440" w:end="0"/>
        <w:jc w:val="both"/>
        <w:rPr>
          <w:szCs w:val="24"/>
        </w:rPr>
      </w:pPr>
      <w:r>
        <w:rPr>
          <w:szCs w:val="24"/>
        </w:rPr>
        <w:t>(C)</w:t>
        <w:tab/>
        <w:t>the applicable Omnibus Amendment; and</w:t>
      </w:r>
    </w:p>
    <w:p>
      <w:pPr>
        <w:pStyle w:val="Normal"/>
        <w:spacing w:before="0" w:after="240"/>
        <w:ind w:start="1440" w:end="0"/>
        <w:jc w:val="both"/>
        <w:rPr>
          <w:szCs w:val="24"/>
        </w:rPr>
      </w:pPr>
      <w:r>
        <w:rPr>
          <w:szCs w:val="24"/>
        </w:rPr>
        <w:tab/>
        <w:t>(D)</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spacing w:before="0" w:after="240"/>
        <w:ind w:start="720" w:end="0"/>
        <w:jc w:val="both"/>
        <w:rPr>
          <w:szCs w:val="24"/>
        </w:rPr>
      </w:pPr>
      <w:r>
        <w:rPr>
          <w:szCs w:val="24"/>
        </w:rPr>
        <w:t>(ii)</w:t>
        <w:tab/>
        <w:t>legal opinions in substantially the form of Exhibit J hereto and dated the Drawdown Date from:</w:t>
      </w:r>
    </w:p>
    <w:p>
      <w:pPr>
        <w:pStyle w:val="Normal"/>
        <w:spacing w:before="0" w:after="240"/>
        <w:ind w:start="1440" w:end="0"/>
        <w:jc w:val="both"/>
        <w:rPr>
          <w:szCs w:val="24"/>
        </w:rPr>
      </w:pPr>
      <w:r>
        <w:rPr>
          <w:szCs w:val="24"/>
        </w:rPr>
        <w:t>(A)</w:t>
        <w:tab/>
        <w:t>Andrews &amp; Kurth L.L.P., special counsel to the applicable Asset LLC, the Sponsor the Permitted Swap Party (if any) and Enron;</w:t>
      </w:r>
    </w:p>
    <w:p>
      <w:pPr>
        <w:pStyle w:val="Normal"/>
        <w:spacing w:before="0" w:after="240"/>
        <w:ind w:start="1440" w:end="0"/>
        <w:jc w:val="both"/>
        <w:rPr>
          <w:szCs w:val="24"/>
        </w:rPr>
      </w:pPr>
      <w:r>
        <w:rPr>
          <w:szCs w:val="24"/>
        </w:rPr>
        <w:t>(B)</w:t>
        <w:tab/>
        <w:t>Prickett, Jones &amp; Elliott, special counsel to the applicable Asset LLC;</w:t>
      </w:r>
    </w:p>
    <w:p>
      <w:pPr>
        <w:pStyle w:val="Normal"/>
        <w:spacing w:before="0" w:after="240"/>
        <w:ind w:start="1440" w:end="0"/>
        <w:jc w:val="both"/>
        <w:rPr/>
      </w:pPr>
      <w:r>
        <w:rPr>
          <w:szCs w:val="24"/>
        </w:rPr>
        <w:t>(C)</w:t>
        <w:tab/>
        <w:t>General counsel to Enron</w:t>
      </w:r>
      <w:r>
        <w:rPr>
          <w:b/>
          <w:bCs/>
          <w:szCs w:val="24"/>
          <w:u w:val="double"/>
        </w:rPr>
        <w:t>,</w:t>
      </w:r>
      <w:r>
        <w:rPr>
          <w:szCs w:val="24"/>
        </w:rPr>
        <w:t xml:space="preserve"> the Sponsor and the applicable Permitted Swap Party (if any), respectively; </w:t>
      </w:r>
    </w:p>
    <w:p>
      <w:pPr>
        <w:pStyle w:val="Normal"/>
        <w:spacing w:before="0" w:after="240"/>
        <w:ind w:start="1440" w:end="0"/>
        <w:jc w:val="both"/>
        <w:rPr>
          <w:szCs w:val="24"/>
        </w:rPr>
      </w:pPr>
      <w:r>
        <w:rPr>
          <w:szCs w:val="24"/>
        </w:rPr>
        <w:t>(D)</w:t>
        <w:tab/>
        <w:t>Richards, Layton &amp; Finger, counsel to the Trust;</w:t>
      </w:r>
    </w:p>
    <w:p>
      <w:pPr>
        <w:pStyle w:val="Normal"/>
        <w:spacing w:before="0" w:after="240"/>
        <w:ind w:start="1440" w:end="0"/>
        <w:jc w:val="both"/>
        <w:rPr>
          <w:szCs w:val="24"/>
        </w:rPr>
      </w:pPr>
      <w:r>
        <w:rPr>
          <w:szCs w:val="24"/>
        </w:rPr>
        <w:t>(E)</w:t>
        <w:tab/>
        <w:t>only on the First Drawdown Date, an opinion of Mayer Brown &amp; Platt, counsel to the Agent; and</w:t>
      </w:r>
    </w:p>
    <w:p>
      <w:pPr>
        <w:pStyle w:val="Normal"/>
        <w:spacing w:before="0" w:after="240"/>
        <w:ind w:start="1440" w:end="0"/>
        <w:jc w:val="both"/>
        <w:rPr>
          <w:szCs w:val="24"/>
        </w:rPr>
      </w:pPr>
      <w:r>
        <w:rPr>
          <w:szCs w:val="24"/>
        </w:rPr>
        <w:t>(F)</w:t>
        <w:tab/>
        <w:t>Andrews &amp; Kurth L.L.P., Prickett, Jones &amp; Elliott, Richards, Layton &amp; Finger or such other counsel as may be reasonably acceptable to the Agent, as special counsel to the applicable Transferor.</w:t>
      </w:r>
    </w:p>
    <w:p>
      <w:pPr>
        <w:pStyle w:val="Normal"/>
        <w:ind w:hanging="1440" w:start="1440" w:end="0"/>
        <w:jc w:val="both"/>
        <w:rPr/>
      </w:pPr>
      <w:r>
        <w:rPr>
          <w:szCs w:val="24"/>
        </w:rPr>
        <w:tab/>
        <w:tab/>
        <w:t>(iii)</w:t>
        <w:tab/>
        <w:t>(A)</w:t>
        <w:tab/>
        <w:t xml:space="preserve">board (or other appropriate governing body) resolutions of each party to the Operative Documents other than Enron, the Trust and the Finance Parties </w:t>
      </w:r>
      <w:r>
        <w:rPr>
          <w:strike/>
          <w:szCs w:val="24"/>
        </w:rPr>
        <w:t>(a)</w:t>
      </w:r>
      <w:r>
        <w:rPr>
          <w:b/>
          <w:bCs/>
          <w:szCs w:val="24"/>
          <w:u w:val="double"/>
        </w:rPr>
        <w:t>(a)</w:t>
      </w:r>
      <w:r>
        <w:rPr>
          <w:szCs w:val="24"/>
        </w:rPr>
        <w:t xml:space="preserve">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jc w:val="both"/>
        <w:rPr>
          <w:szCs w:val="24"/>
        </w:rPr>
      </w:pPr>
      <w:r>
        <w:rPr>
          <w:szCs w:val="24"/>
        </w:rPr>
      </w:r>
    </w:p>
    <w:p>
      <w:pPr>
        <w:pStyle w:val="Normal"/>
        <w:ind w:start="1440" w:end="0"/>
        <w:jc w:val="both"/>
        <w:rPr>
          <w:szCs w:val="24"/>
        </w:rPr>
      </w:pPr>
      <w:r>
        <w:rPr>
          <w:szCs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jc w:val="both"/>
        <w:rPr>
          <w:szCs w:val="24"/>
        </w:rPr>
      </w:pPr>
      <w:r>
        <w:rPr>
          <w:szCs w:val="24"/>
        </w:rPr>
      </w:r>
    </w:p>
    <w:p>
      <w:pPr>
        <w:pStyle w:val="Normal"/>
        <w:spacing w:before="0" w:after="240"/>
        <w:jc w:val="both"/>
        <w:rPr>
          <w:szCs w:val="24"/>
        </w:rPr>
      </w:pPr>
      <w:r>
        <w:rPr>
          <w:szCs w:val="24"/>
        </w:rPr>
        <w:tab/>
        <w:t>(b)</w:t>
        <w:tab/>
        <w:t>Since the date of this Agreement:</w:t>
      </w:r>
    </w:p>
    <w:p>
      <w:pPr>
        <w:pStyle w:val="Normal"/>
        <w:spacing w:before="0" w:after="240"/>
        <w:ind w:start="720" w:end="0"/>
        <w:jc w:val="both"/>
        <w:rPr>
          <w:szCs w:val="24"/>
        </w:rPr>
      </w:pPr>
      <w:r>
        <w:rPr>
          <w:szCs w:val="24"/>
        </w:rPr>
        <w:t>(i)</w:t>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spacing w:before="0" w:after="240"/>
        <w:ind w:start="720" w:end="0"/>
        <w:jc w:val="both"/>
        <w:rPr>
          <w:szCs w:val="24"/>
        </w:rPr>
      </w:pPr>
      <w:r>
        <w:rPr>
          <w:szCs w:val="24"/>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jc w:val="both"/>
        <w:rPr/>
      </w:pPr>
      <w:r>
        <w:rPr>
          <w:szCs w:val="24"/>
        </w:rPr>
        <w:tab/>
        <w:t xml:space="preserve">Section  4.4   Conditions Precedent to Lenders’ Obligations to Make Advances with Respect to the Hawaii I Tranches.   </w:t>
      </w:r>
      <w:r>
        <w:fldChar w:fldCharType="begin"/>
      </w:r>
      <w:r>
        <w:rPr/>
        <w:instrText xml:space="preserve"> TC "</w:instrText>
        <w:tab/>
        <w:instrText xml:space="preserve">Section  4.4   Conditions Precedent to Lenders’ Obligations to Make Advances with Respect to the Hawaii I Tranches.   " \l 2 </w:instrText>
      </w:r>
      <w:r>
        <w:rPr/>
        <w:fldChar w:fldCharType="separate"/>
      </w:r>
      <w:r>
        <w:rPr/>
      </w:r>
      <w:r>
        <w:rPr/>
        <w:fldChar w:fldCharType="end"/>
      </w:r>
      <w:r>
        <w:rPr>
          <w:szCs w:val="24"/>
        </w:rPr>
        <w:t>The obligations of the Lenders to make the Advances available to the Trust under this Agreement comprising each Hawaii I Tranche are conditioned upon the satisfaction of the following conditions precedent:</w:t>
      </w:r>
    </w:p>
    <w:p>
      <w:pPr>
        <w:pStyle w:val="Normal"/>
        <w:jc w:val="both"/>
        <w:rPr>
          <w:szCs w:val="24"/>
        </w:rPr>
      </w:pPr>
      <w:r>
        <w:rPr>
          <w:szCs w:val="24"/>
        </w:rPr>
      </w:r>
    </w:p>
    <w:p>
      <w:pPr>
        <w:pStyle w:val="Normal"/>
        <w:spacing w:before="0" w:after="240"/>
        <w:jc w:val="both"/>
        <w:rPr>
          <w:szCs w:val="24"/>
        </w:rPr>
      </w:pPr>
      <w:r>
        <w:rPr>
          <w:szCs w:val="24"/>
        </w:rPr>
        <w:tab/>
        <w:t>(a)</w:t>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Normal"/>
        <w:spacing w:before="0" w:after="240"/>
        <w:ind w:start="720" w:end="0"/>
        <w:jc w:val="both"/>
        <w:rPr>
          <w:szCs w:val="24"/>
        </w:rPr>
      </w:pPr>
      <w:r>
        <w:rPr>
          <w:szCs w:val="24"/>
        </w:rPr>
        <w:t>(i)</w:t>
        <w:tab/>
        <w:t>duly executed counterparts of:</w:t>
      </w:r>
    </w:p>
    <w:p>
      <w:pPr>
        <w:pStyle w:val="Normal"/>
        <w:spacing w:before="0" w:after="240"/>
        <w:ind w:start="1440" w:end="0"/>
        <w:jc w:val="both"/>
        <w:rPr>
          <w:szCs w:val="24"/>
        </w:rPr>
      </w:pPr>
      <w:r>
        <w:rPr>
          <w:szCs w:val="24"/>
        </w:rPr>
        <w:t>(A)</w:t>
        <w:tab/>
        <w:t>the applicable Series Supplement;</w:t>
      </w:r>
    </w:p>
    <w:p>
      <w:pPr>
        <w:pStyle w:val="Normal"/>
        <w:spacing w:before="0" w:after="240"/>
        <w:ind w:start="1440" w:end="0"/>
        <w:jc w:val="both"/>
        <w:rPr>
          <w:szCs w:val="24"/>
        </w:rPr>
      </w:pPr>
      <w:r>
        <w:rPr>
          <w:szCs w:val="24"/>
        </w:rPr>
        <w:t>(B)</w:t>
        <w:tab/>
        <w:t>the applicable Drawdown Request with a copy of the Asset Notice executed and delivered in connection with the drawdown of the applicable Hawaii I Tranche under the Hawaii I Facility Agreement;</w:t>
      </w:r>
    </w:p>
    <w:p>
      <w:pPr>
        <w:pStyle w:val="Normal"/>
        <w:spacing w:before="0" w:after="240"/>
        <w:ind w:start="1440" w:end="0"/>
        <w:jc w:val="both"/>
        <w:rPr>
          <w:szCs w:val="24"/>
        </w:rPr>
      </w:pPr>
      <w:r>
        <w:rPr>
          <w:szCs w:val="24"/>
        </w:rPr>
        <w:t>(C)</w:t>
        <w:tab/>
        <w:t>the applicable Swap Confirmation and, if applicable, the related Total Return Swap Agreement described in clause (ii) of the definition of Total Return Swap Agreement;</w:t>
      </w:r>
    </w:p>
    <w:p>
      <w:pPr>
        <w:pStyle w:val="Normal"/>
        <w:spacing w:before="0" w:after="240"/>
        <w:ind w:start="1440" w:end="0"/>
        <w:jc w:val="both"/>
        <w:rPr>
          <w:szCs w:val="24"/>
        </w:rPr>
      </w:pPr>
      <w:r>
        <w:rPr>
          <w:szCs w:val="24"/>
        </w:rPr>
        <w:t>(D)</w:t>
        <w:tab/>
        <w:t>if Enron is not a party to the Total Return Swap Agreement, the Enron Guaranty;</w:t>
      </w:r>
    </w:p>
    <w:p>
      <w:pPr>
        <w:pStyle w:val="Normal"/>
        <w:spacing w:before="0" w:after="240"/>
        <w:ind w:start="1440" w:end="0"/>
        <w:jc w:val="both"/>
        <w:rPr>
          <w:szCs w:val="24"/>
        </w:rPr>
      </w:pPr>
      <w:r>
        <w:rPr>
          <w:szCs w:val="24"/>
        </w:rPr>
        <w:t>(E)</w:t>
        <w:tab/>
        <w:t>the applicable Series Certificate (the initial holder of which shall be CIBC Inc. or its assignee);</w:t>
      </w:r>
    </w:p>
    <w:p>
      <w:pPr>
        <w:pStyle w:val="Normal"/>
        <w:spacing w:before="0" w:after="240"/>
        <w:ind w:start="1440" w:end="0"/>
        <w:jc w:val="both"/>
        <w:rPr>
          <w:szCs w:val="24"/>
        </w:rPr>
      </w:pPr>
      <w:r>
        <w:rPr>
          <w:szCs w:val="24"/>
        </w:rPr>
        <w:t>(F)</w:t>
        <w:tab/>
        <w:t xml:space="preserve">the applicable Transfer and Auction Agreement; </w:t>
      </w:r>
    </w:p>
    <w:p>
      <w:pPr>
        <w:pStyle w:val="Normal"/>
        <w:spacing w:before="0" w:after="240"/>
        <w:ind w:start="1440" w:end="0"/>
        <w:jc w:val="both"/>
        <w:rPr>
          <w:szCs w:val="24"/>
        </w:rPr>
      </w:pPr>
      <w:r>
        <w:rPr>
          <w:szCs w:val="24"/>
        </w:rPr>
        <w:tab/>
        <w:t>(G)</w:t>
        <w:tab/>
        <w:t>as applicable, either (i) the applicable Put Option Assignment and/or (ii) the applicable Demand Note Assignment;</w:t>
      </w:r>
    </w:p>
    <w:p>
      <w:pPr>
        <w:pStyle w:val="Normal"/>
        <w:spacing w:before="0" w:after="240"/>
        <w:ind w:start="1440" w:end="0"/>
        <w:jc w:val="both"/>
        <w:rPr>
          <w:szCs w:val="24"/>
        </w:rPr>
      </w:pPr>
      <w:r>
        <w:rPr>
          <w:szCs w:val="24"/>
        </w:rPr>
        <w:t>(H)</w:t>
        <w:tab/>
        <w:t>the applicable Independent Auctioneer Letter;</w:t>
      </w:r>
    </w:p>
    <w:p>
      <w:pPr>
        <w:pStyle w:val="Normal"/>
        <w:spacing w:before="0" w:after="240"/>
        <w:ind w:start="1440" w:end="0"/>
        <w:jc w:val="both"/>
        <w:rPr/>
      </w:pPr>
      <w:r>
        <w:rPr>
          <w:szCs w:val="24"/>
        </w:rPr>
        <w:t>(I)</w:t>
        <w:tab/>
        <w:t xml:space="preserve">written confirmation (i) from the Agent under the Hawaii I Facility Agreement that all amounts of principal and interest and all other amounts due in respect of the applicable tranche under the Hawaii I Facility Agreement </w:t>
      </w:r>
      <w:r>
        <w:rPr>
          <w:strike/>
          <w:szCs w:val="24"/>
        </w:rPr>
        <w:t>has</w:t>
      </w:r>
      <w:r>
        <w:rPr>
          <w:szCs w:val="24"/>
        </w:rPr>
        <w:t xml:space="preserve"> </w:t>
      </w:r>
      <w:r>
        <w:rPr>
          <w:b/>
          <w:bCs/>
          <w:szCs w:val="24"/>
          <w:u w:val="double"/>
        </w:rPr>
        <w:t>have</w:t>
      </w:r>
      <w:r>
        <w:rPr>
          <w:szCs w:val="24"/>
        </w:rPr>
        <w:t xml:space="preser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spacing w:before="0" w:after="240"/>
        <w:ind w:start="1440" w:end="0"/>
        <w:jc w:val="both"/>
        <w:rPr>
          <w:szCs w:val="24"/>
        </w:rPr>
      </w:pPr>
      <w:r>
        <w:rPr>
          <w:szCs w:val="24"/>
        </w:rPr>
        <w:t>(J)</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spacing w:before="0" w:after="240"/>
        <w:ind w:start="720" w:end="0"/>
        <w:jc w:val="both"/>
        <w:rPr>
          <w:szCs w:val="24"/>
        </w:rPr>
      </w:pPr>
      <w:r>
        <w:rPr>
          <w:szCs w:val="24"/>
        </w:rPr>
        <w:t>(ii)</w:t>
        <w:tab/>
        <w:t>legal opinions in substantially the form of Exhibit J hereto and dated the Drawdown Date from:</w:t>
      </w:r>
    </w:p>
    <w:p>
      <w:pPr>
        <w:pStyle w:val="Normal"/>
        <w:spacing w:before="0" w:after="240"/>
        <w:ind w:start="1440" w:end="0"/>
        <w:jc w:val="both"/>
        <w:rPr>
          <w:szCs w:val="24"/>
        </w:rPr>
      </w:pPr>
      <w:r>
        <w:rPr>
          <w:szCs w:val="24"/>
        </w:rPr>
        <w:t>(A)</w:t>
        <w:tab/>
        <w:t>Andrews &amp; Kurth L.L.P., special counsel to the applicable Asset LLC, the Sponsor the Permitted Swap Party (if any) and Enron;</w:t>
      </w:r>
    </w:p>
    <w:p>
      <w:pPr>
        <w:pStyle w:val="Normal"/>
        <w:spacing w:before="0" w:after="240"/>
        <w:ind w:start="1440" w:end="0"/>
        <w:jc w:val="both"/>
        <w:rPr>
          <w:szCs w:val="24"/>
        </w:rPr>
      </w:pPr>
      <w:r>
        <w:rPr>
          <w:szCs w:val="24"/>
        </w:rPr>
        <w:t>(B)</w:t>
        <w:tab/>
        <w:t>Prickett, Jones &amp; Elliott, special counsel to the applicable Asset LLC;</w:t>
      </w:r>
    </w:p>
    <w:p>
      <w:pPr>
        <w:pStyle w:val="Normal"/>
        <w:spacing w:before="0" w:after="240"/>
        <w:ind w:start="1440" w:end="0"/>
        <w:jc w:val="both"/>
        <w:rPr/>
      </w:pPr>
      <w:r>
        <w:rPr>
          <w:szCs w:val="24"/>
        </w:rPr>
        <w:t>(C)</w:t>
        <w:tab/>
        <w:t xml:space="preserve">general counsel to Enron, the Sponsor and the applicable Permitted Swap </w:t>
      </w:r>
      <w:r>
        <w:rPr>
          <w:b/>
          <w:bCs/>
          <w:szCs w:val="24"/>
          <w:u w:val="double"/>
        </w:rPr>
        <w:t>Party</w:t>
      </w:r>
      <w:r>
        <w:rPr>
          <w:szCs w:val="24"/>
        </w:rPr>
        <w:t xml:space="preserve"> (if any), respectively; </w:t>
      </w:r>
    </w:p>
    <w:p>
      <w:pPr>
        <w:pStyle w:val="Normal"/>
        <w:spacing w:before="0" w:after="240"/>
        <w:ind w:start="1440" w:end="0"/>
        <w:jc w:val="both"/>
        <w:rPr>
          <w:szCs w:val="24"/>
        </w:rPr>
      </w:pPr>
      <w:r>
        <w:rPr>
          <w:szCs w:val="24"/>
        </w:rPr>
        <w:t>(D)</w:t>
        <w:tab/>
        <w:t>Richards, Layton &amp; Finger, counsel to the Trust; and</w:t>
      </w:r>
    </w:p>
    <w:p>
      <w:pPr>
        <w:pStyle w:val="Normal"/>
        <w:spacing w:before="0" w:after="240"/>
        <w:ind w:start="1440" w:end="0"/>
        <w:jc w:val="both"/>
        <w:rPr>
          <w:szCs w:val="24"/>
        </w:rPr>
      </w:pPr>
      <w:r>
        <w:rPr>
          <w:szCs w:val="24"/>
        </w:rPr>
        <w:t>(E)</w:t>
        <w:tab/>
        <w:t>Andrews &amp; Kurth L.L.P., Prickett, Jones &amp; Elliott, Richards, Layton &amp; Finger or such other counsel as may be reasonably acceptable to the Agent, as special counsel to the applicable Transferor.</w:t>
      </w:r>
    </w:p>
    <w:p>
      <w:pPr>
        <w:pStyle w:val="Normal"/>
        <w:ind w:hanging="1440" w:start="1440" w:end="0"/>
        <w:jc w:val="both"/>
        <w:rPr>
          <w:szCs w:val="24"/>
        </w:rPr>
      </w:pPr>
      <w:r>
        <w:rPr>
          <w:szCs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jc w:val="both"/>
        <w:rPr>
          <w:szCs w:val="24"/>
        </w:rPr>
      </w:pPr>
      <w:r>
        <w:rPr>
          <w:szCs w:val="24"/>
        </w:rPr>
      </w:r>
    </w:p>
    <w:p>
      <w:pPr>
        <w:pStyle w:val="Normal"/>
        <w:ind w:start="1440" w:end="0"/>
        <w:jc w:val="both"/>
        <w:rPr>
          <w:szCs w:val="24"/>
        </w:rPr>
      </w:pPr>
      <w:r>
        <w:rPr>
          <w:szCs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jc w:val="both"/>
        <w:rPr>
          <w:szCs w:val="24"/>
        </w:rPr>
      </w:pPr>
      <w:r>
        <w:rPr>
          <w:szCs w:val="24"/>
        </w:rPr>
      </w:r>
    </w:p>
    <w:p>
      <w:pPr>
        <w:pStyle w:val="Normal"/>
        <w:spacing w:before="0" w:after="240"/>
        <w:jc w:val="both"/>
        <w:rPr>
          <w:szCs w:val="24"/>
        </w:rPr>
      </w:pPr>
      <w:r>
        <w:rPr>
          <w:szCs w:val="24"/>
        </w:rPr>
        <w:tab/>
        <w:t>(b)</w:t>
        <w:tab/>
        <w:t>Since the date of this Agreement:</w:t>
      </w:r>
    </w:p>
    <w:p>
      <w:pPr>
        <w:pStyle w:val="Normal"/>
        <w:spacing w:before="0" w:after="240"/>
        <w:ind w:start="720" w:end="0"/>
        <w:jc w:val="both"/>
        <w:rPr>
          <w:szCs w:val="24"/>
        </w:rPr>
      </w:pPr>
      <w:r>
        <w:rPr>
          <w:szCs w:val="24"/>
        </w:rPr>
        <w:t>(i)</w:t>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Normal"/>
        <w:keepNext w:val="true"/>
        <w:spacing w:before="0" w:after="240"/>
        <w:ind w:start="720" w:end="0"/>
        <w:jc w:val="both"/>
        <w:rPr>
          <w:szCs w:val="24"/>
        </w:rPr>
      </w:pPr>
      <w:r>
        <w:rPr>
          <w:szCs w:val="24"/>
        </w:rPr>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jc w:val="both"/>
        <w:rPr/>
      </w:pPr>
      <w:r>
        <w:rPr>
          <w:szCs w:val="24"/>
        </w:rPr>
        <w:tab/>
        <w:t xml:space="preserve">Section  4.5   Commitments Not Drawn.   </w:t>
      </w:r>
      <w:r>
        <w:fldChar w:fldCharType="begin"/>
      </w:r>
      <w:r>
        <w:rPr/>
        <w:instrText xml:space="preserve"> TC "</w:instrText>
        <w:tab/>
        <w:instrText xml:space="preserve">Section  4.5   Commitments Not Drawn.   " \l 2 </w:instrText>
      </w:r>
      <w:r>
        <w:rPr/>
        <w:fldChar w:fldCharType="separate"/>
      </w:r>
      <w:r>
        <w:rPr/>
      </w:r>
      <w:r>
        <w:rPr/>
        <w:fldChar w:fldCharType="end"/>
      </w:r>
      <w:r>
        <w:rPr>
          <w:szCs w:val="24"/>
        </w:rPr>
        <w:t>Any Commitments not drawn on or before the Final Advance Date shall be canceled.</w:t>
      </w:r>
    </w:p>
    <w:p>
      <w:pPr>
        <w:pStyle w:val="Normal"/>
        <w:keepNext w:val="true"/>
        <w:keepLines/>
        <w:jc w:val="both"/>
        <w:rPr>
          <w:szCs w:val="24"/>
        </w:rPr>
      </w:pPr>
      <w:r>
        <w:rPr>
          <w:szCs w:val="24"/>
        </w:rPr>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V</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DRAWDOWN CERTIFICATION AND DRAWDOWN PROCEDURES</w:t>
      </w:r>
      <w:r>
        <w:fldChar w:fldCharType="begin"/>
      </w:r>
      <w:r>
        <w:rPr/>
        <w:instrText xml:space="preserve"> TC "ARTICLE VDRAWDOWN CERTIFICATION AND DRAWDOWN PROCEDURES"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Section  5.1   Certification Procedure. </w:t>
      </w:r>
      <w:r>
        <w:fldChar w:fldCharType="begin"/>
      </w:r>
      <w:r>
        <w:rPr/>
        <w:instrText xml:space="preserve"> TC "</w:instrText>
        <w:tab/>
        <w:instrText xml:space="preserve">Section  5.1   Certification Procedure. " \l 2 </w:instrText>
      </w:r>
      <w:r>
        <w:rPr/>
        <w:fldChar w:fldCharType="separate"/>
      </w:r>
      <w:r>
        <w:rPr/>
      </w:r>
      <w:r>
        <w:rPr/>
        <w:fldChar w:fldCharType="end"/>
      </w:r>
      <w:r>
        <w:rPr>
          <w:szCs w:val="24"/>
        </w:rPr>
        <w:t xml:space="preserve">  (a)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jc w:val="both"/>
        <w:rPr>
          <w:szCs w:val="24"/>
        </w:rPr>
      </w:pPr>
      <w:r>
        <w:rPr>
          <w:szCs w:val="24"/>
        </w:rPr>
      </w:r>
    </w:p>
    <w:p>
      <w:pPr>
        <w:pStyle w:val="Normal"/>
        <w:spacing w:before="0" w:after="240"/>
        <w:ind w:start="720" w:end="0"/>
        <w:jc w:val="both"/>
        <w:rPr>
          <w:szCs w:val="24"/>
        </w:rPr>
      </w:pPr>
      <w:r>
        <w:rPr>
          <w:szCs w:val="24"/>
        </w:rPr>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spacing w:before="0" w:after="240"/>
        <w:ind w:start="720" w:end="0"/>
        <w:jc w:val="both"/>
        <w:rPr>
          <w:szCs w:val="24"/>
        </w:rPr>
      </w:pPr>
      <w:r>
        <w:rPr>
          <w:szCs w:val="24"/>
        </w:rPr>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jc w:val="both"/>
        <w:rPr>
          <w:szCs w:val="24"/>
        </w:rPr>
      </w:pPr>
      <w:r>
        <w:rPr>
          <w:szCs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jc w:val="both"/>
        <w:rPr>
          <w:szCs w:val="24"/>
        </w:rPr>
      </w:pPr>
      <w:r>
        <w:rPr>
          <w:szCs w:val="24"/>
        </w:rPr>
      </w:r>
    </w:p>
    <w:p>
      <w:pPr>
        <w:pStyle w:val="Normal"/>
        <w:jc w:val="both"/>
        <w:rPr>
          <w:szCs w:val="24"/>
        </w:rPr>
      </w:pPr>
      <w:r>
        <w:rPr>
          <w:szCs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jc w:val="both"/>
        <w:rPr>
          <w:szCs w:val="24"/>
        </w:rPr>
      </w:pPr>
      <w:r>
        <w:rPr>
          <w:szCs w:val="24"/>
        </w:rPr>
      </w:r>
    </w:p>
    <w:p>
      <w:pPr>
        <w:pStyle w:val="Normal"/>
        <w:keepNext w:val="true"/>
        <w:jc w:val="both"/>
        <w:rPr>
          <w:szCs w:val="24"/>
        </w:rPr>
      </w:pPr>
      <w:r>
        <w:rPr>
          <w:szCs w:val="24"/>
        </w:rPr>
        <w:tab/>
        <w:t>(1)</w:t>
        <w:tab/>
        <w:t>Canadian Imperial Bank of Commerce, as Agent</w:t>
      </w:r>
    </w:p>
    <w:p>
      <w:pPr>
        <w:pStyle w:val="Normal"/>
        <w:keepNext w:val="true"/>
        <w:keepLines/>
        <w:ind w:hanging="1440" w:start="1440" w:end="0"/>
        <w:jc w:val="both"/>
        <w:rPr>
          <w:szCs w:val="24"/>
        </w:rPr>
      </w:pPr>
      <w:r>
        <w:rPr>
          <w:szCs w:val="24"/>
        </w:rPr>
        <w:tab/>
        <w:tab/>
        <w:t>c/o CIBC World Markets</w:t>
      </w:r>
    </w:p>
    <w:p>
      <w:pPr>
        <w:pStyle w:val="Normal"/>
        <w:keepNext w:val="true"/>
        <w:keepLines/>
        <w:jc w:val="both"/>
        <w:rPr>
          <w:szCs w:val="24"/>
        </w:rPr>
      </w:pPr>
      <w:r>
        <w:rPr>
          <w:szCs w:val="24"/>
        </w:rPr>
        <w:tab/>
        <w:tab/>
        <w:t>425 Lexington Avenue,</w:t>
      </w:r>
    </w:p>
    <w:p>
      <w:pPr>
        <w:pStyle w:val="Normal"/>
        <w:keepNext w:val="true"/>
        <w:keepLines/>
        <w:jc w:val="both"/>
        <w:rPr>
          <w:szCs w:val="24"/>
        </w:rPr>
      </w:pPr>
      <w:r>
        <w:rPr>
          <w:szCs w:val="24"/>
        </w:rPr>
        <w:tab/>
        <w:tab/>
        <w:t>New York, New York 10017</w:t>
      </w:r>
    </w:p>
    <w:p>
      <w:pPr>
        <w:pStyle w:val="Normal"/>
        <w:keepNext w:val="true"/>
        <w:keepLines/>
        <w:jc w:val="both"/>
        <w:rPr>
          <w:szCs w:val="24"/>
        </w:rPr>
      </w:pPr>
      <w:r>
        <w:rPr>
          <w:szCs w:val="24"/>
        </w:rPr>
        <w:tab/>
        <w:tab/>
        <w:t>Attention: Ian Schottlaender and Mercedes Arango</w:t>
      </w:r>
    </w:p>
    <w:p>
      <w:pPr>
        <w:pStyle w:val="Normal"/>
        <w:keepNext w:val="true"/>
        <w:keepLines/>
        <w:jc w:val="both"/>
        <w:rPr>
          <w:szCs w:val="24"/>
        </w:rPr>
      </w:pPr>
      <w:r>
        <w:rPr>
          <w:szCs w:val="24"/>
        </w:rPr>
        <w:tab/>
        <w:tab/>
        <w:t>Fax No.: (212) 885-4909; and</w:t>
      </w:r>
    </w:p>
    <w:p>
      <w:pPr>
        <w:pStyle w:val="Normal"/>
        <w:keepNext w:val="true"/>
        <w:keepLines/>
        <w:jc w:val="both"/>
        <w:rPr>
          <w:szCs w:val="24"/>
        </w:rPr>
      </w:pPr>
      <w:r>
        <w:rPr>
          <w:szCs w:val="24"/>
        </w:rPr>
      </w:r>
    </w:p>
    <w:p>
      <w:pPr>
        <w:pStyle w:val="Normal"/>
        <w:keepNext w:val="true"/>
        <w:keepLines/>
        <w:ind w:hanging="1440" w:start="1440" w:end="0"/>
        <w:jc w:val="both"/>
        <w:rPr>
          <w:szCs w:val="24"/>
        </w:rPr>
      </w:pPr>
      <w:r>
        <w:rPr>
          <w:szCs w:val="24"/>
        </w:rPr>
        <w:tab/>
        <w:t>(2)</w:t>
        <w:tab/>
        <w:t>Canadian Imperial Bank of Commerce, as Agent</w:t>
      </w:r>
    </w:p>
    <w:p>
      <w:pPr>
        <w:pStyle w:val="Normal"/>
        <w:keepNext w:val="true"/>
        <w:keepLines/>
        <w:ind w:start="1440" w:end="0"/>
        <w:jc w:val="both"/>
        <w:rPr>
          <w:szCs w:val="24"/>
        </w:rPr>
      </w:pPr>
      <w:r>
        <w:rPr>
          <w:szCs w:val="24"/>
        </w:rPr>
        <w:t>425 Lexington Avenue</w:t>
      </w:r>
    </w:p>
    <w:p>
      <w:pPr>
        <w:pStyle w:val="Normal"/>
        <w:keepNext w:val="true"/>
        <w:keepLines/>
        <w:jc w:val="both"/>
        <w:rPr>
          <w:szCs w:val="24"/>
        </w:rPr>
      </w:pPr>
      <w:r>
        <w:rPr>
          <w:szCs w:val="24"/>
        </w:rPr>
        <w:tab/>
        <w:tab/>
        <w:t>New York, New York 10017</w:t>
      </w:r>
    </w:p>
    <w:p>
      <w:pPr>
        <w:pStyle w:val="Normal"/>
        <w:keepNext w:val="true"/>
        <w:keepLines/>
        <w:jc w:val="both"/>
        <w:rPr>
          <w:szCs w:val="24"/>
        </w:rPr>
      </w:pPr>
      <w:r>
        <w:rPr>
          <w:szCs w:val="24"/>
        </w:rPr>
        <w:tab/>
        <w:tab/>
        <w:t>Attention: MaryBeth Ross</w:t>
      </w:r>
    </w:p>
    <w:p>
      <w:pPr>
        <w:pStyle w:val="Normal"/>
        <w:keepNext w:val="true"/>
        <w:keepLines/>
        <w:jc w:val="both"/>
        <w:rPr>
          <w:szCs w:val="24"/>
        </w:rPr>
      </w:pPr>
      <w:r>
        <w:rPr>
          <w:szCs w:val="24"/>
        </w:rPr>
        <w:tab/>
        <w:tab/>
        <w:t>Fax No.: (212) 856-3763</w:t>
      </w:r>
    </w:p>
    <w:p>
      <w:pPr>
        <w:pStyle w:val="Normal"/>
        <w:keepNext w:val="true"/>
        <w:keepLines/>
        <w:jc w:val="both"/>
        <w:rPr>
          <w:szCs w:val="24"/>
        </w:rPr>
      </w:pPr>
      <w:r>
        <w:rPr>
          <w:szCs w:val="24"/>
        </w:rPr>
      </w:r>
    </w:p>
    <w:p>
      <w:pPr>
        <w:pStyle w:val="Normal"/>
        <w:keepNext w:val="true"/>
        <w:keepLines/>
        <w:jc w:val="both"/>
        <w:rPr>
          <w:szCs w:val="24"/>
        </w:rPr>
      </w:pPr>
      <w:r>
        <w:rPr>
          <w:szCs w:val="24"/>
        </w:rPr>
        <w:tab/>
        <w:t>(3)</w:t>
        <w:tab/>
        <w:t>Canadian Imperial Bank of Commerce, as Agent</w:t>
      </w:r>
    </w:p>
    <w:p>
      <w:pPr>
        <w:pStyle w:val="Normal"/>
        <w:keepNext w:val="true"/>
        <w:keepLines/>
        <w:ind w:hanging="1440" w:start="1440" w:end="0"/>
        <w:jc w:val="both"/>
        <w:rPr>
          <w:szCs w:val="24"/>
        </w:rPr>
      </w:pPr>
      <w:r>
        <w:rPr>
          <w:szCs w:val="24"/>
        </w:rPr>
        <w:tab/>
        <w:tab/>
        <w:t>c/o CIBC World Markets</w:t>
      </w:r>
    </w:p>
    <w:p>
      <w:pPr>
        <w:pStyle w:val="Normal"/>
        <w:keepLines/>
        <w:jc w:val="both"/>
        <w:rPr>
          <w:szCs w:val="24"/>
        </w:rPr>
      </w:pPr>
      <w:r>
        <w:rPr>
          <w:szCs w:val="24"/>
        </w:rPr>
        <w:tab/>
        <w:tab/>
        <w:t>1600 Smith</w:t>
      </w:r>
    </w:p>
    <w:p>
      <w:pPr>
        <w:pStyle w:val="Normal"/>
        <w:jc w:val="both"/>
        <w:rPr>
          <w:szCs w:val="24"/>
        </w:rPr>
      </w:pPr>
      <w:r>
        <w:rPr>
          <w:szCs w:val="24"/>
        </w:rPr>
        <w:tab/>
        <w:tab/>
        <w:t>Suite 3100</w:t>
      </w:r>
    </w:p>
    <w:p>
      <w:pPr>
        <w:pStyle w:val="Normal"/>
        <w:jc w:val="both"/>
        <w:rPr>
          <w:szCs w:val="24"/>
        </w:rPr>
      </w:pPr>
      <w:r>
        <w:rPr>
          <w:szCs w:val="24"/>
        </w:rPr>
        <w:tab/>
        <w:tab/>
        <w:t>Houston, Texas 77002</w:t>
      </w:r>
    </w:p>
    <w:p>
      <w:pPr>
        <w:pStyle w:val="Normal"/>
        <w:jc w:val="both"/>
        <w:rPr>
          <w:szCs w:val="24"/>
        </w:rPr>
      </w:pPr>
      <w:r>
        <w:rPr>
          <w:szCs w:val="24"/>
        </w:rPr>
        <w:tab/>
        <w:tab/>
        <w:t>Attention: Mark Wolf</w:t>
      </w:r>
    </w:p>
    <w:p>
      <w:pPr>
        <w:pStyle w:val="Normal"/>
        <w:jc w:val="both"/>
        <w:rPr>
          <w:szCs w:val="24"/>
        </w:rPr>
      </w:pPr>
      <w:r>
        <w:rPr>
          <w:szCs w:val="24"/>
        </w:rPr>
        <w:tab/>
        <w:tab/>
        <w:t>Tel.: (713) 650-2588</w:t>
      </w:r>
    </w:p>
    <w:p>
      <w:pPr>
        <w:pStyle w:val="Normal"/>
        <w:jc w:val="both"/>
        <w:rPr>
          <w:szCs w:val="24"/>
        </w:rPr>
      </w:pPr>
      <w:r>
        <w:rPr>
          <w:szCs w:val="24"/>
        </w:rPr>
        <w:tab/>
        <w:tab/>
        <w:t>Fax No.: (713) 650-7675; and</w:t>
      </w:r>
    </w:p>
    <w:p>
      <w:pPr>
        <w:pStyle w:val="Normal"/>
        <w:jc w:val="both"/>
        <w:rPr>
          <w:szCs w:val="24"/>
        </w:rPr>
      </w:pPr>
      <w:r>
        <w:rPr>
          <w:szCs w:val="24"/>
        </w:rPr>
      </w:r>
    </w:p>
    <w:p>
      <w:pPr>
        <w:pStyle w:val="Normal"/>
        <w:jc w:val="both"/>
        <w:rPr/>
      </w:pPr>
      <w:r>
        <w:rPr>
          <w:szCs w:val="24"/>
        </w:rPr>
        <w:tab/>
        <w:t>(ii)</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bCs/>
          <w:szCs w:val="24"/>
        </w:rPr>
        <w:t>“</w:t>
      </w:r>
      <w:r>
        <w:rPr>
          <w:b/>
          <w:bCs/>
          <w:szCs w:val="24"/>
          <w:u w:val="single"/>
        </w:rPr>
        <w:t>Designated Person</w:t>
      </w:r>
      <w:r>
        <w:rPr>
          <w:b/>
          <w:bCs/>
          <w:szCs w:val="24"/>
        </w:rPr>
        <w:t>”</w:t>
      </w:r>
      <w:r>
        <w:rPr>
          <w:szCs w:val="24"/>
        </w:rPr>
        <w:t>) and notify such Designated Person of the delivery of such Asset Notice and Asset Summary and obtain an oral confirmation of receipt from such Designated Person.</w:t>
      </w:r>
    </w:p>
    <w:p>
      <w:pPr>
        <w:pStyle w:val="Normal"/>
        <w:jc w:val="both"/>
        <w:rPr>
          <w:szCs w:val="24"/>
        </w:rPr>
      </w:pPr>
      <w:r>
        <w:rPr>
          <w:szCs w:val="24"/>
        </w:rPr>
      </w:r>
    </w:p>
    <w:p>
      <w:pPr>
        <w:pStyle w:val="Normal"/>
        <w:jc w:val="both"/>
        <w:rPr>
          <w:szCs w:val="24"/>
        </w:rPr>
      </w:pPr>
      <w:r>
        <w:rPr>
          <w:szCs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jc w:val="both"/>
        <w:rPr>
          <w:szCs w:val="24"/>
        </w:rPr>
      </w:pPr>
      <w:r>
        <w:rPr>
          <w:szCs w:val="24"/>
        </w:rPr>
      </w:r>
    </w:p>
    <w:p>
      <w:pPr>
        <w:pStyle w:val="Normal"/>
        <w:jc w:val="both"/>
        <w:rPr>
          <w:szCs w:val="24"/>
        </w:rPr>
      </w:pPr>
      <w:r>
        <w:rPr>
          <w:szCs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jc w:val="both"/>
        <w:rPr>
          <w:szCs w:val="24"/>
        </w:rPr>
      </w:pPr>
      <w:r>
        <w:rPr>
          <w:szCs w:val="24"/>
        </w:rPr>
      </w:r>
    </w:p>
    <w:p>
      <w:pPr>
        <w:pStyle w:val="Normal"/>
        <w:jc w:val="both"/>
        <w:rPr>
          <w:szCs w:val="24"/>
        </w:rPr>
      </w:pPr>
      <w:r>
        <w:rPr>
          <w:szCs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jc w:val="both"/>
        <w:rPr>
          <w:szCs w:val="24"/>
        </w:rPr>
      </w:pPr>
      <w:r>
        <w:rPr>
          <w:szCs w:val="24"/>
        </w:rPr>
      </w:r>
    </w:p>
    <w:p>
      <w:pPr>
        <w:pStyle w:val="Normal"/>
        <w:keepNext w:val="true"/>
        <w:jc w:val="both"/>
        <w:rPr/>
      </w:pPr>
      <w:r>
        <w:rPr>
          <w:szCs w:val="24"/>
        </w:rPr>
        <w:tab/>
        <w:t xml:space="preserve">Section  5.2   Drawdown of the Advances </w:t>
      </w:r>
      <w:r>
        <w:fldChar w:fldCharType="begin"/>
      </w:r>
      <w:r>
        <w:rPr/>
        <w:instrText xml:space="preserve"> TC "</w:instrText>
        <w:tab/>
        <w:instrText xml:space="preserve">Section  5.2   Drawdown of the Advances " \l 2 </w:instrText>
      </w:r>
      <w:r>
        <w:rPr/>
        <w:fldChar w:fldCharType="separate"/>
      </w:r>
      <w:r>
        <w:rPr/>
      </w:r>
      <w:r>
        <w:rPr/>
        <w:fldChar w:fldCharType="end"/>
      </w:r>
      <w:r>
        <w:rPr>
          <w:szCs w:val="24"/>
        </w:rPr>
        <w:t>.</w:t>
      </w:r>
    </w:p>
    <w:p>
      <w:pPr>
        <w:pStyle w:val="Normal"/>
        <w:keepNext w:val="true"/>
        <w:jc w:val="both"/>
        <w:rPr>
          <w:szCs w:val="24"/>
        </w:rPr>
      </w:pPr>
      <w:r>
        <w:rPr>
          <w:szCs w:val="24"/>
        </w:rPr>
      </w:r>
    </w:p>
    <w:p>
      <w:pPr>
        <w:pStyle w:val="Normal"/>
        <w:spacing w:before="0" w:after="240"/>
        <w:jc w:val="both"/>
        <w:rPr>
          <w:szCs w:val="24"/>
        </w:rPr>
      </w:pPr>
      <w:r>
        <w:rPr>
          <w:szCs w:val="24"/>
        </w:rPr>
        <w:tab/>
        <w:t>(a)</w:t>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ind w:hanging="1440" w:start="1440" w:end="0"/>
        <w:jc w:val="both"/>
        <w:rPr>
          <w:szCs w:val="24"/>
        </w:rPr>
      </w:pPr>
      <w:r>
        <w:rPr>
          <w:szCs w:val="24"/>
        </w:rPr>
        <w:tab/>
        <w:t>(i)</w:t>
        <w:tab/>
        <w:t>the Agent and the Subscriber have returned the applicable Asset Notice to Enron making the confirmation referred to in Section 5.1(a)(i); or</w:t>
      </w:r>
    </w:p>
    <w:p>
      <w:pPr>
        <w:pStyle w:val="Normal"/>
        <w:jc w:val="both"/>
        <w:rPr>
          <w:szCs w:val="24"/>
        </w:rPr>
      </w:pPr>
      <w:r>
        <w:rPr>
          <w:szCs w:val="24"/>
        </w:rPr>
      </w:r>
    </w:p>
    <w:p>
      <w:pPr>
        <w:pStyle w:val="Normal"/>
        <w:ind w:hanging="1440" w:start="1440" w:end="0"/>
        <w:jc w:val="both"/>
        <w:rPr>
          <w:szCs w:val="24"/>
        </w:rPr>
      </w:pPr>
      <w:r>
        <w:rPr>
          <w:szCs w:val="24"/>
        </w:rPr>
        <w:tab/>
        <w:t>(ii)</w:t>
        <w:tab/>
        <w:t>neither the Agent nor the Subscriber gives Enron a written notice in accordance with either Section 5.1(a)(ii) or 5.1(a)(iii) within 10 Business Days after delivery of the applicable Asset Notice to the Agent and Subscriber, respectively.</w:t>
      </w:r>
    </w:p>
    <w:p>
      <w:pPr>
        <w:pStyle w:val="Normal"/>
        <w:jc w:val="both"/>
        <w:rPr>
          <w:szCs w:val="24"/>
        </w:rPr>
      </w:pPr>
      <w:r>
        <w:rPr>
          <w:szCs w:val="24"/>
        </w:rPr>
      </w:r>
    </w:p>
    <w:p>
      <w:pPr>
        <w:pStyle w:val="Normal"/>
        <w:spacing w:before="0" w:after="240"/>
        <w:jc w:val="both"/>
        <w:rPr>
          <w:szCs w:val="24"/>
        </w:rPr>
      </w:pPr>
      <w:r>
        <w:rPr>
          <w:szCs w:val="24"/>
        </w:rPr>
        <w:tab/>
        <w:t>(b)</w:t>
        <w:tab/>
        <w:t>Each Drawdown Request delivered to the Agent shall be in the form set out in Exhibit A and otherwise duly completed.</w:t>
      </w:r>
    </w:p>
    <w:p>
      <w:pPr>
        <w:pStyle w:val="Normal"/>
        <w:spacing w:before="0" w:after="240"/>
        <w:jc w:val="both"/>
        <w:rPr>
          <w:szCs w:val="24"/>
        </w:rPr>
      </w:pPr>
      <w:r>
        <w:rPr>
          <w:szCs w:val="24"/>
        </w:rPr>
        <w:tab/>
        <w:t>(c)</w:t>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Normal"/>
        <w:spacing w:before="0" w:after="240"/>
        <w:jc w:val="both"/>
        <w:rPr>
          <w:szCs w:val="24"/>
        </w:rPr>
      </w:pPr>
      <w:r>
        <w:rPr>
          <w:szCs w:val="24"/>
        </w:rPr>
        <w:tab/>
        <w:t>(d)</w:t>
        <w:tab/>
        <w:t>A Drawdown Request once given may not be withdrawn or revoked.</w:t>
      </w:r>
    </w:p>
    <w:p>
      <w:pPr>
        <w:pStyle w:val="Normal"/>
        <w:keepNext w:val="true"/>
        <w:spacing w:before="0" w:after="240"/>
        <w:jc w:val="both"/>
        <w:rPr>
          <w:szCs w:val="24"/>
        </w:rPr>
      </w:pPr>
      <w:r>
        <w:rPr>
          <w:szCs w:val="24"/>
        </w:rPr>
        <w:tab/>
        <w:t>(e)</w:t>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keepNext w:val="true"/>
        <w:keepLines/>
        <w:jc w:val="both"/>
        <w:rPr/>
      </w:pPr>
      <w:r>
        <w:rPr>
          <w:szCs w:val="24"/>
        </w:rPr>
        <w:tab/>
        <w:t xml:space="preserve">Section  5.3   Advances </w:t>
      </w:r>
      <w:r>
        <w:fldChar w:fldCharType="begin"/>
      </w:r>
      <w:r>
        <w:rPr/>
        <w:instrText xml:space="preserve"> TC "Section  5.3   Advances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szCs w:val="24"/>
        </w:rPr>
      </w:pPr>
      <w:r>
        <w:rPr>
          <w:szCs w:val="24"/>
        </w:rPr>
        <w:tab/>
        <w:t>(a)</w:t>
        <w:tab/>
        <w:t>Subject to the provisions of this Agreement, each Lender will make available to the Agent the amount of its Percentage Commitment of each Tranche on the applicable Drawdown Date in accordance with Section 9.1(a).</w:t>
      </w:r>
    </w:p>
    <w:p>
      <w:pPr>
        <w:pStyle w:val="Normal"/>
        <w:keepNext w:val="true"/>
        <w:spacing w:before="0" w:after="240"/>
        <w:jc w:val="both"/>
        <w:rPr>
          <w:szCs w:val="24"/>
        </w:rPr>
      </w:pPr>
      <w:r>
        <w:rPr>
          <w:szCs w:val="24"/>
        </w:rPr>
        <w:tab/>
        <w:t>(b)</w:t>
        <w:tab/>
        <w:t>If prior to Advances being made any Lender’s Commitment has been or will be wholly canceled or terminated pursuant to this Agreement, such Lender will not be obliged to make an Advance hereunder.</w:t>
      </w:r>
    </w:p>
    <w:p>
      <w:pPr>
        <w:pStyle w:val="Normal"/>
        <w:keepNext w:val="true"/>
        <w:keepLines/>
        <w:jc w:val="both"/>
        <w:rPr/>
      </w:pPr>
      <w:r>
        <w:rPr>
          <w:szCs w:val="24"/>
        </w:rPr>
        <w:tab/>
        <w:t xml:space="preserve">Section  5.4   Notice to Lenders of a Proposed Drawdown </w:t>
      </w:r>
      <w:r>
        <w:fldChar w:fldCharType="begin"/>
      </w:r>
      <w:r>
        <w:rPr/>
        <w:instrText xml:space="preserve"> TC "</w:instrText>
        <w:tab/>
        <w:instrText xml:space="preserve">Section  5.4   Notice to Lenders of a Proposed Drawdown " \l 2 </w:instrText>
      </w:r>
      <w:r>
        <w:rPr/>
        <w:fldChar w:fldCharType="separate"/>
      </w:r>
      <w:r>
        <w:rPr/>
      </w:r>
      <w:r>
        <w:rPr/>
        <w:fldChar w:fldCharType="end"/>
      </w:r>
      <w:r>
        <w:rPr>
          <w:szCs w:val="24"/>
        </w:rPr>
        <w:t>.  Whenever the Agent receives a Drawdown Request which complies with the requirements of Section 5.2, the Agent will promptly deliver notice of such Drawdown Request to each Lender.</w:t>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VI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REPAYMENT OF ADVANCES</w:t>
      </w:r>
      <w:r>
        <w:fldChar w:fldCharType="begin"/>
      </w:r>
      <w:r>
        <w:rPr/>
        <w:instrText xml:space="preserve"> TC "ARTICLE VIREPAYMENT OF ADVANCES"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6.1   Obligation to Repay </w:t>
      </w:r>
      <w:r>
        <w:fldChar w:fldCharType="begin"/>
      </w:r>
      <w:r>
        <w:rPr/>
        <w:instrText xml:space="preserve"> TC "</w:instrText>
        <w:tab/>
        <w:instrText xml:space="preserve">Section  6.1   Obligation to Repay " \l 2 </w:instrText>
      </w:r>
      <w:r>
        <w:rPr/>
        <w:fldChar w:fldCharType="separate"/>
      </w:r>
      <w:r>
        <w:rPr/>
      </w:r>
      <w:r>
        <w:rPr/>
        <w:fldChar w:fldCharType="end"/>
      </w:r>
      <w:r>
        <w:rPr>
          <w:szCs w:val="24"/>
        </w:rPr>
        <w:t>.  The Trust shall repay the Advances comprising each Tranche in full on the applicable Repayment Date.</w:t>
      </w:r>
    </w:p>
    <w:p>
      <w:pPr>
        <w:pStyle w:val="Normal"/>
        <w:keepNext w:val="true"/>
        <w:keepLines/>
        <w:jc w:val="both"/>
        <w:rPr>
          <w:szCs w:val="24"/>
        </w:rPr>
      </w:pPr>
      <w:r>
        <w:rPr>
          <w:szCs w:val="24"/>
        </w:rPr>
      </w:r>
    </w:p>
    <w:p>
      <w:pPr>
        <w:pStyle w:val="Normal"/>
        <w:keepLines/>
        <w:jc w:val="both"/>
        <w:rPr/>
      </w:pPr>
      <w:r>
        <w:rPr>
          <w:szCs w:val="24"/>
        </w:rPr>
        <w:tab/>
        <w:t xml:space="preserve">Section  6.2   Date of Repayment </w:t>
      </w:r>
      <w:r>
        <w:fldChar w:fldCharType="begin"/>
      </w:r>
      <w:r>
        <w:rPr/>
        <w:instrText xml:space="preserve"> TC "</w:instrText>
        <w:tab/>
        <w:instrText xml:space="preserve">Section  6.2   Date of Repayment " \l 2 </w:instrText>
      </w:r>
      <w:r>
        <w:rPr/>
        <w:fldChar w:fldCharType="separate"/>
      </w:r>
      <w:r>
        <w:rPr/>
      </w:r>
      <w:r>
        <w:rPr/>
        <w:fldChar w:fldCharType="end"/>
      </w:r>
      <w:r>
        <w:rPr>
          <w:szCs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jc w:val="both"/>
        <w:rPr>
          <w:szCs w:val="24"/>
        </w:rPr>
      </w:pPr>
      <w:r>
        <w:rPr>
          <w:szCs w:val="24"/>
        </w:rPr>
      </w:r>
    </w:p>
    <w:p>
      <w:pPr>
        <w:pStyle w:val="Normal"/>
        <w:jc w:val="both"/>
        <w:rPr/>
      </w:pPr>
      <w:r>
        <w:rPr>
          <w:szCs w:val="24"/>
        </w:rPr>
        <w:tab/>
        <w:t xml:space="preserve">Section  6.3   Repayment Pursuant to Total Return Swap </w:t>
      </w:r>
      <w:r>
        <w:fldChar w:fldCharType="begin"/>
      </w:r>
      <w:r>
        <w:rPr/>
        <w:instrText xml:space="preserve"> TC "</w:instrText>
        <w:tab/>
        <w:instrText xml:space="preserve">Section  6.3   Repayment Pursuant to Total Return Swap " \l 2 </w:instrText>
      </w:r>
      <w:r>
        <w:rPr/>
        <w:fldChar w:fldCharType="separate"/>
      </w:r>
      <w:r>
        <w:rPr/>
      </w:r>
      <w:r>
        <w:rPr/>
        <w:fldChar w:fldCharType="end"/>
      </w:r>
      <w:r>
        <w:rPr>
          <w:szCs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VII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PREPAYMENT</w:t>
      </w:r>
      <w:r>
        <w:fldChar w:fldCharType="begin"/>
      </w:r>
      <w:r>
        <w:rPr/>
        <w:instrText xml:space="preserve"> TC "ARTICLE VIIPREPAYMENT"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7.1   Mandatory Prepayments </w:t>
      </w:r>
      <w:r>
        <w:fldChar w:fldCharType="begin"/>
      </w:r>
      <w:r>
        <w:rPr/>
        <w:instrText xml:space="preserve"> TC "</w:instrText>
        <w:tab/>
        <w:instrText xml:space="preserve">Section  7.1   Mandatory Prepayments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pPr>
      <w:r>
        <w:rPr>
          <w:szCs w:val="24"/>
        </w:rPr>
        <w:tab/>
        <w:t>(a)</w:t>
        <w:tab/>
        <w:t>In the event that any Early</w:t>
      </w:r>
      <w:r>
        <w:rPr>
          <w:b/>
          <w:bCs/>
          <w:i/>
          <w:iCs/>
          <w:szCs w:val="24"/>
        </w:rPr>
        <w:t xml:space="preserve"> </w:t>
      </w:r>
      <w:r>
        <w:rPr>
          <w:szCs w:val="24"/>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Normal"/>
        <w:keepNext w:val="true"/>
        <w:spacing w:before="0" w:after="240"/>
        <w:jc w:val="both"/>
        <w:rPr/>
      </w:pPr>
      <w:r>
        <w:rPr>
          <w:szCs w:val="24"/>
        </w:rPr>
        <w:tab/>
        <w:t>(b)</w:t>
        <w:tab/>
        <w:t>In the event that an Early Termination Date (as defined in the ISDA Master Agreement) has occurred with respect to any Total Return Swap Agreement, the Trust shall make a mandatory prepayment (the “</w:t>
      </w:r>
      <w:r>
        <w:rPr>
          <w:b/>
          <w:bCs/>
          <w:szCs w:val="24"/>
          <w:u w:val="single"/>
        </w:rPr>
        <w:t>Mandatory Prepayment</w:t>
      </w:r>
      <w:r>
        <w:rPr>
          <w:szCs w:val="24"/>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jc w:val="both"/>
        <w:rPr/>
      </w:pPr>
      <w:r>
        <w:rPr>
          <w:szCs w:val="24"/>
        </w:rPr>
        <w:tab/>
        <w:t xml:space="preserve">Section  7.2   Optional Prepayments </w:t>
      </w:r>
      <w:r>
        <w:fldChar w:fldCharType="begin"/>
      </w:r>
      <w:r>
        <w:rPr/>
        <w:instrText xml:space="preserve"> TC "</w:instrText>
        <w:tab/>
        <w:instrText xml:space="preserve">Section  7.2   Optional Prepayments " \l 2 </w:instrText>
      </w:r>
      <w:r>
        <w:rPr/>
        <w:fldChar w:fldCharType="separate"/>
      </w:r>
      <w:r>
        <w:rPr/>
      </w:r>
      <w:r>
        <w:rPr/>
        <w:fldChar w:fldCharType="end"/>
      </w:r>
      <w:r>
        <w:rPr>
          <w:szCs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Cs w:val="24"/>
          <w:u w:val="single"/>
        </w:rPr>
        <w:t>provided</w:t>
      </w:r>
      <w:r>
        <w:rPr>
          <w:szCs w:val="24"/>
        </w:rPr>
        <w:t xml:space="preserve">, </w:t>
      </w:r>
      <w:r>
        <w:rPr>
          <w:szCs w:val="24"/>
          <w:u w:val="single"/>
        </w:rPr>
        <w:t>however</w:t>
      </w:r>
      <w:r>
        <w:rPr>
          <w:szCs w:val="24"/>
        </w:rPr>
        <w:t xml:space="preserve">, that each partial prepayment shall be in an aggregate principal amount not less than $5,000,000, and </w:t>
      </w:r>
      <w:r>
        <w:rPr>
          <w:szCs w:val="24"/>
          <w:u w:val="single"/>
        </w:rPr>
        <w:t>provided</w:t>
      </w:r>
      <w:r>
        <w:rPr>
          <w:szCs w:val="24"/>
        </w:rPr>
        <w:t xml:space="preserve"> </w:t>
      </w:r>
      <w:r>
        <w:rPr>
          <w:szCs w:val="24"/>
          <w:u w:val="single"/>
        </w:rPr>
        <w:t>further</w:t>
      </w:r>
      <w:r>
        <w:rPr>
          <w:szCs w:val="24"/>
        </w:rPr>
        <w:t>, that if the Trust prepays any LIBOR Advance on any day other than the last day of an Interest Period therefor, the Trust shall compensate the Lenders pursuant to Section 25.1.</w:t>
      </w:r>
    </w:p>
    <w:p>
      <w:pPr>
        <w:pStyle w:val="Normal"/>
        <w:keepNext w:val="true"/>
        <w:jc w:val="both"/>
        <w:rPr>
          <w:szCs w:val="24"/>
        </w:rPr>
      </w:pPr>
      <w:r>
        <w:rPr>
          <w:szCs w:val="24"/>
        </w:rPr>
      </w:r>
    </w:p>
    <w:p>
      <w:pPr>
        <w:pStyle w:val="Normal"/>
        <w:keepNext w:val="true"/>
        <w:keepLines/>
        <w:jc w:val="both"/>
        <w:rPr/>
      </w:pPr>
      <w:r>
        <w:rPr>
          <w:szCs w:val="24"/>
        </w:rPr>
        <w:tab/>
        <w:t xml:space="preserve">Section  7.3   General </w:t>
      </w:r>
      <w:r>
        <w:fldChar w:fldCharType="begin"/>
      </w:r>
      <w:r>
        <w:rPr/>
        <w:instrText xml:space="preserve"> TC "</w:instrText>
        <w:tab/>
        <w:instrText xml:space="preserve">Section  7.3   General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keepLines/>
        <w:spacing w:before="0" w:after="240"/>
        <w:jc w:val="both"/>
        <w:rPr>
          <w:szCs w:val="24"/>
        </w:rPr>
      </w:pPr>
      <w:r>
        <w:rPr>
          <w:szCs w:val="24"/>
        </w:rPr>
        <w:tab/>
        <w:t>(a)</w:t>
        <w:tab/>
        <w:t>No prepayment may be made except at the times and in the manner expressly provided by this Agreement.</w:t>
      </w:r>
    </w:p>
    <w:p>
      <w:pPr>
        <w:pStyle w:val="Normal"/>
        <w:spacing w:before="0" w:after="240"/>
        <w:jc w:val="both"/>
        <w:rPr>
          <w:szCs w:val="24"/>
        </w:rPr>
      </w:pPr>
      <w:r>
        <w:rPr>
          <w:szCs w:val="24"/>
        </w:rPr>
        <w:tab/>
        <w:t>(b)</w:t>
        <w:tab/>
        <w:t>All prepayments shall be made together with interest accrued thereon up to the date of prepayment and any other amounts then due and payable under any Finance Document.</w:t>
      </w:r>
    </w:p>
    <w:p>
      <w:pPr>
        <w:pStyle w:val="Normal"/>
        <w:keepNext w:val="true"/>
        <w:spacing w:before="0" w:after="240"/>
        <w:jc w:val="both"/>
        <w:rPr>
          <w:szCs w:val="24"/>
        </w:rPr>
      </w:pPr>
      <w:r>
        <w:rPr>
          <w:szCs w:val="24"/>
        </w:rPr>
        <w:tab/>
        <w:t>(c)</w:t>
        <w:tab/>
        <w:t>The Agent shall notify each Lender promptly upon the issuance by it of a notice of prepayment pursuant to Section 7.1(a).</w:t>
      </w:r>
    </w:p>
    <w:p>
      <w:pPr>
        <w:pStyle w:val="Normal"/>
        <w:keepNext w:val="true"/>
        <w:keepLines/>
        <w:ind w:start="1440" w:end="1440"/>
        <w:jc w:val="center"/>
        <w:rPr>
          <w:b/>
          <w:bCs/>
          <w:szCs w:val="24"/>
        </w:rPr>
      </w:pPr>
      <w:r>
        <w:rPr>
          <w:b/>
          <w:bCs/>
          <w:szCs w:val="24"/>
        </w:rPr>
        <w:t>ARTICLE VIII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INTEREST; INCREASED COSTS; TAXES</w:t>
      </w:r>
      <w:r>
        <w:fldChar w:fldCharType="begin"/>
      </w:r>
      <w:r>
        <w:rPr/>
        <w:instrText xml:space="preserve"> TC "ARTICLE VIIIINTEREST; INCREASED COSTS; TAXES"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8.1   Interest Rates </w:t>
      </w:r>
      <w:r>
        <w:fldChar w:fldCharType="begin"/>
      </w:r>
      <w:r>
        <w:rPr/>
        <w:instrText xml:space="preserve"> TC "</w:instrText>
        <w:tab/>
        <w:instrText xml:space="preserve">Section  8.1   Interest Rates " \l 2 </w:instrText>
      </w:r>
      <w:r>
        <w:rPr/>
        <w:fldChar w:fldCharType="separate"/>
      </w:r>
      <w:r>
        <w:rPr/>
      </w:r>
      <w:r>
        <w:rPr/>
        <w:fldChar w:fldCharType="end"/>
      </w:r>
      <w:r>
        <w:rPr>
          <w:szCs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Cs w:val="24"/>
        </w:rPr>
      </w:pPr>
      <w:r>
        <w:rPr>
          <w:szCs w:val="24"/>
        </w:rPr>
      </w:r>
    </w:p>
    <w:p>
      <w:pPr>
        <w:pStyle w:val="Normal"/>
        <w:jc w:val="both"/>
        <w:rPr/>
      </w:pPr>
      <w:r>
        <w:rPr>
          <w:szCs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Cs w:val="24"/>
          <w:u w:val="single"/>
        </w:rPr>
        <w:t>plus</w:t>
      </w:r>
      <w:r>
        <w:rPr>
          <w:szCs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jc w:val="both"/>
        <w:rPr>
          <w:szCs w:val="24"/>
        </w:rPr>
      </w:pPr>
      <w:r>
        <w:rPr>
          <w:szCs w:val="24"/>
        </w:rPr>
      </w:r>
    </w:p>
    <w:p>
      <w:pPr>
        <w:pStyle w:val="Normal"/>
        <w:jc w:val="both"/>
        <w:rPr>
          <w:szCs w:val="24"/>
        </w:rPr>
      </w:pPr>
      <w:r>
        <w:rPr>
          <w:szCs w:val="24"/>
        </w:rPr>
        <w:tab/>
        <w:t>(b)</w:t>
        <w:tab/>
        <w:t>Interest (i) computed on the basis of LIBOR will be calculated on the basis of actual days elapsed and a 360-day year and will accrue from day to day from, and including, the first day of each Interest Period to, but excluding, the last day of each Interest Period, and (ii) computed on the basis of the Alternate Base Rate will be calculated on the basis of actual days elapsed and a 365-or 366-day year, as the case may be, and will accrue from day to day from, and including, the first day occurring in the period for which such interest is payable to, but excluding, the last day of such period.</w:t>
      </w:r>
    </w:p>
    <w:p>
      <w:pPr>
        <w:pStyle w:val="Normal"/>
        <w:jc w:val="both"/>
        <w:rPr>
          <w:szCs w:val="24"/>
        </w:rPr>
      </w:pPr>
      <w:r>
        <w:rPr>
          <w:szCs w:val="24"/>
        </w:rPr>
      </w:r>
    </w:p>
    <w:p>
      <w:pPr>
        <w:pStyle w:val="Normal"/>
        <w:jc w:val="both"/>
        <w:rPr/>
      </w:pPr>
      <w:r>
        <w:rPr>
          <w:szCs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Cs w:val="24"/>
          <w:u w:val="single"/>
        </w:rPr>
        <w:t>provided</w:t>
      </w:r>
      <w:r>
        <w:rPr>
          <w:szCs w:val="24"/>
        </w:rPr>
        <w:t xml:space="preserve">, </w:t>
      </w:r>
      <w:r>
        <w:rPr>
          <w:szCs w:val="24"/>
          <w:u w:val="single"/>
        </w:rPr>
        <w:t>however</w:t>
      </w:r>
      <w:r>
        <w:rPr>
          <w:szCs w:val="24"/>
        </w:rPr>
        <w:t>, that if the banks selected as aforesaid by the Agent are not quoting as mentioned in this sentence, LIBOR for such Interest Period will be LIBOR for such Interest Period in effect on such Rate Fixing Day.</w:t>
      </w:r>
    </w:p>
    <w:p>
      <w:pPr>
        <w:pStyle w:val="Normal"/>
        <w:keepNext w:val="true"/>
        <w:jc w:val="both"/>
        <w:rPr>
          <w:szCs w:val="24"/>
        </w:rPr>
      </w:pPr>
      <w:r>
        <w:rPr>
          <w:szCs w:val="24"/>
        </w:rPr>
      </w:r>
    </w:p>
    <w:p>
      <w:pPr>
        <w:pStyle w:val="Normal"/>
        <w:keepNext w:val="true"/>
        <w:keepLines/>
        <w:jc w:val="both"/>
        <w:rPr/>
      </w:pPr>
      <w:r>
        <w:rPr>
          <w:szCs w:val="24"/>
        </w:rPr>
        <w:tab/>
        <w:t xml:space="preserve">Section  8.2   Duration of Interest Periods; Conversion and Continuation of Advances </w:t>
      </w:r>
      <w:r>
        <w:fldChar w:fldCharType="begin"/>
      </w:r>
      <w:r>
        <w:rPr/>
        <w:instrText xml:space="preserve"> TC "</w:instrText>
        <w:tab/>
        <w:instrText xml:space="preserve">Section  8.2   Duration of Interest Periods; Conversion and Continuation of Advances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szCs w:val="24"/>
        </w:rPr>
      </w:pPr>
      <w:r>
        <w:rPr>
          <w:szCs w:val="24"/>
        </w:rPr>
        <w:tab/>
        <w:t>(a)</w:t>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Normal"/>
        <w:spacing w:before="0" w:after="240"/>
        <w:jc w:val="both"/>
        <w:rPr/>
      </w:pPr>
      <w:r>
        <w:rPr>
          <w:szCs w:val="24"/>
        </w:rPr>
        <w:tab/>
        <w:t>(b)</w:t>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Cs w:val="24"/>
          <w:u w:val="single"/>
        </w:rPr>
        <w:t>provided</w:t>
      </w:r>
      <w:r>
        <w:rPr>
          <w:szCs w:val="24"/>
        </w:rPr>
        <w:t xml:space="preserve">, </w:t>
      </w:r>
      <w:r>
        <w:rPr>
          <w:szCs w:val="24"/>
          <w:u w:val="single"/>
        </w:rPr>
        <w:t>however</w:t>
      </w:r>
      <w:r>
        <w:rPr>
          <w:szCs w:val="24"/>
        </w:rPr>
        <w:t xml:space="preserve">, that any conversion (or continuation) of any LIBOR Advances shall be made on, and only on, the last day of an Interest Period for such LIBOR Advances </w:t>
      </w:r>
      <w:r>
        <w:rPr>
          <w:szCs w:val="24"/>
          <w:u w:val="single"/>
        </w:rPr>
        <w:t>and provided further</w:t>
      </w:r>
      <w:r>
        <w:rPr>
          <w:szCs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spacing w:before="0" w:after="240"/>
        <w:jc w:val="both"/>
        <w:rPr>
          <w:szCs w:val="24"/>
        </w:rPr>
      </w:pPr>
      <w:r>
        <w:rPr>
          <w:szCs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spacing w:before="0" w:after="240"/>
        <w:jc w:val="both"/>
        <w:rPr>
          <w:szCs w:val="24"/>
        </w:rPr>
      </w:pPr>
      <w:r>
        <w:rPr>
          <w:szCs w:val="24"/>
        </w:rPr>
        <w:tab/>
        <w:t>(d)</w:t>
        <w:tab/>
        <w:t>The Agent will notify each Lender and the Trust of the rate of interest applicable to each such Interest Period as soon as it is determined under this Agreement.</w:t>
      </w:r>
    </w:p>
    <w:p>
      <w:pPr>
        <w:pStyle w:val="Normal"/>
        <w:keepNext w:val="true"/>
        <w:spacing w:before="0" w:after="240"/>
        <w:jc w:val="both"/>
        <w:rPr/>
      </w:pPr>
      <w:r>
        <w:rPr>
          <w:szCs w:val="24"/>
        </w:rPr>
        <w:tab/>
        <w:t>(e)</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Cs w:val="24"/>
          <w:u w:val="single"/>
        </w:rPr>
        <w:t>provided</w:t>
      </w:r>
      <w:r>
        <w:rPr>
          <w:szCs w:val="24"/>
        </w:rPr>
        <w:t xml:space="preserve">, </w:t>
      </w:r>
      <w:r>
        <w:rPr>
          <w:szCs w:val="24"/>
          <w:u w:val="single"/>
        </w:rPr>
        <w:t>however</w:t>
      </w:r>
      <w:r>
        <w:rPr>
          <w:szCs w:val="24"/>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szCs w:val="24"/>
          <w:u w:val="single"/>
        </w:rPr>
        <w:t>Sections 8.4, 8.6, 8.7</w:t>
      </w:r>
      <w:r>
        <w:rPr>
          <w:szCs w:val="24"/>
        </w:rPr>
        <w:t xml:space="preserve"> or </w:t>
      </w:r>
      <w:r>
        <w:rPr>
          <w:szCs w:val="24"/>
          <w:u w:val="single"/>
        </w:rPr>
        <w:t>25.1</w:t>
      </w:r>
      <w:r>
        <w:rPr>
          <w:szCs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jc w:val="both"/>
        <w:rPr/>
      </w:pPr>
      <w:r>
        <w:rPr>
          <w:szCs w:val="24"/>
        </w:rPr>
        <w:tab/>
        <w:t xml:space="preserve">Section  8.3   Interest on Unpaid Sums </w:t>
      </w:r>
      <w:r>
        <w:fldChar w:fldCharType="begin"/>
      </w:r>
      <w:r>
        <w:rPr/>
        <w:instrText xml:space="preserve"> TC "</w:instrText>
        <w:tab/>
        <w:instrText xml:space="preserve">Section  8.3   Interest on Unpaid Sums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pPr>
      <w:r>
        <w:rPr>
          <w:szCs w:val="24"/>
        </w:rPr>
        <w:tab/>
        <w:t>(a)</w:t>
        <w:tab/>
        <w:t xml:space="preserve">If the Trust fails to pay any sum due from it under this Agreement or any other Finance Document on its due date (an </w:t>
      </w:r>
      <w:r>
        <w:rPr>
          <w:b/>
          <w:bCs/>
          <w:szCs w:val="24"/>
        </w:rPr>
        <w:t>“</w:t>
      </w:r>
      <w:r>
        <w:rPr>
          <w:b/>
          <w:bCs/>
          <w:szCs w:val="24"/>
          <w:u w:val="single"/>
        </w:rPr>
        <w:t>unpaid sum</w:t>
      </w:r>
      <w:r>
        <w:rPr>
          <w:b/>
          <w:bCs/>
          <w:szCs w:val="24"/>
        </w:rPr>
        <w:t>”</w:t>
      </w:r>
      <w:r>
        <w:rPr>
          <w:szCs w:val="24"/>
        </w:rPr>
        <w:t>), the Trust will pay default interest on such unpaid sum from its due date to (but excluding) the date of actual payment (after as well as before judgment) at a rate (the</w:t>
      </w:r>
      <w:r>
        <w:rPr>
          <w:b/>
          <w:bCs/>
          <w:szCs w:val="24"/>
        </w:rPr>
        <w:t xml:space="preserve"> “</w:t>
      </w:r>
      <w:r>
        <w:rPr>
          <w:b/>
          <w:bCs/>
          <w:szCs w:val="24"/>
          <w:u w:val="single"/>
        </w:rPr>
        <w:t>Default Rate</w:t>
      </w:r>
      <w:r>
        <w:rPr>
          <w:b/>
          <w:bCs/>
          <w:szCs w:val="24"/>
        </w:rPr>
        <w:t>”</w:t>
      </w:r>
      <w:r>
        <w:rPr>
          <w:szCs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spacing w:before="0" w:after="240"/>
        <w:jc w:val="both"/>
        <w:rPr>
          <w:szCs w:val="24"/>
        </w:rPr>
      </w:pPr>
      <w:r>
        <w:rPr>
          <w:szCs w:val="24"/>
        </w:rPr>
        <w:tab/>
        <w:t>(b)</w:t>
        <w:tab/>
        <w:t>Default interest will be payable by the Trust on demand by the Agent and, to the extent permitted by law, will be compounded.</w:t>
      </w:r>
    </w:p>
    <w:p>
      <w:pPr>
        <w:pStyle w:val="Normal"/>
        <w:keepNext w:val="true"/>
        <w:spacing w:before="0" w:after="240"/>
        <w:jc w:val="both"/>
        <w:rPr>
          <w:szCs w:val="24"/>
        </w:rPr>
      </w:pPr>
      <w:r>
        <w:rPr>
          <w:szCs w:val="24"/>
        </w:rPr>
        <w:tab/>
        <w:t>(c)</w:t>
        <w:tab/>
        <w:t>The Agent will promptly notify the Trust and each Lender of each determination of the Default Rate.</w:t>
      </w:r>
    </w:p>
    <w:p>
      <w:pPr>
        <w:pStyle w:val="Normal"/>
        <w:jc w:val="both"/>
        <w:rPr/>
      </w:pPr>
      <w:r>
        <w:rPr>
          <w:szCs w:val="24"/>
        </w:rPr>
        <w:tab/>
        <w:t xml:space="preserve">Section  8.4   Additional Interest on LIBOR Advances </w:t>
      </w:r>
      <w:r>
        <w:fldChar w:fldCharType="begin"/>
      </w:r>
      <w:r>
        <w:rPr/>
        <w:instrText xml:space="preserve"> TC "Section  8.4   Additional Interest on LIBOR Advances " \l 2 </w:instrText>
      </w:r>
      <w:r>
        <w:rPr/>
        <w:fldChar w:fldCharType="separate"/>
      </w:r>
      <w:r>
        <w:rPr/>
      </w:r>
      <w:r>
        <w:rPr/>
        <w:fldChar w:fldCharType="end"/>
      </w:r>
      <w:r>
        <w:rPr>
          <w:szCs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jc w:val="both"/>
        <w:rPr>
          <w:szCs w:val="24"/>
        </w:rPr>
      </w:pPr>
      <w:r>
        <w:rPr>
          <w:szCs w:val="24"/>
        </w:rPr>
      </w:r>
    </w:p>
    <w:p>
      <w:pPr>
        <w:pStyle w:val="Normal"/>
        <w:keepNext w:val="true"/>
        <w:jc w:val="both"/>
        <w:rPr/>
      </w:pPr>
      <w:r>
        <w:rPr>
          <w:szCs w:val="24"/>
        </w:rPr>
        <w:tab/>
        <w:t xml:space="preserve">Section  8.5   Interest Rate Determination and Protection </w:t>
      </w:r>
      <w:r>
        <w:fldChar w:fldCharType="begin"/>
      </w:r>
      <w:r>
        <w:rPr/>
        <w:instrText xml:space="preserve"> TC "</w:instrText>
        <w:tab/>
        <w:instrText xml:space="preserve">Section  8.5   Interest Rate Determination and Protection " \l 2 </w:instrText>
      </w:r>
      <w:r>
        <w:rPr/>
        <w:fldChar w:fldCharType="separate"/>
      </w:r>
      <w:r>
        <w:rPr/>
      </w:r>
      <w:r>
        <w:rPr/>
        <w:fldChar w:fldCharType="end"/>
      </w:r>
      <w:r>
        <w:rPr>
          <w:szCs w:val="24"/>
        </w:rPr>
        <w:t>.  (a) If no basis is available for purposes of determining LIBOR for any LIBOR Advances,</w:t>
      </w:r>
    </w:p>
    <w:p>
      <w:pPr>
        <w:pStyle w:val="Normal"/>
        <w:keepNext w:val="true"/>
        <w:jc w:val="both"/>
        <w:rPr>
          <w:szCs w:val="24"/>
        </w:rPr>
      </w:pPr>
      <w:r>
        <w:rPr>
          <w:szCs w:val="24"/>
        </w:rPr>
      </w:r>
    </w:p>
    <w:p>
      <w:pPr>
        <w:pStyle w:val="Normal"/>
        <w:spacing w:before="0" w:after="240"/>
        <w:ind w:start="720" w:end="0"/>
        <w:jc w:val="both"/>
        <w:rPr>
          <w:szCs w:val="24"/>
        </w:rPr>
      </w:pPr>
      <w:r>
        <w:rPr>
          <w:szCs w:val="24"/>
        </w:rPr>
        <w:t>(i)</w:t>
        <w:tab/>
        <w:t>the Agent shall forthwith notify the Trust and the Lenders that the interest rate cannot be determined for such LIBOR Advances,</w:t>
      </w:r>
    </w:p>
    <w:p>
      <w:pPr>
        <w:pStyle w:val="Normal"/>
        <w:spacing w:before="0" w:after="240"/>
        <w:ind w:start="720" w:end="0"/>
        <w:jc w:val="both"/>
        <w:rPr>
          <w:szCs w:val="24"/>
        </w:rPr>
      </w:pPr>
      <w:r>
        <w:rPr>
          <w:szCs w:val="24"/>
        </w:rPr>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spacing w:before="0" w:after="240"/>
        <w:ind w:start="720" w:end="0"/>
        <w:jc w:val="both"/>
        <w:rPr>
          <w:szCs w:val="24"/>
        </w:rPr>
      </w:pPr>
      <w:r>
        <w:rPr>
          <w:szCs w:val="24"/>
        </w:rPr>
        <w:t>(iii)</w:t>
        <w:tab/>
        <w:t>the obligation of the Lenders to convert Advances into LIBOR Advances shall be suspended until the Agent shall notify the Trust and the Lenders that the circumstances causing such suspension no longer exist.</w:t>
      </w:r>
    </w:p>
    <w:p>
      <w:pPr>
        <w:pStyle w:val="Normal"/>
        <w:jc w:val="both"/>
        <w:rPr>
          <w:szCs w:val="24"/>
        </w:rPr>
      </w:pPr>
      <w:r>
        <w:rPr>
          <w:szCs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jc w:val="both"/>
        <w:rPr>
          <w:szCs w:val="24"/>
        </w:rPr>
      </w:pPr>
      <w:r>
        <w:rPr>
          <w:szCs w:val="24"/>
        </w:rPr>
      </w:r>
    </w:p>
    <w:p>
      <w:pPr>
        <w:pStyle w:val="Normal"/>
        <w:ind w:start="720" w:end="0"/>
        <w:jc w:val="both"/>
        <w:rPr>
          <w:szCs w:val="24"/>
        </w:rPr>
      </w:pPr>
      <w:r>
        <w:rPr>
          <w:szCs w:val="24"/>
        </w:rPr>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jc w:val="both"/>
        <w:rPr>
          <w:szCs w:val="24"/>
        </w:rPr>
      </w:pPr>
      <w:r>
        <w:rPr>
          <w:szCs w:val="24"/>
        </w:rPr>
      </w:r>
    </w:p>
    <w:p>
      <w:pPr>
        <w:pStyle w:val="Normal"/>
        <w:ind w:start="720" w:end="0"/>
        <w:jc w:val="both"/>
        <w:rPr>
          <w:szCs w:val="24"/>
        </w:rPr>
      </w:pPr>
      <w:r>
        <w:rPr>
          <w:szCs w:val="24"/>
        </w:rPr>
        <w:t>(ii)</w:t>
        <w:tab/>
        <w:t>the obligation of the Lenders to convert Advances into LIBOR Advances shall be suspended until the Agent shall notify the Trust and the Lenders that the circumstances causing such suspension no longer exist.</w:t>
      </w:r>
    </w:p>
    <w:p>
      <w:pPr>
        <w:pStyle w:val="Normal"/>
        <w:jc w:val="both"/>
        <w:rPr>
          <w:szCs w:val="24"/>
        </w:rPr>
      </w:pPr>
      <w:r>
        <w:rPr>
          <w:szCs w:val="24"/>
        </w:rPr>
      </w:r>
    </w:p>
    <w:p>
      <w:pPr>
        <w:pStyle w:val="Normal"/>
        <w:jc w:val="both"/>
        <w:rPr>
          <w:szCs w:val="24"/>
        </w:rPr>
      </w:pPr>
      <w:r>
        <w:rPr>
          <w:szCs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jc w:val="both"/>
        <w:rPr>
          <w:szCs w:val="24"/>
        </w:rPr>
      </w:pPr>
      <w:r>
        <w:rPr>
          <w:szCs w:val="24"/>
        </w:rPr>
      </w:r>
    </w:p>
    <w:p>
      <w:pPr>
        <w:pStyle w:val="Normal"/>
        <w:keepNext w:val="true"/>
        <w:jc w:val="both"/>
        <w:rPr>
          <w:szCs w:val="24"/>
        </w:rPr>
      </w:pPr>
      <w:r>
        <w:rPr>
          <w:szCs w:val="24"/>
        </w:rPr>
        <w:tab/>
        <w:t xml:space="preserve">Section  8.6   Increased Costs; Capital Adequacy, Etc. </w:t>
      </w:r>
      <w:r>
        <w:fldChar w:fldCharType="begin"/>
      </w:r>
      <w:r>
        <w:rPr/>
        <w:instrText xml:space="preserve"> TC "</w:instrText>
        <w:tab/>
        <w:instrText xml:space="preserve">Section  8.6   Increased Costs; Capital Adequacy, Etc. " \l 2 </w:instrText>
      </w:r>
      <w:r>
        <w:rPr/>
        <w:fldChar w:fldCharType="separate"/>
      </w:r>
      <w:r>
        <w:rPr/>
      </w:r>
      <w:r>
        <w:rPr/>
        <w:fldChar w:fldCharType="end"/>
      </w:r>
    </w:p>
    <w:p>
      <w:pPr>
        <w:pStyle w:val="Normal"/>
        <w:keepNext w:val="true"/>
        <w:jc w:val="both"/>
        <w:rPr>
          <w:szCs w:val="24"/>
        </w:rPr>
      </w:pPr>
      <w:r>
        <w:rPr>
          <w:szCs w:val="24"/>
        </w:rPr>
      </w:r>
    </w:p>
    <w:p>
      <w:pPr>
        <w:pStyle w:val="Normal"/>
        <w:spacing w:before="0" w:after="240"/>
        <w:jc w:val="both"/>
        <w:rPr>
          <w:szCs w:val="24"/>
        </w:rPr>
      </w:pPr>
      <w:r>
        <w:rPr>
          <w:szCs w:val="24"/>
        </w:rPr>
        <w:tab/>
        <w:t>(a)</w:t>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spacing w:before="0" w:after="240"/>
        <w:jc w:val="both"/>
        <w:rPr>
          <w:szCs w:val="24"/>
        </w:rPr>
      </w:pPr>
      <w:r>
        <w:rPr>
          <w:szCs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jc w:val="both"/>
        <w:rPr>
          <w:szCs w:val="24"/>
        </w:rPr>
      </w:pPr>
      <w:r>
        <w:rPr>
          <w:szCs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jc w:val="both"/>
        <w:rPr>
          <w:szCs w:val="24"/>
        </w:rPr>
      </w:pPr>
      <w:r>
        <w:rPr>
          <w:szCs w:val="24"/>
        </w:rPr>
      </w:r>
    </w:p>
    <w:p>
      <w:pPr>
        <w:pStyle w:val="Normal"/>
        <w:jc w:val="both"/>
        <w:rPr/>
      </w:pPr>
      <w:r>
        <w:rPr>
          <w:szCs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Cs w:val="24"/>
          <w:u w:val="single"/>
        </w:rPr>
        <w:t>provided</w:t>
      </w:r>
      <w:r>
        <w:rPr>
          <w:szCs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jc w:val="both"/>
        <w:rPr>
          <w:szCs w:val="24"/>
        </w:rPr>
      </w:pPr>
      <w:r>
        <w:rPr>
          <w:szCs w:val="24"/>
        </w:rPr>
      </w:r>
    </w:p>
    <w:p>
      <w:pPr>
        <w:pStyle w:val="Normal"/>
        <w:jc w:val="both"/>
        <w:rPr/>
      </w:pPr>
      <w:r>
        <w:rPr>
          <w:szCs w:val="24"/>
        </w:rPr>
        <w:tab/>
        <w:t xml:space="preserve">Section  8.7   Illegality </w:t>
      </w:r>
      <w:r>
        <w:fldChar w:fldCharType="begin"/>
      </w:r>
      <w:r>
        <w:rPr/>
        <w:instrText xml:space="preserve"> TC "</w:instrText>
        <w:tab/>
        <w:instrText xml:space="preserve">Section  8.7   Illegality " \l 2 </w:instrText>
      </w:r>
      <w:r>
        <w:rPr/>
        <w:fldChar w:fldCharType="separate"/>
      </w:r>
      <w:r>
        <w:rPr/>
      </w:r>
      <w:r>
        <w:rPr/>
        <w:fldChar w:fldCharType="end"/>
      </w:r>
      <w:r>
        <w:rPr>
          <w:szCs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jc w:val="both"/>
        <w:rPr>
          <w:szCs w:val="24"/>
        </w:rPr>
      </w:pPr>
      <w:r>
        <w:rPr>
          <w:szCs w:val="24"/>
        </w:rPr>
      </w:r>
    </w:p>
    <w:p>
      <w:pPr>
        <w:pStyle w:val="Normal"/>
        <w:keepNext w:val="true"/>
        <w:jc w:val="both"/>
        <w:rPr/>
      </w:pPr>
      <w:r>
        <w:rPr>
          <w:szCs w:val="24"/>
        </w:rPr>
        <w:tab/>
        <w:t xml:space="preserve">Section  8.8   Taxes </w:t>
      </w:r>
      <w:r>
        <w:fldChar w:fldCharType="begin"/>
      </w:r>
      <w:r>
        <w:rPr/>
        <w:instrText xml:space="preserve"> TC "</w:instrText>
        <w:tab/>
        <w:instrText xml:space="preserve">Section  8.8   Taxes " \l 2 </w:instrText>
      </w:r>
      <w:r>
        <w:rPr/>
        <w:fldChar w:fldCharType="separate"/>
      </w:r>
      <w:r>
        <w:rPr/>
      </w:r>
      <w:r>
        <w:rPr/>
        <w:fldChar w:fldCharType="end"/>
      </w:r>
      <w:r>
        <w:rPr>
          <w:szCs w:val="24"/>
        </w:rPr>
        <w:t>.</w:t>
      </w:r>
    </w:p>
    <w:p>
      <w:pPr>
        <w:pStyle w:val="Normal"/>
        <w:keepNext w:val="true"/>
        <w:jc w:val="both"/>
        <w:rPr>
          <w:szCs w:val="24"/>
        </w:rPr>
      </w:pPr>
      <w:r>
        <w:rPr>
          <w:szCs w:val="24"/>
        </w:rPr>
      </w:r>
    </w:p>
    <w:p>
      <w:pPr>
        <w:pStyle w:val="Normal"/>
        <w:spacing w:before="0" w:after="240"/>
        <w:jc w:val="both"/>
        <w:rPr/>
      </w:pPr>
      <w:r>
        <w:rPr>
          <w:szCs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Cs w:val="24"/>
          <w:u w:val="single"/>
        </w:rPr>
        <w:t>excluding</w:t>
      </w:r>
      <w:r>
        <w:rPr>
          <w:szCs w:val="24"/>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bCs/>
          <w:szCs w:val="24"/>
        </w:rPr>
        <w:t>“</w:t>
      </w:r>
      <w:r>
        <w:rPr>
          <w:b/>
          <w:bCs/>
          <w:szCs w:val="24"/>
          <w:u w:val="single"/>
        </w:rPr>
        <w:t>Relevant Taxes</w:t>
      </w:r>
      <w:r>
        <w:rPr>
          <w:b/>
          <w:bCs/>
          <w:szCs w:val="24"/>
        </w:rPr>
        <w:t>”</w:t>
      </w:r>
      <w:r>
        <w:rPr>
          <w:szCs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spacing w:before="0" w:after="240"/>
        <w:jc w:val="both"/>
        <w:rPr/>
      </w:pPr>
      <w:r>
        <w:rPr>
          <w:szCs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Cs w:val="24"/>
          <w:u w:val="single"/>
        </w:rPr>
        <w:t>provided</w:t>
      </w:r>
      <w:r>
        <w:rPr>
          <w:szCs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spacing w:before="0" w:after="240"/>
        <w:jc w:val="both"/>
        <w:rPr/>
      </w:pPr>
      <w:r>
        <w:rPr>
          <w:szCs w:val="24"/>
        </w:rPr>
        <w:tab/>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bCs/>
          <w:szCs w:val="24"/>
        </w:rPr>
        <w:t>“</w:t>
      </w:r>
      <w:r>
        <w:rPr>
          <w:b/>
          <w:bCs/>
          <w:szCs w:val="24"/>
          <w:u w:val="single"/>
        </w:rPr>
        <w:t>Other Taxes</w:t>
      </w:r>
      <w:r>
        <w:rPr>
          <w:b/>
          <w:bCs/>
          <w:szCs w:val="24"/>
        </w:rPr>
        <w:t>”</w:t>
      </w:r>
      <w:r>
        <w:rPr>
          <w:szCs w:val="24"/>
        </w:rPr>
        <w:t>).</w:t>
      </w:r>
    </w:p>
    <w:p>
      <w:pPr>
        <w:pStyle w:val="Normal"/>
        <w:spacing w:before="0" w:after="240"/>
        <w:jc w:val="both"/>
        <w:rPr>
          <w:szCs w:val="24"/>
        </w:rPr>
      </w:pPr>
      <w:r>
        <w:rPr>
          <w:szCs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spacing w:before="0" w:after="240"/>
        <w:jc w:val="both"/>
        <w:rPr>
          <w:szCs w:val="24"/>
        </w:rPr>
      </w:pPr>
      <w:r>
        <w:rPr>
          <w:szCs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spacing w:before="0" w:after="240"/>
        <w:jc w:val="both"/>
        <w:rPr/>
      </w:pPr>
      <w:r>
        <w:rPr>
          <w:szCs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Cs w:val="24"/>
          <w:u w:val="single"/>
        </w:rPr>
        <w:t>provided</w:t>
      </w:r>
      <w:r>
        <w:rPr>
          <w:szCs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spacing w:before="0" w:after="240"/>
        <w:jc w:val="both"/>
        <w:rPr>
          <w:szCs w:val="24"/>
        </w:rPr>
      </w:pPr>
      <w:r>
        <w:rPr>
          <w:szCs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jc w:val="both"/>
        <w:rPr/>
      </w:pPr>
      <w:r>
        <w:rPr>
          <w:szCs w:val="24"/>
        </w:rPr>
        <w:tab/>
        <w:t xml:space="preserve">Section  8.9   Replacement of Lender </w:t>
      </w:r>
      <w:r>
        <w:fldChar w:fldCharType="begin"/>
      </w:r>
      <w:r>
        <w:rPr/>
        <w:instrText xml:space="preserve"> TC "</w:instrText>
        <w:tab/>
        <w:instrText xml:space="preserve">Section  8.9   Replacement of Lender " \l 2 </w:instrText>
      </w:r>
      <w:r>
        <w:rPr/>
        <w:fldChar w:fldCharType="separate"/>
      </w:r>
      <w:r>
        <w:rPr/>
      </w:r>
      <w:r>
        <w:rPr/>
        <w:fldChar w:fldCharType="end"/>
      </w:r>
      <w:r>
        <w:rPr>
          <w:szCs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Cs w:val="24"/>
          <w:u w:val="single"/>
        </w:rPr>
        <w:t>provided</w:t>
      </w:r>
      <w:r>
        <w:rPr>
          <w:szCs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Cs w:val="24"/>
          <w:u w:val="single"/>
        </w:rPr>
        <w:t>plus</w:t>
      </w:r>
      <w:r>
        <w:rPr>
          <w:szCs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bCs/>
          <w:szCs w:val="24"/>
        </w:rPr>
        <w:t>“</w:t>
      </w:r>
      <w:r>
        <w:rPr>
          <w:b/>
          <w:bCs/>
          <w:szCs w:val="24"/>
          <w:u w:val="single"/>
        </w:rPr>
        <w:t>Lender</w:t>
      </w:r>
      <w:r>
        <w:rPr>
          <w:b/>
          <w:bCs/>
          <w:szCs w:val="24"/>
        </w:rPr>
        <w:t>”</w:t>
      </w:r>
      <w:r>
        <w:rPr>
          <w:szCs w:val="24"/>
        </w:rPr>
        <w:t xml:space="preserve"> hereunder and the Lender being so replaced shall no longer constitute a </w:t>
      </w:r>
      <w:r>
        <w:rPr>
          <w:b/>
          <w:bCs/>
          <w:szCs w:val="24"/>
        </w:rPr>
        <w:t>“</w:t>
      </w:r>
      <w:r>
        <w:rPr>
          <w:b/>
          <w:bCs/>
          <w:szCs w:val="24"/>
          <w:u w:val="single"/>
        </w:rPr>
        <w:t>Lender</w:t>
      </w:r>
      <w:r>
        <w:rPr>
          <w:b/>
          <w:bCs/>
          <w:szCs w:val="24"/>
        </w:rPr>
        <w:t>”</w:t>
      </w:r>
      <w:r>
        <w:rPr>
          <w:szCs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jc w:val="both"/>
        <w:rPr>
          <w:szCs w:val="24"/>
        </w:rPr>
      </w:pPr>
      <w:r>
        <w:rPr>
          <w:szCs w:val="24"/>
        </w:rPr>
      </w:r>
    </w:p>
    <w:p>
      <w:pPr>
        <w:pStyle w:val="Normal"/>
        <w:jc w:val="both"/>
        <w:rPr/>
      </w:pPr>
      <w:r>
        <w:rPr>
          <w:szCs w:val="24"/>
        </w:rPr>
        <w:tab/>
        <w:t>Section 8.10</w:t>
        <w:tab/>
      </w:r>
      <w:r>
        <w:rPr>
          <w:szCs w:val="24"/>
          <w:u w:val="single"/>
        </w:rPr>
        <w:t>Tax Characterization; Construction</w:t>
      </w:r>
      <w:r>
        <w:fldChar w:fldCharType="begin"/>
      </w:r>
      <w:r>
        <w:rPr/>
        <w:instrText xml:space="preserve"> TC "</w:instrText>
        <w:tab/>
        <w:instrText xml:space="preserve">Section 8.10</w:instrText>
        <w:tab/>
        <w:instrText xml:space="preserve">Tax Characterization; Construction" \l 1 </w:instrText>
      </w:r>
      <w:r>
        <w:rPr/>
        <w:fldChar w:fldCharType="separate"/>
      </w:r>
      <w:r>
        <w:rPr/>
      </w:r>
      <w:r>
        <w:rPr/>
        <w:fldChar w:fldCharType="end"/>
      </w:r>
      <w:r>
        <w:rPr>
          <w:szCs w:val="24"/>
        </w:rPr>
        <w:t xml:space="preserve">.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w:t>
      </w:r>
      <w:r>
        <w:rPr>
          <w:b/>
          <w:bCs/>
          <w:szCs w:val="24"/>
          <w:u w:val="double"/>
        </w:rPr>
        <w:t>securing</w:t>
      </w:r>
      <w:r>
        <w:rPr>
          <w:szCs w:val="24"/>
        </w:rPr>
        <w:t xml:space="preserve"> financing </w:t>
      </w:r>
      <w:r>
        <w:rPr>
          <w:b/>
          <w:bCs/>
          <w:szCs w:val="24"/>
          <w:u w:val="double"/>
        </w:rPr>
        <w:t>with</w:t>
      </w:r>
      <w:r>
        <w:rPr>
          <w:szCs w:val="24"/>
        </w:rPr>
        <w:t xml:space="preserve">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IX</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PAYMENTS</w:t>
      </w:r>
      <w:r>
        <w:fldChar w:fldCharType="begin"/>
      </w:r>
      <w:r>
        <w:rPr/>
        <w:instrText xml:space="preserve"> TC "ARTICLE IXPAYMENTS" \l 1 </w:instrText>
      </w:r>
      <w:r>
        <w:rPr/>
        <w:fldChar w:fldCharType="separate"/>
      </w:r>
      <w:r>
        <w:rPr/>
      </w:r>
      <w:r>
        <w:rPr/>
        <w:fldChar w:fldCharType="end"/>
      </w:r>
    </w:p>
    <w:p>
      <w:pPr>
        <w:pStyle w:val="Normal"/>
        <w:keepNext w:val="true"/>
        <w:keepLines/>
        <w:jc w:val="both"/>
        <w:rPr>
          <w:szCs w:val="24"/>
          <w:u w:val="single"/>
        </w:rPr>
      </w:pPr>
      <w:r>
        <w:rPr>
          <w:szCs w:val="24"/>
          <w:u w:val="single"/>
        </w:rPr>
      </w:r>
    </w:p>
    <w:p>
      <w:pPr>
        <w:pStyle w:val="Normal"/>
        <w:keepNext w:val="true"/>
        <w:keepLines/>
        <w:jc w:val="both"/>
        <w:rPr/>
      </w:pPr>
      <w:r>
        <w:rPr>
          <w:szCs w:val="24"/>
        </w:rPr>
        <w:tab/>
        <w:t xml:space="preserve">Section  9.1   Place and Time </w:t>
      </w:r>
      <w:r>
        <w:fldChar w:fldCharType="begin"/>
      </w:r>
      <w:r>
        <w:rPr/>
        <w:instrText xml:space="preserve"> TC "Section  9.1   Place and Time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szCs w:val="24"/>
        </w:rPr>
      </w:pPr>
      <w:r>
        <w:rPr>
          <w:szCs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70"/>
        <w:gridCol w:w="5400"/>
      </w:tblGrid>
      <w:tr>
        <w:trPr>
          <w:trHeight w:val="360" w:hRule="exact"/>
        </w:trPr>
        <w:tc>
          <w:tcPr>
            <w:tcW w:w="2430" w:type="dxa"/>
            <w:tcBorders/>
          </w:tcPr>
          <w:p>
            <w:pPr>
              <w:pStyle w:val="Normal"/>
              <w:spacing w:before="120" w:after="57"/>
              <w:jc w:val="end"/>
              <w:rPr>
                <w:szCs w:val="24"/>
              </w:rPr>
            </w:pPr>
            <w:r>
              <w:rPr>
                <w:szCs w:val="24"/>
              </w:rPr>
              <w:t>Credit Bank:</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Bank of New York (SWIFT Code IRVTUS3N)</w:t>
            </w:r>
          </w:p>
        </w:tc>
      </w:tr>
      <w:tr>
        <w:trPr>
          <w:trHeight w:val="360" w:hRule="exact"/>
        </w:trPr>
        <w:tc>
          <w:tcPr>
            <w:tcW w:w="2430" w:type="dxa"/>
            <w:tcBorders/>
          </w:tcPr>
          <w:p>
            <w:pPr>
              <w:pStyle w:val="Normal"/>
              <w:spacing w:before="120" w:after="57"/>
              <w:jc w:val="end"/>
              <w:rPr>
                <w:szCs w:val="24"/>
              </w:rPr>
            </w:pPr>
            <w:r>
              <w:rPr>
                <w:szCs w:val="24"/>
              </w:rPr>
              <w:t>Address:</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New York, NY</w:t>
            </w:r>
          </w:p>
        </w:tc>
      </w:tr>
      <w:tr>
        <w:trPr>
          <w:trHeight w:val="360" w:hRule="exact"/>
        </w:trPr>
        <w:tc>
          <w:tcPr>
            <w:tcW w:w="2430" w:type="dxa"/>
            <w:tcBorders/>
          </w:tcPr>
          <w:p>
            <w:pPr>
              <w:pStyle w:val="Normal"/>
              <w:spacing w:before="120" w:after="57"/>
              <w:jc w:val="end"/>
              <w:rPr>
                <w:szCs w:val="24"/>
              </w:rPr>
            </w:pPr>
            <w:r>
              <w:rPr>
                <w:szCs w:val="24"/>
              </w:rPr>
              <w:t>ABA #:</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021-000-018</w:t>
            </w:r>
          </w:p>
        </w:tc>
      </w:tr>
      <w:tr>
        <w:trPr>
          <w:trHeight w:val="362" w:hRule="exact"/>
        </w:trPr>
        <w:tc>
          <w:tcPr>
            <w:tcW w:w="2430" w:type="dxa"/>
            <w:tcBorders/>
          </w:tcPr>
          <w:p>
            <w:pPr>
              <w:pStyle w:val="Normal"/>
              <w:spacing w:before="120" w:after="57"/>
              <w:jc w:val="end"/>
              <w:rPr>
                <w:szCs w:val="24"/>
              </w:rPr>
            </w:pPr>
            <w:r>
              <w:rPr>
                <w:szCs w:val="24"/>
              </w:rPr>
              <w:t>For Credit To:</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Canadian Imperial Bank of Commerce, NY Branch</w:t>
            </w:r>
          </w:p>
        </w:tc>
      </w:tr>
      <w:tr>
        <w:trPr>
          <w:trHeight w:val="360" w:hRule="exact"/>
        </w:trPr>
        <w:tc>
          <w:tcPr>
            <w:tcW w:w="2430" w:type="dxa"/>
            <w:tcBorders/>
          </w:tcPr>
          <w:p>
            <w:pPr>
              <w:pStyle w:val="Normal"/>
              <w:spacing w:before="120" w:after="57"/>
              <w:jc w:val="end"/>
              <w:rPr>
                <w:szCs w:val="24"/>
              </w:rPr>
            </w:pPr>
            <w:r>
              <w:rPr>
                <w:szCs w:val="24"/>
              </w:rPr>
              <w:t>Account No.:</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8900331046</w:t>
            </w:r>
          </w:p>
        </w:tc>
      </w:tr>
      <w:tr>
        <w:trPr>
          <w:trHeight w:val="360" w:hRule="exact"/>
        </w:trPr>
        <w:tc>
          <w:tcPr>
            <w:tcW w:w="2430" w:type="dxa"/>
            <w:tcBorders/>
          </w:tcPr>
          <w:p>
            <w:pPr>
              <w:pStyle w:val="Normal"/>
              <w:spacing w:before="120" w:after="57"/>
              <w:jc w:val="end"/>
              <w:rPr>
                <w:szCs w:val="24"/>
              </w:rPr>
            </w:pPr>
            <w:r>
              <w:rPr>
                <w:szCs w:val="24"/>
              </w:rPr>
              <w:t>or Further Credit To:</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Agented Loans</w:t>
            </w:r>
          </w:p>
        </w:tc>
      </w:tr>
      <w:tr>
        <w:trPr>
          <w:trHeight w:val="360" w:hRule="exact"/>
        </w:trPr>
        <w:tc>
          <w:tcPr>
            <w:tcW w:w="2430" w:type="dxa"/>
            <w:tcBorders/>
          </w:tcPr>
          <w:p>
            <w:pPr>
              <w:pStyle w:val="Normal"/>
              <w:spacing w:before="120" w:after="57"/>
              <w:jc w:val="end"/>
              <w:rPr>
                <w:szCs w:val="24"/>
              </w:rPr>
            </w:pPr>
            <w:r>
              <w:rPr>
                <w:szCs w:val="24"/>
              </w:rPr>
              <w:t>Account No.:</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0709611</w:t>
            </w:r>
          </w:p>
        </w:tc>
      </w:tr>
      <w:tr>
        <w:trPr>
          <w:trHeight w:val="360" w:hRule="exact"/>
        </w:trPr>
        <w:tc>
          <w:tcPr>
            <w:tcW w:w="2430" w:type="dxa"/>
            <w:tcBorders/>
          </w:tcPr>
          <w:p>
            <w:pPr>
              <w:pStyle w:val="Normal"/>
              <w:spacing w:before="120" w:after="57"/>
              <w:jc w:val="end"/>
              <w:rPr>
                <w:szCs w:val="24"/>
              </w:rPr>
            </w:pPr>
            <w:r>
              <w:rPr>
                <w:szCs w:val="24"/>
              </w:rPr>
              <w:t>Attention:</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Agency Services</w:t>
            </w:r>
          </w:p>
        </w:tc>
      </w:tr>
      <w:tr>
        <w:trPr>
          <w:trHeight w:val="360" w:hRule="exact"/>
        </w:trPr>
        <w:tc>
          <w:tcPr>
            <w:tcW w:w="2430" w:type="dxa"/>
            <w:tcBorders/>
          </w:tcPr>
          <w:p>
            <w:pPr>
              <w:pStyle w:val="Normal"/>
              <w:spacing w:before="120" w:after="57"/>
              <w:jc w:val="end"/>
              <w:rPr>
                <w:szCs w:val="24"/>
              </w:rPr>
            </w:pPr>
            <w:r>
              <w:rPr>
                <w:szCs w:val="24"/>
              </w:rPr>
              <w:t>Reference:</w:t>
            </w:r>
          </w:p>
        </w:tc>
        <w:tc>
          <w:tcPr>
            <w:tcW w:w="270" w:type="dxa"/>
            <w:tcBorders/>
          </w:tcPr>
          <w:p>
            <w:pPr>
              <w:pStyle w:val="Normal"/>
              <w:snapToGrid w:val="false"/>
              <w:spacing w:before="120" w:after="57"/>
              <w:rPr>
                <w:szCs w:val="24"/>
              </w:rPr>
            </w:pPr>
            <w:r>
              <w:rPr>
                <w:szCs w:val="24"/>
              </w:rPr>
            </w:r>
          </w:p>
        </w:tc>
        <w:tc>
          <w:tcPr>
            <w:tcW w:w="5400" w:type="dxa"/>
            <w:tcBorders/>
          </w:tcPr>
          <w:p>
            <w:pPr>
              <w:pStyle w:val="Normal"/>
              <w:spacing w:before="120" w:after="57"/>
              <w:rPr>
                <w:szCs w:val="24"/>
              </w:rPr>
            </w:pPr>
            <w:r>
              <w:rPr>
                <w:szCs w:val="24"/>
              </w:rPr>
              <w:t>Hawaii II 125-0</w:t>
            </w:r>
          </w:p>
        </w:tc>
      </w:tr>
      <w:tr>
        <w:trPr>
          <w:trHeight w:val="360" w:hRule="exact"/>
        </w:trPr>
        <w:tc>
          <w:tcPr>
            <w:tcW w:w="2430" w:type="dxa"/>
            <w:tcBorders/>
          </w:tcPr>
          <w:p>
            <w:pPr>
              <w:pStyle w:val="Normal"/>
              <w:snapToGrid w:val="false"/>
              <w:spacing w:before="120" w:after="57"/>
              <w:jc w:val="end"/>
              <w:rPr>
                <w:szCs w:val="24"/>
              </w:rPr>
            </w:pPr>
            <w:r>
              <w:rPr>
                <w:szCs w:val="24"/>
              </w:rPr>
            </w:r>
          </w:p>
        </w:tc>
        <w:tc>
          <w:tcPr>
            <w:tcW w:w="270" w:type="dxa"/>
            <w:tcBorders/>
          </w:tcPr>
          <w:p>
            <w:pPr>
              <w:pStyle w:val="Normal"/>
              <w:snapToGrid w:val="false"/>
              <w:spacing w:before="120" w:after="57"/>
              <w:rPr>
                <w:szCs w:val="24"/>
              </w:rPr>
            </w:pPr>
            <w:r>
              <w:rPr>
                <w:szCs w:val="24"/>
              </w:rPr>
            </w:r>
          </w:p>
        </w:tc>
        <w:tc>
          <w:tcPr>
            <w:tcW w:w="5400" w:type="dxa"/>
            <w:tcBorders/>
          </w:tcPr>
          <w:p>
            <w:pPr>
              <w:pStyle w:val="Normal"/>
              <w:snapToGrid w:val="false"/>
              <w:spacing w:before="120" w:after="57"/>
              <w:rPr>
                <w:szCs w:val="24"/>
              </w:rPr>
            </w:pPr>
            <w:r>
              <w:rPr>
                <w:szCs w:val="24"/>
              </w:rPr>
            </w:r>
          </w:p>
        </w:tc>
      </w:tr>
    </w:tbl>
    <w:p>
      <w:pPr>
        <w:pStyle w:val="Normal"/>
        <w:jc w:val="both"/>
        <w:rPr>
          <w:szCs w:val="24"/>
        </w:rPr>
      </w:pPr>
      <w:r>
        <w:rPr>
          <w:szCs w:val="24"/>
        </w:rPr>
      </w:r>
    </w:p>
    <w:p>
      <w:pPr>
        <w:pStyle w:val="Normal"/>
        <w:spacing w:before="0" w:after="240"/>
        <w:jc w:val="both"/>
        <w:rPr>
          <w:szCs w:val="24"/>
        </w:rPr>
      </w:pPr>
      <w:r>
        <w:rPr>
          <w:szCs w:val="24"/>
        </w:rPr>
        <w:tab/>
        <w:t>(b)</w:t>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spacing w:before="0" w:after="240"/>
        <w:jc w:val="both"/>
        <w:rPr>
          <w:szCs w:val="24"/>
        </w:rPr>
      </w:pPr>
      <w:r>
        <w:rPr>
          <w:szCs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jc w:val="both"/>
        <w:rPr/>
      </w:pPr>
      <w:r>
        <w:rPr>
          <w:szCs w:val="24"/>
        </w:rPr>
        <w:tab/>
        <w:t xml:space="preserve">Section  9.2   No Deductions </w:t>
      </w:r>
      <w:r>
        <w:fldChar w:fldCharType="begin"/>
      </w:r>
      <w:r>
        <w:rPr/>
        <w:instrText xml:space="preserve"> TC "</w:instrText>
        <w:tab/>
        <w:instrText xml:space="preserve">Section  9.2   No Deductions " \l 2 </w:instrText>
      </w:r>
      <w:r>
        <w:rPr/>
        <w:fldChar w:fldCharType="separate"/>
      </w:r>
      <w:r>
        <w:rPr/>
      </w:r>
      <w:r>
        <w:rPr/>
        <w:fldChar w:fldCharType="end"/>
      </w:r>
      <w:r>
        <w:rPr>
          <w:szCs w:val="24"/>
        </w:rPr>
        <w:t>.  All payments made by the Trust under the Finance Documents (whether of principal, interest, fees, dividends or otherwise) shall be paid in full without set-off or counterclaim and not subject to any condition.</w:t>
      </w:r>
    </w:p>
    <w:p>
      <w:pPr>
        <w:pStyle w:val="Normal"/>
        <w:keepNext w:val="true"/>
        <w:keepLines/>
        <w:jc w:val="both"/>
        <w:rPr>
          <w:szCs w:val="24"/>
        </w:rPr>
      </w:pPr>
      <w:r>
        <w:rPr>
          <w:szCs w:val="24"/>
        </w:rPr>
      </w:r>
    </w:p>
    <w:p>
      <w:pPr>
        <w:pStyle w:val="Normal"/>
        <w:jc w:val="both"/>
        <w:rPr/>
      </w:pPr>
      <w:r>
        <w:rPr>
          <w:szCs w:val="24"/>
        </w:rPr>
        <w:tab/>
        <w:t xml:space="preserve">Section  9.3   Payments on Business Days </w:t>
      </w:r>
      <w:r>
        <w:fldChar w:fldCharType="begin"/>
      </w:r>
      <w:r>
        <w:rPr/>
        <w:instrText xml:space="preserve"> TC "</w:instrText>
        <w:tab/>
        <w:instrText xml:space="preserve">Section  9.3   Payments on Business Days " \l 2 </w:instrText>
      </w:r>
      <w:r>
        <w:rPr/>
        <w:fldChar w:fldCharType="separate"/>
      </w:r>
      <w:r>
        <w:rPr/>
      </w:r>
      <w:r>
        <w:rPr/>
        <w:fldChar w:fldCharType="end"/>
      </w:r>
      <w:r>
        <w:rPr>
          <w:szCs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jc w:val="both"/>
        <w:rPr>
          <w:szCs w:val="24"/>
        </w:rPr>
      </w:pPr>
      <w:r>
        <w:rPr>
          <w:szCs w:val="24"/>
        </w:rPr>
      </w:r>
    </w:p>
    <w:p>
      <w:pPr>
        <w:pStyle w:val="Normal"/>
        <w:keepNext w:val="true"/>
        <w:keepLines/>
        <w:jc w:val="both"/>
        <w:rPr/>
      </w:pPr>
      <w:r>
        <w:rPr>
          <w:szCs w:val="24"/>
        </w:rPr>
        <w:tab/>
        <w:t xml:space="preserve">Section  9.4   Accounts </w:t>
      </w:r>
      <w:r>
        <w:fldChar w:fldCharType="begin"/>
      </w:r>
      <w:r>
        <w:rPr/>
        <w:instrText xml:space="preserve"> TC "</w:instrText>
        <w:tab/>
        <w:instrText xml:space="preserve">Section  9.4   Accounts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pPr>
      <w:r>
        <w:rPr>
          <w:szCs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iCs/>
          <w:szCs w:val="24"/>
        </w:rPr>
        <w:t>prima facie</w:t>
      </w:r>
      <w:r>
        <w:rPr>
          <w:szCs w:val="24"/>
        </w:rPr>
        <w:t xml:space="preserve"> evidence of such amounts; provided that failure to maintain any such account shall not relieve the Trust of its obligations.</w:t>
      </w:r>
    </w:p>
    <w:p>
      <w:pPr>
        <w:pStyle w:val="Normal"/>
        <w:keepNext w:val="true"/>
        <w:spacing w:before="0" w:after="240"/>
        <w:jc w:val="both"/>
        <w:rPr>
          <w:szCs w:val="24"/>
        </w:rPr>
      </w:pPr>
      <w:r>
        <w:rPr>
          <w:szCs w:val="24"/>
        </w:rPr>
        <w:tab/>
        <w:t>(b)</w:t>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jc w:val="both"/>
        <w:rPr/>
      </w:pPr>
      <w:r>
        <w:rPr>
          <w:szCs w:val="24"/>
        </w:rPr>
        <w:tab/>
        <w:t xml:space="preserve">Section  9.5   Currency </w:t>
      </w:r>
      <w:r>
        <w:fldChar w:fldCharType="begin"/>
      </w:r>
      <w:r>
        <w:rPr/>
        <w:instrText xml:space="preserve"> TC "</w:instrText>
        <w:tab/>
        <w:instrText xml:space="preserve">Section  9.5   Currency " \l 2 </w:instrText>
      </w:r>
      <w:r>
        <w:rPr/>
        <w:fldChar w:fldCharType="separate"/>
      </w:r>
      <w:r>
        <w:rPr/>
      </w:r>
      <w:r>
        <w:rPr/>
        <w:fldChar w:fldCharType="end"/>
      </w:r>
      <w:r>
        <w:rPr>
          <w:szCs w:val="24"/>
        </w:rPr>
        <w:t>.  All amounts payable by the Trust under this Agreement shall be paid in Dollars.</w:t>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X</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u w:val="single"/>
        </w:rPr>
        <w:t>CERTIFICATES CONCLUSIVE</w:t>
      </w:r>
      <w:r>
        <w:fldChar w:fldCharType="begin"/>
      </w:r>
      <w:r>
        <w:rPr/>
        <w:instrText xml:space="preserve"> TC "ARTICLE XCERTIFICATES CONCLUSIVE"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szCs w:val="24"/>
        </w:rPr>
      </w:pPr>
      <w:r>
        <w:rPr>
          <w:szCs w:val="24"/>
        </w:rPr>
        <w:tab/>
        <w:t>A certificate, determination, notification or opinion of any Finance Party or any Lender provided for in any Finance Document shall be conclusive except in the case of manifest error.</w:t>
      </w:r>
    </w:p>
    <w:p>
      <w:pPr>
        <w:pStyle w:val="Normal"/>
        <w:keepNext w:val="true"/>
        <w:keepLines/>
        <w:jc w:val="both"/>
        <w:rPr>
          <w:szCs w:val="24"/>
        </w:rPr>
      </w:pPr>
      <w:r>
        <w:rPr>
          <w:szCs w:val="24"/>
        </w:rPr>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XI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REPRESENTATIONS AND WARRANTIES</w:t>
      </w:r>
      <w:r>
        <w:fldChar w:fldCharType="begin"/>
      </w:r>
      <w:r>
        <w:rPr/>
        <w:instrText xml:space="preserve"> TC "ARTICLE XIREPRESENTATIONS AND WARRANTIES"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11.1   Reliance and Effective Time </w:t>
      </w:r>
      <w:r>
        <w:fldChar w:fldCharType="begin"/>
      </w:r>
      <w:r>
        <w:rPr/>
        <w:instrText xml:space="preserve"> TC "</w:instrText>
        <w:tab/>
        <w:instrText xml:space="preserve">Section  11.1   Reliance and Effective Time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szCs w:val="24"/>
        </w:rPr>
      </w:pPr>
      <w:r>
        <w:rPr>
          <w:szCs w:val="24"/>
        </w:rPr>
        <w:tab/>
        <w:t>(a)</w:t>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Normal"/>
        <w:keepNext w:val="true"/>
        <w:spacing w:before="0" w:after="240"/>
        <w:jc w:val="both"/>
        <w:rPr>
          <w:szCs w:val="24"/>
        </w:rPr>
      </w:pPr>
      <w:r>
        <w:rPr>
          <w:szCs w:val="24"/>
        </w:rPr>
        <w:tab/>
        <w:t>(b)</w:t>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jc w:val="both"/>
        <w:rPr>
          <w:szCs w:val="24"/>
        </w:rPr>
      </w:pPr>
      <w:r>
        <w:rPr>
          <w:szCs w:val="24"/>
        </w:rPr>
        <w:tab/>
        <w:t xml:space="preserve">Section  11.2   Organization </w:t>
      </w:r>
      <w:r>
        <w:fldChar w:fldCharType="begin"/>
      </w:r>
      <w:r>
        <w:rPr/>
        <w:instrText xml:space="preserve"> TC "</w:instrText>
        <w:tab/>
        <w:instrText xml:space="preserve">Section  11.2   Organization " \l 2 </w:instrText>
      </w:r>
      <w:r>
        <w:rPr/>
        <w:fldChar w:fldCharType="separate"/>
      </w:r>
      <w:r>
        <w:rPr/>
      </w:r>
      <w:r>
        <w:rPr/>
        <w:fldChar w:fldCharType="end"/>
      </w:r>
      <w:r>
        <w:rPr>
          <w:szCs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bCs/>
          <w:szCs w:val="24"/>
        </w:rPr>
        <w:t xml:space="preserve"> </w:t>
      </w:r>
      <w:r>
        <w:rPr>
          <w:szCs w:val="24"/>
        </w:rPr>
        <w:t>and (c) each Series is a Series of the Trust duly formed pursuant to the Trust Agreement</w:t>
      </w:r>
      <w:r>
        <w:rPr>
          <w:b/>
          <w:bCs/>
          <w:szCs w:val="24"/>
        </w:rPr>
        <w:t>.</w:t>
      </w:r>
    </w:p>
    <w:p>
      <w:pPr>
        <w:pStyle w:val="Normal"/>
        <w:keepNext w:val="true"/>
        <w:jc w:val="both"/>
        <w:rPr>
          <w:szCs w:val="24"/>
        </w:rPr>
      </w:pPr>
      <w:r>
        <w:rPr>
          <w:szCs w:val="24"/>
        </w:rPr>
      </w:r>
    </w:p>
    <w:p>
      <w:pPr>
        <w:pStyle w:val="Normal"/>
        <w:jc w:val="both"/>
        <w:rPr/>
      </w:pPr>
      <w:r>
        <w:rPr>
          <w:szCs w:val="24"/>
        </w:rPr>
        <w:tab/>
        <w:t xml:space="preserve">Section  11.3   Power and Authority </w:t>
      </w:r>
      <w:r>
        <w:fldChar w:fldCharType="begin"/>
      </w:r>
      <w:r>
        <w:rPr/>
        <w:instrText xml:space="preserve"> TC "</w:instrText>
        <w:tab/>
        <w:instrText xml:space="preserve">Section  11.3   Power and Authority " \l 2 </w:instrText>
      </w:r>
      <w:r>
        <w:rPr/>
        <w:fldChar w:fldCharType="separate"/>
      </w:r>
      <w:r>
        <w:rPr/>
      </w:r>
      <w:r>
        <w:rPr/>
        <w:fldChar w:fldCharType="end"/>
      </w:r>
      <w:r>
        <w:rPr>
          <w:szCs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jc w:val="both"/>
        <w:rPr>
          <w:szCs w:val="24"/>
        </w:rPr>
      </w:pPr>
      <w:r>
        <w:rPr>
          <w:szCs w:val="24"/>
        </w:rPr>
      </w:r>
    </w:p>
    <w:p>
      <w:pPr>
        <w:pStyle w:val="Normal"/>
        <w:keepNext w:val="true"/>
        <w:keepLines/>
        <w:jc w:val="both"/>
        <w:rPr/>
      </w:pPr>
      <w:r>
        <w:rPr>
          <w:szCs w:val="24"/>
        </w:rPr>
        <w:tab/>
        <w:t xml:space="preserve">Section  11.4   No Contravention </w:t>
      </w:r>
      <w:r>
        <w:fldChar w:fldCharType="begin"/>
      </w:r>
      <w:r>
        <w:rPr/>
        <w:instrText xml:space="preserve"> TC "</w:instrText>
        <w:tab/>
        <w:instrText xml:space="preserve">Section  11.4   No Contravention " \l 2 </w:instrText>
      </w:r>
      <w:r>
        <w:rPr/>
        <w:fldChar w:fldCharType="separate"/>
      </w:r>
      <w:r>
        <w:rPr/>
      </w:r>
      <w:r>
        <w:rPr/>
        <w:fldChar w:fldCharType="end"/>
      </w:r>
      <w:r>
        <w:rPr>
          <w:szCs w:val="24"/>
        </w:rPr>
        <w:t>.</w:t>
      </w:r>
    </w:p>
    <w:p>
      <w:pPr>
        <w:pStyle w:val="Normal"/>
        <w:keepNext w:val="true"/>
        <w:keepLines/>
        <w:jc w:val="both"/>
        <w:rPr>
          <w:szCs w:val="24"/>
        </w:rPr>
      </w:pPr>
      <w:r>
        <w:rPr>
          <w:szCs w:val="24"/>
        </w:rPr>
      </w:r>
    </w:p>
    <w:p>
      <w:pPr>
        <w:pStyle w:val="Normal"/>
        <w:spacing w:before="0" w:after="240"/>
        <w:jc w:val="both"/>
        <w:rPr>
          <w:szCs w:val="24"/>
        </w:rPr>
      </w:pPr>
      <w:r>
        <w:rPr>
          <w:szCs w:val="24"/>
        </w:rPr>
        <w:tab/>
        <w:t>(a)</w:t>
        <w:tab/>
        <w:t>None of the Trust’s, any Asset LLCs’ or Transferors’ execution, delivery and performance of the Operative Documents to which it is expressed to be a party will:</w:t>
      </w:r>
    </w:p>
    <w:p>
      <w:pPr>
        <w:pStyle w:val="Normal"/>
        <w:spacing w:before="0" w:after="240"/>
        <w:ind w:start="720" w:end="0"/>
        <w:jc w:val="both"/>
        <w:rPr>
          <w:szCs w:val="24"/>
        </w:rPr>
      </w:pPr>
      <w:r>
        <w:rPr>
          <w:szCs w:val="24"/>
        </w:rPr>
        <w:t>(i)</w:t>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Normal"/>
        <w:spacing w:before="0" w:after="240"/>
        <w:ind w:start="720" w:end="0"/>
        <w:jc w:val="both"/>
        <w:rPr>
          <w:szCs w:val="24"/>
        </w:rPr>
      </w:pPr>
      <w:r>
        <w:rPr>
          <w:szCs w:val="24"/>
        </w:rPr>
        <w:t>(ii)</w:t>
        <w:tab/>
        <w:t>will oblige it to create any Lien over all or any of its assets other than any Lien under the Operative Documents.</w:t>
      </w:r>
    </w:p>
    <w:p>
      <w:pPr>
        <w:pStyle w:val="Normal"/>
        <w:keepNext w:val="true"/>
        <w:spacing w:before="0" w:after="240"/>
        <w:jc w:val="both"/>
        <w:rPr>
          <w:szCs w:val="24"/>
        </w:rPr>
      </w:pPr>
      <w:r>
        <w:rPr>
          <w:szCs w:val="24"/>
        </w:rPr>
        <w:tab/>
        <w:t>(b)</w:t>
        <w:tab/>
        <w:t>Borrowings by the Trust under this Agreement up to and including the maximum amount available hereunder will not cause any limit on borrowings (whether imposed by statue, regulation, agreement or otherwise), to be exceeded.</w:t>
      </w:r>
    </w:p>
    <w:p>
      <w:pPr>
        <w:pStyle w:val="Normal"/>
        <w:jc w:val="both"/>
        <w:rPr/>
      </w:pPr>
      <w:r>
        <w:rPr>
          <w:szCs w:val="24"/>
        </w:rPr>
        <w:tab/>
        <w:t xml:space="preserve">Section  11.5   Authorizations and Consents </w:t>
      </w:r>
      <w:r>
        <w:fldChar w:fldCharType="begin"/>
      </w:r>
      <w:r>
        <w:rPr/>
        <w:instrText xml:space="preserve"> TC "Section  11.5   Authorizations and Consents " \l 2 </w:instrText>
      </w:r>
      <w:r>
        <w:rPr/>
        <w:fldChar w:fldCharType="separate"/>
      </w:r>
      <w:r>
        <w:rPr/>
      </w:r>
      <w:r>
        <w:rPr/>
        <w:fldChar w:fldCharType="end"/>
      </w:r>
      <w:r>
        <w:rPr>
          <w:szCs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jc w:val="both"/>
        <w:rPr>
          <w:szCs w:val="24"/>
        </w:rPr>
      </w:pPr>
      <w:r>
        <w:rPr>
          <w:szCs w:val="24"/>
        </w:rPr>
      </w:r>
    </w:p>
    <w:p>
      <w:pPr>
        <w:pStyle w:val="Normal"/>
        <w:jc w:val="both"/>
        <w:rPr/>
      </w:pPr>
      <w:r>
        <w:rPr>
          <w:szCs w:val="24"/>
        </w:rPr>
        <w:tab/>
        <w:t xml:space="preserve">Section  11.6   Enforceability; Ranking </w:t>
      </w:r>
      <w:r>
        <w:fldChar w:fldCharType="begin"/>
      </w:r>
      <w:r>
        <w:rPr/>
        <w:instrText xml:space="preserve"> TC "</w:instrText>
        <w:tab/>
        <w:instrText xml:space="preserve">Section  11.6   Enforceability; Ranking " \l 2 </w:instrText>
      </w:r>
      <w:r>
        <w:rPr/>
        <w:fldChar w:fldCharType="separate"/>
      </w:r>
      <w:r>
        <w:rPr/>
      </w:r>
      <w:r>
        <w:rPr/>
        <w:fldChar w:fldCharType="end"/>
      </w:r>
      <w:r>
        <w:rPr>
          <w:szCs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iCs/>
          <w:szCs w:val="24"/>
        </w:rPr>
        <w:t>pari passu</w:t>
      </w:r>
      <w:r>
        <w:rPr>
          <w:szCs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jc w:val="both"/>
        <w:rPr>
          <w:szCs w:val="24"/>
        </w:rPr>
      </w:pPr>
      <w:r>
        <w:rPr>
          <w:szCs w:val="24"/>
        </w:rPr>
      </w:r>
    </w:p>
    <w:p>
      <w:pPr>
        <w:pStyle w:val="Normal"/>
        <w:jc w:val="both"/>
        <w:rPr/>
      </w:pPr>
      <w:r>
        <w:rPr>
          <w:szCs w:val="24"/>
        </w:rPr>
        <w:tab/>
        <w:t xml:space="preserve">Section  11.7   Litigation </w:t>
      </w:r>
      <w:r>
        <w:fldChar w:fldCharType="begin"/>
      </w:r>
      <w:r>
        <w:rPr/>
        <w:instrText xml:space="preserve"> TC "</w:instrText>
        <w:tab/>
        <w:instrText xml:space="preserve">Section  11.7   Litigation " \l 2 </w:instrText>
      </w:r>
      <w:r>
        <w:rPr/>
        <w:fldChar w:fldCharType="separate"/>
      </w:r>
      <w:r>
        <w:rPr/>
      </w:r>
      <w:r>
        <w:rPr/>
        <w:fldChar w:fldCharType="end"/>
      </w:r>
      <w:r>
        <w:rPr>
          <w:szCs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jc w:val="both"/>
        <w:rPr>
          <w:szCs w:val="24"/>
        </w:rPr>
      </w:pPr>
      <w:r>
        <w:rPr>
          <w:szCs w:val="24"/>
        </w:rPr>
      </w:r>
    </w:p>
    <w:p>
      <w:pPr>
        <w:pStyle w:val="Normal"/>
        <w:keepNext w:val="true"/>
        <w:keepLines/>
        <w:jc w:val="both"/>
        <w:rPr/>
      </w:pPr>
      <w:r>
        <w:rPr>
          <w:szCs w:val="24"/>
        </w:rPr>
        <w:tab/>
        <w:t xml:space="preserve">Section  11.8   No Material Adverse Effect </w:t>
      </w:r>
      <w:r>
        <w:fldChar w:fldCharType="begin"/>
      </w:r>
      <w:r>
        <w:rPr/>
        <w:instrText xml:space="preserve"> TC "</w:instrText>
        <w:tab/>
        <w:instrText xml:space="preserve">Section  11.8   No Material Adverse Effect " \l 2 </w:instrText>
      </w:r>
      <w:r>
        <w:rPr/>
        <w:fldChar w:fldCharType="separate"/>
      </w:r>
      <w:r>
        <w:rPr/>
      </w:r>
      <w:r>
        <w:rPr/>
        <w:fldChar w:fldCharType="end"/>
      </w:r>
      <w:r>
        <w:rPr>
          <w:szCs w:val="24"/>
        </w:rPr>
        <w:t>.  No event or matter having or likely to have a Material Adverse Effect has occurred since the date of inception of the Trust.</w:t>
      </w:r>
    </w:p>
    <w:p>
      <w:pPr>
        <w:pStyle w:val="Normal"/>
        <w:keepNext w:val="true"/>
        <w:keepLines/>
        <w:jc w:val="both"/>
        <w:rPr>
          <w:szCs w:val="24"/>
        </w:rPr>
      </w:pPr>
      <w:r>
        <w:rPr>
          <w:szCs w:val="24"/>
        </w:rPr>
      </w:r>
    </w:p>
    <w:p>
      <w:pPr>
        <w:pStyle w:val="Normal"/>
        <w:keepNext w:val="true"/>
        <w:keepLines/>
        <w:jc w:val="both"/>
        <w:rPr/>
      </w:pPr>
      <w:r>
        <w:rPr>
          <w:szCs w:val="24"/>
        </w:rPr>
        <w:tab/>
        <w:t xml:space="preserve">Section  11.9   Liens </w:t>
      </w:r>
      <w:r>
        <w:fldChar w:fldCharType="begin"/>
      </w:r>
      <w:r>
        <w:rPr/>
        <w:instrText xml:space="preserve"> TC "</w:instrText>
        <w:tab/>
        <w:instrText xml:space="preserve">Section  11.9   Liens " \l 2 </w:instrText>
      </w:r>
      <w:r>
        <w:rPr/>
        <w:fldChar w:fldCharType="separate"/>
      </w:r>
      <w:r>
        <w:rPr/>
      </w:r>
      <w:r>
        <w:rPr/>
        <w:fldChar w:fldCharType="end"/>
      </w:r>
      <w:r>
        <w:rPr>
          <w:szCs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jc w:val="both"/>
        <w:rPr>
          <w:szCs w:val="24"/>
        </w:rPr>
      </w:pPr>
      <w:r>
        <w:rPr>
          <w:szCs w:val="24"/>
        </w:rPr>
      </w:r>
    </w:p>
    <w:p>
      <w:pPr>
        <w:pStyle w:val="Normal"/>
        <w:jc w:val="both"/>
        <w:rPr/>
      </w:pPr>
      <w:r>
        <w:rPr>
          <w:szCs w:val="24"/>
        </w:rPr>
        <w:tab/>
        <w:t xml:space="preserve">Section  11.10   No Defaults </w:t>
      </w:r>
      <w:r>
        <w:fldChar w:fldCharType="begin"/>
      </w:r>
      <w:r>
        <w:rPr/>
        <w:instrText xml:space="preserve"> TC "</w:instrText>
        <w:tab/>
        <w:instrText xml:space="preserve">Section  11.10   No Defaults " \l 2 </w:instrText>
      </w:r>
      <w:r>
        <w:rPr/>
        <w:fldChar w:fldCharType="separate"/>
      </w:r>
      <w:r>
        <w:rPr/>
      </w:r>
      <w:r>
        <w:rPr/>
        <w:fldChar w:fldCharType="end"/>
      </w:r>
      <w:r>
        <w:rPr>
          <w:szCs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jc w:val="both"/>
        <w:rPr>
          <w:szCs w:val="24"/>
        </w:rPr>
      </w:pPr>
      <w:r>
        <w:rPr>
          <w:szCs w:val="24"/>
        </w:rPr>
      </w:r>
    </w:p>
    <w:p>
      <w:pPr>
        <w:pStyle w:val="Normal"/>
        <w:keepLines/>
        <w:jc w:val="both"/>
        <w:rPr/>
      </w:pPr>
      <w:r>
        <w:rPr>
          <w:szCs w:val="24"/>
        </w:rPr>
        <w:tab/>
        <w:t xml:space="preserve">Section  11.11   Compliance with Laws </w:t>
      </w:r>
      <w:r>
        <w:fldChar w:fldCharType="begin"/>
      </w:r>
      <w:r>
        <w:rPr/>
        <w:instrText xml:space="preserve"> TC "</w:instrText>
        <w:tab/>
        <w:instrText xml:space="preserve">Section  11.11   Compliance with Laws " \l 2 </w:instrText>
      </w:r>
      <w:r>
        <w:rPr/>
        <w:fldChar w:fldCharType="separate"/>
      </w:r>
      <w:r>
        <w:rPr/>
      </w:r>
      <w:r>
        <w:rPr/>
        <w:fldChar w:fldCharType="end"/>
      </w:r>
      <w:r>
        <w:rPr>
          <w:szCs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jc w:val="both"/>
        <w:rPr>
          <w:szCs w:val="24"/>
        </w:rPr>
      </w:pPr>
      <w:r>
        <w:rPr>
          <w:szCs w:val="24"/>
        </w:rPr>
      </w:r>
    </w:p>
    <w:p>
      <w:pPr>
        <w:pStyle w:val="Normal"/>
        <w:keepNext w:val="true"/>
        <w:keepLines/>
        <w:jc w:val="both"/>
        <w:rPr/>
      </w:pPr>
      <w:r>
        <w:rPr>
          <w:szCs w:val="24"/>
        </w:rPr>
        <w:tab/>
        <w:t xml:space="preserve">Section  11.12   Business:  Ownership of Assets for Business Operations </w:t>
      </w:r>
      <w:r>
        <w:fldChar w:fldCharType="begin"/>
      </w:r>
      <w:r>
        <w:rPr/>
        <w:instrText xml:space="preserve"> TC "</w:instrText>
        <w:tab/>
        <w:instrText xml:space="preserve">Section  11.12   Business\:  Ownership of Assets for Business Operations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szCs w:val="24"/>
        </w:rPr>
      </w:pPr>
      <w:r>
        <w:rPr>
          <w:szCs w:val="24"/>
        </w:rPr>
        <w:tab/>
        <w:t>(a)</w:t>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Normal"/>
        <w:spacing w:before="0" w:after="240"/>
        <w:jc w:val="both"/>
        <w:rPr>
          <w:szCs w:val="24"/>
        </w:rPr>
      </w:pPr>
      <w:r>
        <w:rPr>
          <w:szCs w:val="24"/>
        </w:rPr>
        <w:tab/>
        <w:t>(b)</w:t>
        <w:tab/>
        <w:t>The Trust, each Asset LLC and each Transferor has good title to or other valid right to use all its assets, including but not limited to the ownership of the Class B Interests by the Trust, to the extent required to conduct the Business.</w:t>
      </w:r>
    </w:p>
    <w:p>
      <w:pPr>
        <w:pStyle w:val="Normal"/>
        <w:keepNext w:val="true"/>
        <w:spacing w:before="0" w:after="240"/>
        <w:jc w:val="both"/>
        <w:rPr>
          <w:szCs w:val="24"/>
        </w:rPr>
      </w:pPr>
      <w:r>
        <w:rPr>
          <w:szCs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jc w:val="both"/>
        <w:rPr/>
      </w:pPr>
      <w:r>
        <w:rPr>
          <w:szCs w:val="24"/>
        </w:rPr>
        <w:tab/>
        <w:t xml:space="preserve">Section  11.13   Tax Liabilities </w:t>
      </w:r>
      <w:r>
        <w:fldChar w:fldCharType="begin"/>
      </w:r>
      <w:r>
        <w:rPr/>
        <w:instrText xml:space="preserve"> TC "</w:instrText>
        <w:tab/>
        <w:instrText xml:space="preserve">Section  11.13   Tax Liabilities " \l 2 </w:instrText>
      </w:r>
      <w:r>
        <w:rPr/>
        <w:fldChar w:fldCharType="separate"/>
      </w:r>
      <w:r>
        <w:rPr/>
      </w:r>
      <w:r>
        <w:rPr/>
        <w:fldChar w:fldCharType="end"/>
      </w:r>
      <w:r>
        <w:rPr>
          <w:szCs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jc w:val="both"/>
        <w:rPr>
          <w:szCs w:val="24"/>
        </w:rPr>
      </w:pPr>
      <w:r>
        <w:rPr>
          <w:szCs w:val="24"/>
        </w:rPr>
      </w:r>
    </w:p>
    <w:p>
      <w:pPr>
        <w:pStyle w:val="Normal"/>
        <w:jc w:val="both"/>
        <w:rPr/>
      </w:pPr>
      <w:r>
        <w:rPr>
          <w:szCs w:val="24"/>
        </w:rPr>
        <w:tab/>
        <w:t xml:space="preserve">Section  11.14   Solvency </w:t>
      </w:r>
      <w:r>
        <w:fldChar w:fldCharType="begin"/>
      </w:r>
      <w:r>
        <w:rPr/>
        <w:instrText xml:space="preserve"> TC "</w:instrText>
        <w:tab/>
        <w:instrText xml:space="preserve">Section  11.14   Solvency " \l 2 </w:instrText>
      </w:r>
      <w:r>
        <w:rPr/>
        <w:fldChar w:fldCharType="separate"/>
      </w:r>
      <w:r>
        <w:rPr/>
      </w:r>
      <w:r>
        <w:rPr/>
        <w:fldChar w:fldCharType="end"/>
      </w:r>
      <w:r>
        <w:rPr>
          <w:szCs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jc w:val="both"/>
        <w:rPr>
          <w:szCs w:val="24"/>
        </w:rPr>
      </w:pPr>
      <w:r>
        <w:rPr>
          <w:szCs w:val="24"/>
        </w:rPr>
      </w:r>
    </w:p>
    <w:p>
      <w:pPr>
        <w:pStyle w:val="Normal"/>
        <w:keepLines/>
        <w:jc w:val="both"/>
        <w:rPr/>
      </w:pPr>
      <w:r>
        <w:rPr>
          <w:szCs w:val="24"/>
        </w:rPr>
        <w:tab/>
        <w:t xml:space="preserve">Section  11.15   Indebtedness </w:t>
      </w:r>
      <w:r>
        <w:fldChar w:fldCharType="begin"/>
      </w:r>
      <w:r>
        <w:rPr/>
        <w:instrText xml:space="preserve"> TC "</w:instrText>
        <w:tab/>
        <w:instrText xml:space="preserve">Section  11.15   Indebtedness " \l 2 </w:instrText>
      </w:r>
      <w:r>
        <w:rPr/>
        <w:fldChar w:fldCharType="separate"/>
      </w:r>
      <w:r>
        <w:rPr/>
      </w:r>
      <w:r>
        <w:rPr/>
        <w:fldChar w:fldCharType="end"/>
      </w:r>
      <w:r>
        <w:rPr>
          <w:szCs w:val="24"/>
        </w:rPr>
        <w:t>.  The Trust, the Asset LLCs and the Transferors  have not incurred and have not suffered to exist any material Indebtedness other than pursuant to this Agreement and the other Finance Documents.</w:t>
      </w:r>
    </w:p>
    <w:p>
      <w:pPr>
        <w:pStyle w:val="Normal"/>
        <w:keepNext w:val="true"/>
        <w:jc w:val="both"/>
        <w:rPr>
          <w:szCs w:val="24"/>
        </w:rPr>
      </w:pPr>
      <w:r>
        <w:rPr>
          <w:szCs w:val="24"/>
        </w:rPr>
      </w:r>
    </w:p>
    <w:p>
      <w:pPr>
        <w:pStyle w:val="Normal"/>
        <w:keepLines/>
        <w:jc w:val="both"/>
        <w:rPr/>
      </w:pPr>
      <w:r>
        <w:rPr>
          <w:szCs w:val="24"/>
        </w:rPr>
        <w:tab/>
        <w:t xml:space="preserve">Section  11.16   Margin Stock </w:t>
      </w:r>
      <w:r>
        <w:fldChar w:fldCharType="begin"/>
      </w:r>
      <w:r>
        <w:rPr/>
        <w:instrText xml:space="preserve"> TC "</w:instrText>
        <w:tab/>
        <w:instrText xml:space="preserve">Section  11.16   Margin Stock " \l 2 </w:instrText>
      </w:r>
      <w:r>
        <w:rPr/>
        <w:fldChar w:fldCharType="separate"/>
      </w:r>
      <w:r>
        <w:rPr/>
      </w:r>
      <w:r>
        <w:rPr/>
        <w:fldChar w:fldCharType="end"/>
      </w:r>
      <w:r>
        <w:rPr>
          <w:szCs w:val="24"/>
        </w:rPr>
        <w:t>.  None of the Trust, the Asset LLCs or the Transferors is engaged principally, or as one of its important activities, in the business of extending credit for the purpose of purchasing or carrying any Margin Stock.</w:t>
      </w:r>
    </w:p>
    <w:p>
      <w:pPr>
        <w:pStyle w:val="Normal"/>
        <w:keepNext w:val="true"/>
        <w:jc w:val="both"/>
        <w:rPr>
          <w:szCs w:val="24"/>
        </w:rPr>
      </w:pPr>
      <w:r>
        <w:rPr>
          <w:szCs w:val="24"/>
        </w:rPr>
      </w:r>
    </w:p>
    <w:p>
      <w:pPr>
        <w:pStyle w:val="Normal"/>
        <w:jc w:val="both"/>
        <w:rPr/>
      </w:pPr>
      <w:r>
        <w:rPr>
          <w:szCs w:val="24"/>
        </w:rPr>
        <w:tab/>
        <w:t xml:space="preserve">Section  11.17   Investment Company Act and PUHCA </w:t>
      </w:r>
      <w:r>
        <w:fldChar w:fldCharType="begin"/>
      </w:r>
      <w:r>
        <w:rPr/>
        <w:instrText xml:space="preserve"> TC "</w:instrText>
        <w:tab/>
        <w:instrText xml:space="preserve">Section  11.17   Investment Company Act and PUHCA " \l 2 </w:instrText>
      </w:r>
      <w:r>
        <w:rPr/>
        <w:fldChar w:fldCharType="separate"/>
      </w:r>
      <w:r>
        <w:rPr/>
      </w:r>
      <w:r>
        <w:rPr/>
        <w:fldChar w:fldCharType="end"/>
      </w:r>
      <w:r>
        <w:rPr>
          <w:szCs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COVENANTS</w:t>
      </w:r>
      <w:r>
        <w:fldChar w:fldCharType="begin"/>
      </w:r>
      <w:r>
        <w:rPr/>
        <w:instrText xml:space="preserve"> TC "ARTICLE XIICOVENANTS"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Section  12.1   Duration </w:t>
      </w:r>
      <w:r>
        <w:fldChar w:fldCharType="begin"/>
      </w:r>
      <w:r>
        <w:rPr/>
        <w:instrText xml:space="preserve"> TC "</w:instrText>
        <w:tab/>
        <w:instrText xml:space="preserve">Section  12.1   Duration " \l 2 </w:instrText>
      </w:r>
      <w:r>
        <w:rPr/>
        <w:fldChar w:fldCharType="separate"/>
      </w:r>
      <w:r>
        <w:rPr/>
      </w:r>
      <w:r>
        <w:rPr/>
        <w:fldChar w:fldCharType="end"/>
      </w:r>
      <w:r>
        <w:rPr>
          <w:szCs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jc w:val="both"/>
        <w:rPr>
          <w:szCs w:val="24"/>
        </w:rPr>
      </w:pPr>
      <w:r>
        <w:rPr>
          <w:szCs w:val="24"/>
        </w:rPr>
      </w:r>
    </w:p>
    <w:p>
      <w:pPr>
        <w:pStyle w:val="Normal"/>
        <w:keepNext w:val="true"/>
        <w:keepLines/>
        <w:jc w:val="both"/>
        <w:rPr/>
      </w:pPr>
      <w:r>
        <w:rPr>
          <w:szCs w:val="24"/>
        </w:rPr>
        <w:tab/>
        <w:t xml:space="preserve">Section  12.2   General Covenants </w:t>
      </w:r>
      <w:r>
        <w:fldChar w:fldCharType="begin"/>
      </w:r>
      <w:r>
        <w:rPr/>
        <w:instrText xml:space="preserve"> TC "</w:instrText>
        <w:tab/>
        <w:instrText xml:space="preserve">Section  12.2   General Covenants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pPr>
      <w:r>
        <w:rPr>
          <w:szCs w:val="24"/>
        </w:rPr>
        <w:tab/>
        <w:t>(a)</w:t>
        <w:tab/>
      </w:r>
      <w:r>
        <w:rPr>
          <w:szCs w:val="24"/>
          <w:u w:val="single"/>
        </w:rPr>
        <w:t>Business of the Trust; Indebtedness</w:t>
      </w:r>
      <w:r>
        <w:rPr>
          <w:szCs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spacing w:before="0" w:after="240"/>
        <w:jc w:val="both"/>
        <w:rPr/>
      </w:pPr>
      <w:r>
        <w:rPr>
          <w:szCs w:val="24"/>
        </w:rPr>
        <w:tab/>
        <w:t>(b)</w:t>
        <w:tab/>
      </w:r>
      <w:r>
        <w:rPr>
          <w:szCs w:val="24"/>
          <w:u w:val="single"/>
        </w:rPr>
        <w:t>Ownership of the Class B Interests; No Modification to Certain Agreements</w:t>
      </w:r>
      <w:r>
        <w:rPr>
          <w:szCs w:val="24"/>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szCs w:val="24"/>
          <w:u w:val="single"/>
        </w:rPr>
        <w:t>material</w:t>
      </w:r>
      <w:r>
        <w:rPr>
          <w:szCs w:val="24"/>
        </w:rPr>
        <w:t xml:space="preserve">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Normal"/>
        <w:spacing w:before="0" w:after="240"/>
        <w:jc w:val="both"/>
        <w:rPr/>
      </w:pPr>
      <w:r>
        <w:rPr>
          <w:szCs w:val="24"/>
        </w:rPr>
        <w:tab/>
        <w:t>(c)</w:t>
        <w:tab/>
      </w:r>
      <w:r>
        <w:rPr>
          <w:szCs w:val="24"/>
          <w:u w:val="single"/>
        </w:rPr>
        <w:t>Use of Proceeds</w:t>
      </w:r>
      <w:r>
        <w:rPr>
          <w:szCs w:val="24"/>
        </w:rPr>
        <w:t>.  The Trust will use the proceeds of the Advances only for the purposes specified in Section 2.2(b).</w:t>
      </w:r>
    </w:p>
    <w:p>
      <w:pPr>
        <w:pStyle w:val="Normal"/>
        <w:spacing w:before="0" w:after="240"/>
        <w:jc w:val="both"/>
        <w:rPr/>
      </w:pPr>
      <w:r>
        <w:rPr>
          <w:szCs w:val="24"/>
        </w:rPr>
        <w:tab/>
        <w:t>(d)</w:t>
        <w:tab/>
      </w:r>
      <w:r>
        <w:rPr>
          <w:szCs w:val="24"/>
          <w:u w:val="single"/>
        </w:rPr>
        <w:t>Authorizations and Consents</w:t>
      </w:r>
      <w:r>
        <w:rPr>
          <w:szCs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spacing w:before="0" w:after="240"/>
        <w:jc w:val="both"/>
        <w:rPr/>
      </w:pPr>
      <w:r>
        <w:rPr>
          <w:szCs w:val="24"/>
        </w:rPr>
        <w:tab/>
        <w:t>(e)</w:t>
        <w:tab/>
      </w:r>
      <w:r>
        <w:rPr>
          <w:szCs w:val="24"/>
          <w:u w:val="single"/>
        </w:rPr>
        <w:t>Maintenance of Status and Authorizations; Title to Assets</w:t>
      </w:r>
      <w:r>
        <w:rPr>
          <w:szCs w:val="24"/>
        </w:rPr>
        <w:t>.  The Trust will:</w:t>
      </w:r>
    </w:p>
    <w:p>
      <w:pPr>
        <w:pStyle w:val="Normal"/>
        <w:spacing w:before="0" w:after="240"/>
        <w:ind w:start="720" w:end="0"/>
        <w:jc w:val="both"/>
        <w:rPr>
          <w:szCs w:val="24"/>
        </w:rPr>
      </w:pPr>
      <w:r>
        <w:rPr>
          <w:szCs w:val="24"/>
        </w:rPr>
        <w:t>(i)</w:t>
        <w:tab/>
        <w:t>do all such things as are necessary to maintain its legal existence;</w:t>
      </w:r>
    </w:p>
    <w:p>
      <w:pPr>
        <w:pStyle w:val="Normal"/>
        <w:spacing w:before="0" w:after="240"/>
        <w:ind w:start="720" w:end="0"/>
        <w:jc w:val="both"/>
        <w:rPr>
          <w:szCs w:val="24"/>
        </w:rPr>
      </w:pPr>
      <w:r>
        <w:rPr>
          <w:szCs w:val="24"/>
        </w:rPr>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Normal"/>
        <w:spacing w:before="0" w:after="240"/>
        <w:ind w:start="720" w:end="0"/>
        <w:jc w:val="both"/>
        <w:rPr>
          <w:szCs w:val="24"/>
        </w:rPr>
      </w:pPr>
      <w:r>
        <w:rPr>
          <w:szCs w:val="24"/>
        </w:rPr>
        <w:t>(iii)</w:t>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Normal"/>
        <w:spacing w:before="0" w:after="240"/>
        <w:jc w:val="both"/>
        <w:rPr/>
      </w:pPr>
      <w:r>
        <w:rPr>
          <w:szCs w:val="24"/>
        </w:rPr>
        <w:tab/>
        <w:t>(f)</w:t>
        <w:tab/>
      </w:r>
      <w:r>
        <w:rPr>
          <w:szCs w:val="24"/>
          <w:u w:val="single"/>
        </w:rPr>
        <w:t>Taxes</w:t>
      </w:r>
      <w:r>
        <w:rPr>
          <w:szCs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spacing w:before="0" w:after="240"/>
        <w:jc w:val="both"/>
        <w:rPr/>
      </w:pPr>
      <w:r>
        <w:rPr>
          <w:szCs w:val="24"/>
        </w:rPr>
        <w:tab/>
        <w:t>(g)</w:t>
        <w:tab/>
      </w:r>
      <w:r>
        <w:rPr>
          <w:szCs w:val="24"/>
          <w:u w:val="single"/>
        </w:rPr>
        <w:t>Dispositions</w:t>
      </w:r>
      <w:r>
        <w:rPr>
          <w:szCs w:val="24"/>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Normal"/>
        <w:spacing w:before="0" w:after="240"/>
        <w:jc w:val="both"/>
        <w:rPr/>
      </w:pPr>
      <w:r>
        <w:rPr>
          <w:szCs w:val="24"/>
        </w:rPr>
        <w:tab/>
        <w:t>(h)</w:t>
        <w:tab/>
      </w:r>
      <w:r>
        <w:rPr>
          <w:szCs w:val="24"/>
          <w:u w:val="single"/>
        </w:rPr>
        <w:t>Merger, Consolidation, Etc.</w:t>
      </w:r>
      <w:r>
        <w:rPr>
          <w:szCs w:val="24"/>
        </w:rPr>
        <w:t xml:space="preserve">  The Trust will not merge or consolidate with any other Person (whether by winding-up, dissolution or other means).</w:t>
      </w:r>
    </w:p>
    <w:p>
      <w:pPr>
        <w:pStyle w:val="Normal"/>
        <w:spacing w:before="0" w:after="240"/>
        <w:jc w:val="both"/>
        <w:rPr/>
      </w:pPr>
      <w:r>
        <w:rPr>
          <w:szCs w:val="24"/>
        </w:rPr>
        <w:tab/>
        <w:t>(i)</w:t>
        <w:tab/>
      </w:r>
      <w:r>
        <w:rPr>
          <w:szCs w:val="24"/>
          <w:u w:val="single"/>
        </w:rPr>
        <w:t>Negative Pledge; Absence of Other Negative Pledges</w:t>
      </w:r>
      <w:r>
        <w:rPr>
          <w:szCs w:val="24"/>
        </w:rPr>
        <w:t>.</w:t>
      </w:r>
    </w:p>
    <w:p>
      <w:pPr>
        <w:pStyle w:val="Normal"/>
        <w:spacing w:before="0" w:after="240"/>
        <w:ind w:start="720" w:end="0"/>
        <w:jc w:val="both"/>
        <w:rPr>
          <w:szCs w:val="24"/>
        </w:rPr>
      </w:pPr>
      <w:r>
        <w:rPr>
          <w:szCs w:val="24"/>
        </w:rPr>
        <w:t>(i)</w:t>
        <w:tab/>
        <w:t>The Trust will not create or have outstanding any Lien on or over its assets, except as contemplated and permitted by the Operative Documents and for Liens for Taxes being contested in good faith pursuant to Section 12.2(f).</w:t>
      </w:r>
    </w:p>
    <w:p>
      <w:pPr>
        <w:pStyle w:val="Normal"/>
        <w:spacing w:before="0" w:after="240"/>
        <w:ind w:start="720" w:end="0"/>
        <w:jc w:val="both"/>
        <w:rPr>
          <w:szCs w:val="24"/>
        </w:rPr>
      </w:pPr>
      <w:r>
        <w:rPr>
          <w:szCs w:val="24"/>
        </w:rPr>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Normal"/>
        <w:spacing w:before="0" w:after="240"/>
        <w:jc w:val="both"/>
        <w:rPr/>
      </w:pPr>
      <w:r>
        <w:rPr>
          <w:szCs w:val="24"/>
        </w:rPr>
        <w:tab/>
        <w:t>(j)</w:t>
        <w:tab/>
      </w:r>
      <w:r>
        <w:rPr>
          <w:szCs w:val="24"/>
          <w:u w:val="single"/>
        </w:rPr>
        <w:t>Loans, Etc.</w:t>
      </w:r>
      <w:r>
        <w:rPr>
          <w:szCs w:val="24"/>
        </w:rPr>
        <w:t xml:space="preserve">  The Trust will not make or permit to be outstanding any loans or grant any credit to any Person, except as expressly permitted under the Finance Documents.</w:t>
      </w:r>
    </w:p>
    <w:p>
      <w:pPr>
        <w:pStyle w:val="Normal"/>
        <w:spacing w:before="0" w:after="240"/>
        <w:jc w:val="both"/>
        <w:rPr/>
      </w:pPr>
      <w:r>
        <w:rPr>
          <w:szCs w:val="24"/>
        </w:rPr>
        <w:tab/>
        <w:t>(k)</w:t>
        <w:tab/>
      </w:r>
      <w:r>
        <w:rPr>
          <w:szCs w:val="24"/>
          <w:u w:val="single"/>
        </w:rPr>
        <w:t>Acquisitions of Subsidiaries or Businesses</w:t>
      </w:r>
      <w:r>
        <w:rPr>
          <w:szCs w:val="24"/>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Normal"/>
        <w:spacing w:before="0" w:after="240"/>
        <w:jc w:val="both"/>
        <w:rPr/>
      </w:pPr>
      <w:r>
        <w:rPr>
          <w:szCs w:val="24"/>
        </w:rPr>
        <w:tab/>
        <w:t>(l)</w:t>
        <w:tab/>
      </w:r>
      <w:r>
        <w:rPr>
          <w:szCs w:val="24"/>
          <w:u w:val="single"/>
        </w:rPr>
        <w:t>Restriction on Payments and Distributions</w:t>
      </w:r>
      <w:r>
        <w:rPr>
          <w:szCs w:val="24"/>
        </w:rPr>
        <w:t>.  The Trust will not make any payments or distributions to the Certificate Holders or to the Transferors other than as provided in the Trust Agreement.</w:t>
      </w:r>
    </w:p>
    <w:p>
      <w:pPr>
        <w:pStyle w:val="Normal"/>
        <w:keepNext w:val="true"/>
        <w:spacing w:before="0" w:after="240"/>
        <w:jc w:val="both"/>
        <w:rPr/>
      </w:pPr>
      <w:r>
        <w:rPr>
          <w:szCs w:val="24"/>
        </w:rPr>
        <w:tab/>
        <w:t>(m)</w:t>
        <w:tab/>
      </w:r>
      <w:r>
        <w:rPr>
          <w:szCs w:val="24"/>
          <w:u w:val="single"/>
        </w:rPr>
        <w:t>Investments</w:t>
      </w:r>
      <w:r>
        <w:rPr>
          <w:szCs w:val="24"/>
        </w:rPr>
        <w:t>.  The Trust will not own any interest in any share, equity related investment or investment security other than Permitted Investments and the Class B Interests.</w:t>
      </w:r>
    </w:p>
    <w:p>
      <w:pPr>
        <w:pStyle w:val="Normal"/>
        <w:keepNext w:val="true"/>
        <w:keepLines/>
        <w:jc w:val="both"/>
        <w:rPr/>
      </w:pPr>
      <w:r>
        <w:rPr>
          <w:szCs w:val="24"/>
        </w:rPr>
        <w:tab/>
        <w:t xml:space="preserve">Section  12.3   Information Covenants </w:t>
      </w:r>
      <w:r>
        <w:fldChar w:fldCharType="begin"/>
      </w:r>
      <w:r>
        <w:rPr/>
        <w:instrText xml:space="preserve"> TC "</w:instrText>
        <w:tab/>
        <w:instrText xml:space="preserve">Section  12.3   Information Covenants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pPr>
      <w:r>
        <w:rPr>
          <w:szCs w:val="24"/>
        </w:rPr>
        <w:tab/>
        <w:t>(a)</w:t>
        <w:tab/>
      </w:r>
      <w:r>
        <w:rPr>
          <w:szCs w:val="24"/>
          <w:u w:val="single"/>
        </w:rPr>
        <w:t>Notice of Defaults</w:t>
      </w:r>
      <w:r>
        <w:rPr>
          <w:szCs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spacing w:before="0" w:after="240"/>
        <w:jc w:val="both"/>
        <w:rPr/>
      </w:pPr>
      <w:r>
        <w:rPr>
          <w:szCs w:val="24"/>
        </w:rPr>
        <w:tab/>
        <w:t>(b)</w:t>
        <w:tab/>
      </w:r>
      <w:r>
        <w:rPr>
          <w:szCs w:val="24"/>
          <w:u w:val="single"/>
        </w:rPr>
        <w:t>Other Information</w:t>
      </w:r>
      <w:r>
        <w:rPr>
          <w:szCs w:val="24"/>
        </w:rPr>
        <w:t>.  The Trust will promptly deliver (or cause to be delivered) to the Agent for distribution to the Lenders:</w:t>
      </w:r>
    </w:p>
    <w:p>
      <w:pPr>
        <w:pStyle w:val="Normal"/>
        <w:spacing w:before="0" w:after="240"/>
        <w:ind w:start="720" w:end="0"/>
        <w:jc w:val="both"/>
        <w:rPr>
          <w:szCs w:val="24"/>
        </w:rPr>
      </w:pPr>
      <w:r>
        <w:rPr>
          <w:szCs w:val="24"/>
        </w:rPr>
        <w:t>(i)</w:t>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Normal"/>
        <w:keepNext w:val="true"/>
        <w:spacing w:before="0" w:after="240"/>
        <w:ind w:start="720" w:end="0"/>
        <w:jc w:val="both"/>
        <w:rPr>
          <w:szCs w:val="24"/>
        </w:rPr>
      </w:pPr>
      <w:r>
        <w:rPr>
          <w:szCs w:val="24"/>
        </w:rPr>
        <w:t>(ii)</w:t>
        <w:tab/>
        <w:t>details of any occurrence or circumstance which will materially and adversely affect the ability of the Trust to perform any of its material payment obligations under any of the Operative Documents.</w:t>
      </w:r>
    </w:p>
    <w:p>
      <w:pPr>
        <w:pStyle w:val="Normal"/>
        <w:keepNext w:val="true"/>
        <w:keepLines/>
        <w:jc w:val="both"/>
        <w:rPr/>
      </w:pPr>
      <w:r>
        <w:rPr>
          <w:szCs w:val="24"/>
        </w:rPr>
        <w:tab/>
        <w:t xml:space="preserve">Section  12.4   Separateness </w:t>
      </w:r>
      <w:r>
        <w:fldChar w:fldCharType="begin"/>
      </w:r>
      <w:r>
        <w:rPr/>
        <w:instrText xml:space="preserve"> TC "</w:instrText>
        <w:tab/>
        <w:instrText xml:space="preserve">Section  12.4   Separateness " \l 2 </w:instrText>
      </w:r>
      <w:r>
        <w:rPr/>
        <w:fldChar w:fldCharType="separate"/>
      </w:r>
      <w:r>
        <w:rPr/>
      </w:r>
      <w:r>
        <w:rPr/>
        <w:fldChar w:fldCharType="end"/>
      </w:r>
      <w:r>
        <w:rPr>
          <w:szCs w:val="24"/>
        </w:rPr>
        <w:t>.  The Trust covenants and agrees as follows:</w:t>
      </w:r>
    </w:p>
    <w:p>
      <w:pPr>
        <w:pStyle w:val="Normal"/>
        <w:keepNext w:val="true"/>
        <w:keepLines/>
        <w:jc w:val="both"/>
        <w:rPr>
          <w:szCs w:val="24"/>
        </w:rPr>
      </w:pPr>
      <w:r>
        <w:rPr>
          <w:szCs w:val="24"/>
        </w:rPr>
      </w:r>
    </w:p>
    <w:p>
      <w:pPr>
        <w:pStyle w:val="Normal"/>
        <w:spacing w:before="0" w:after="240"/>
        <w:jc w:val="both"/>
        <w:rPr>
          <w:szCs w:val="24"/>
        </w:rPr>
      </w:pPr>
      <w:r>
        <w:rPr>
          <w:szCs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spacing w:before="0" w:after="240"/>
        <w:jc w:val="both"/>
        <w:rPr>
          <w:szCs w:val="24"/>
        </w:rPr>
      </w:pPr>
      <w:r>
        <w:rPr>
          <w:szCs w:val="24"/>
        </w:rPr>
        <w:tab/>
        <w:t>(b)</w:t>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Normal"/>
        <w:spacing w:before="0" w:after="240"/>
        <w:jc w:val="both"/>
        <w:rPr>
          <w:szCs w:val="24"/>
        </w:rPr>
      </w:pPr>
      <w:r>
        <w:rPr>
          <w:szCs w:val="24"/>
        </w:rPr>
        <w:tab/>
        <w:t>(c)</w:t>
        <w:tab/>
        <w:t>The Trust shall not commingle the funds and other assets of the Trust with those of any Affiliate or constituent party, or any Affiliate of any constituent party, or any other Person.</w:t>
      </w:r>
    </w:p>
    <w:p>
      <w:pPr>
        <w:pStyle w:val="Normal"/>
        <w:spacing w:before="0" w:after="240"/>
        <w:jc w:val="both"/>
        <w:rPr>
          <w:szCs w:val="24"/>
        </w:rPr>
      </w:pPr>
      <w:r>
        <w:rPr>
          <w:szCs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spacing w:before="0" w:after="240"/>
        <w:jc w:val="both"/>
        <w:rPr>
          <w:szCs w:val="24"/>
        </w:rPr>
      </w:pPr>
      <w:r>
        <w:rPr>
          <w:szCs w:val="24"/>
        </w:rPr>
        <w:tab/>
        <w:t>(e)</w:t>
        <w:tab/>
        <w:t>The Trust shall not hold itself out to be responsible for the debts or obligations of any other Person.</w:t>
      </w:r>
    </w:p>
    <w:p>
      <w:pPr>
        <w:pStyle w:val="Normal"/>
        <w:keepNext w:val="true"/>
        <w:keepLines/>
        <w:jc w:val="both"/>
        <w:rPr/>
      </w:pPr>
      <w:r>
        <w:rPr>
          <w:szCs w:val="24"/>
        </w:rPr>
        <w:tab/>
        <w:t xml:space="preserve">Section  12.5   Exercise of Put Options; Demand Note </w:t>
      </w:r>
      <w:r>
        <w:fldChar w:fldCharType="begin"/>
      </w:r>
      <w:r>
        <w:rPr/>
        <w:instrText xml:space="preserve"> TC "</w:instrText>
        <w:tab/>
        <w:instrText xml:space="preserve">Section  12.5   Exercise of Put Options; Demand Note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tab/>
      </w:r>
    </w:p>
    <w:p>
      <w:pPr>
        <w:pStyle w:val="Normal"/>
        <w:jc w:val="both"/>
        <w:rPr>
          <w:szCs w:val="24"/>
        </w:rPr>
      </w:pPr>
      <w:r>
        <w:rPr>
          <w:szCs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XIII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EVENTS OF DEFAULT</w:t>
      </w:r>
      <w:r>
        <w:fldChar w:fldCharType="begin"/>
      </w:r>
      <w:r>
        <w:rPr/>
        <w:instrText xml:space="preserve"> TC "ARTICLE XIIIEVENTS OF DEFAULT"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13.1   List of Events </w:t>
      </w:r>
      <w:r>
        <w:fldChar w:fldCharType="begin"/>
      </w:r>
      <w:r>
        <w:rPr/>
        <w:instrText xml:space="preserve"> TC "</w:instrText>
        <w:tab/>
        <w:instrText xml:space="preserve">Section  13.1   List of Events " \l 2 </w:instrText>
      </w:r>
      <w:r>
        <w:rPr/>
        <w:fldChar w:fldCharType="separate"/>
      </w:r>
      <w:r>
        <w:rPr/>
      </w:r>
      <w:r>
        <w:rPr/>
        <w:fldChar w:fldCharType="end"/>
      </w:r>
      <w:r>
        <w:rPr>
          <w:szCs w:val="24"/>
        </w:rPr>
        <w:t>.  Each of the events set out in this Section 13.1 constitutes an Event of Default whether or not the occurrence of the event concerned is outside the control of the Trust or any other Person.</w:t>
      </w:r>
    </w:p>
    <w:p>
      <w:pPr>
        <w:pStyle w:val="Normal"/>
        <w:keepNext w:val="true"/>
        <w:keepLines/>
        <w:jc w:val="both"/>
        <w:rPr>
          <w:szCs w:val="24"/>
        </w:rPr>
      </w:pPr>
      <w:r>
        <w:rPr>
          <w:szCs w:val="24"/>
        </w:rPr>
      </w:r>
    </w:p>
    <w:p>
      <w:pPr>
        <w:pStyle w:val="Normal"/>
        <w:spacing w:before="0" w:after="240"/>
        <w:jc w:val="both"/>
        <w:rPr>
          <w:szCs w:val="24"/>
        </w:rPr>
      </w:pPr>
      <w:r>
        <w:rPr>
          <w:szCs w:val="24"/>
        </w:rPr>
        <w:tab/>
        <w:t>(a)</w:t>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Normal"/>
        <w:spacing w:before="0" w:after="240"/>
        <w:jc w:val="both"/>
        <w:rPr>
          <w:szCs w:val="24"/>
        </w:rPr>
      </w:pPr>
      <w:r>
        <w:rPr>
          <w:szCs w:val="24"/>
        </w:rPr>
        <w:tab/>
        <w:t>(b)</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spacing w:before="0" w:after="240"/>
        <w:jc w:val="both"/>
        <w:rPr>
          <w:szCs w:val="24"/>
        </w:rPr>
      </w:pPr>
      <w:r>
        <w:rPr>
          <w:szCs w:val="24"/>
        </w:rPr>
        <w:tab/>
        <w:t>(c)</w:t>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spacing w:before="0" w:after="240"/>
        <w:jc w:val="both"/>
        <w:rPr>
          <w:szCs w:val="24"/>
        </w:rPr>
      </w:pPr>
      <w:r>
        <w:rPr>
          <w:szCs w:val="24"/>
        </w:rPr>
        <w:tab/>
        <w:t>(d)</w:t>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spacing w:before="0" w:after="240"/>
        <w:jc w:val="both"/>
        <w:rPr>
          <w:szCs w:val="24"/>
        </w:rPr>
      </w:pPr>
      <w:r>
        <w:rPr>
          <w:szCs w:val="24"/>
        </w:rPr>
        <w:tab/>
        <w:t>(e)</w:t>
        <w:tab/>
        <w:t>At any time it is or becomes unlawful under the laws of any applicable jurisdiction for any party to the Finance Documents (other than any Finance Party) to perform any of its material obligations under any Finance Document.</w:t>
      </w:r>
    </w:p>
    <w:p>
      <w:pPr>
        <w:pStyle w:val="Normal"/>
        <w:spacing w:before="0" w:after="240"/>
        <w:jc w:val="both"/>
        <w:rPr>
          <w:szCs w:val="24"/>
        </w:rPr>
      </w:pPr>
      <w:r>
        <w:rPr>
          <w:szCs w:val="24"/>
        </w:rPr>
        <w:tab/>
        <w:t>(f)</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spacing w:before="0" w:after="240"/>
        <w:jc w:val="both"/>
        <w:rPr>
          <w:szCs w:val="24"/>
        </w:rPr>
      </w:pPr>
      <w:r>
        <w:rPr>
          <w:szCs w:val="24"/>
        </w:rPr>
        <w:tab/>
        <w:t>(g)</w:t>
        <w:tab/>
        <w:t>Any party to the Finance Documents (other than any Finance Party) ceases, or threatens to cease, to carry on all or a substantial part of its business.</w:t>
      </w:r>
    </w:p>
    <w:p>
      <w:pPr>
        <w:pStyle w:val="Normal"/>
        <w:spacing w:before="0" w:after="240"/>
        <w:jc w:val="both"/>
        <w:rPr>
          <w:szCs w:val="24"/>
        </w:rPr>
      </w:pPr>
      <w:r>
        <w:rPr>
          <w:szCs w:val="24"/>
        </w:rPr>
        <w:tab/>
        <w:t>(h)</w:t>
        <w:tab/>
        <w:t>There shall occur a designation of an Early Termination Date under (and as defined in) any Total Return Swap Agreement.</w:t>
      </w:r>
    </w:p>
    <w:p>
      <w:pPr>
        <w:pStyle w:val="Normal"/>
        <w:spacing w:before="0" w:after="240"/>
        <w:jc w:val="both"/>
        <w:rPr/>
      </w:pPr>
      <w:r>
        <w:rPr>
          <w:szCs w:val="24"/>
        </w:rPr>
        <w:tab/>
        <w:t>(i)</w:t>
        <w:tab/>
        <w:t xml:space="preserve">An involuntary case or other proceeding shall be commenced against the Trust, any Sponsor, any  Asset LLC or any Transferor (each, a </w:t>
      </w:r>
      <w:r>
        <w:rPr>
          <w:b/>
          <w:bCs/>
          <w:szCs w:val="24"/>
        </w:rPr>
        <w:t>“</w:t>
      </w:r>
      <w:r>
        <w:rPr>
          <w:b/>
          <w:bCs/>
          <w:szCs w:val="24"/>
          <w:u w:val="single"/>
        </w:rPr>
        <w:t>Bankruptcy Party</w:t>
      </w:r>
      <w:r>
        <w:rPr>
          <w:b/>
          <w:bCs/>
          <w:szCs w:val="24"/>
        </w:rPr>
        <w:t>”</w:t>
      </w:r>
      <w:r>
        <w:rPr>
          <w:szCs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spacing w:before="0" w:after="240"/>
        <w:jc w:val="both"/>
        <w:rPr>
          <w:szCs w:val="24"/>
        </w:rPr>
      </w:pPr>
      <w:r>
        <w:rPr>
          <w:szCs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spacing w:before="0" w:after="240"/>
        <w:jc w:val="both"/>
        <w:rPr>
          <w:szCs w:val="24"/>
        </w:rPr>
      </w:pPr>
      <w:r>
        <w:rPr>
          <w:szCs w:val="24"/>
        </w:rPr>
        <w:tab/>
        <w:t>(k)</w:t>
        <w:tab/>
        <w:t>An Event of Default (as defined in the Hawaii I  Facility Agreement) shall occur and be continuing.</w:t>
      </w:r>
    </w:p>
    <w:p>
      <w:pPr>
        <w:pStyle w:val="Normal"/>
        <w:keepNext w:val="true"/>
        <w:keepLines/>
        <w:jc w:val="both"/>
        <w:rPr/>
      </w:pPr>
      <w:r>
        <w:rPr>
          <w:szCs w:val="24"/>
        </w:rPr>
        <w:tab/>
        <w:t xml:space="preserve">Section  13.2   Cancellation and Repayment </w:t>
      </w:r>
      <w:r>
        <w:fldChar w:fldCharType="begin"/>
      </w:r>
      <w:r>
        <w:rPr/>
        <w:instrText xml:space="preserve"> TC "</w:instrText>
        <w:tab/>
        <w:instrText xml:space="preserve">Section  13.2   Cancellation and Repayment " \l 2 </w:instrText>
      </w:r>
      <w:r>
        <w:rPr/>
        <w:fldChar w:fldCharType="separate"/>
      </w:r>
      <w:r>
        <w:rPr/>
      </w:r>
      <w:r>
        <w:rPr/>
        <w:fldChar w:fldCharType="end"/>
      </w:r>
      <w:r>
        <w:rPr>
          <w:szCs w:val="24"/>
        </w:rPr>
        <w:t>.  At any time after the occurrence and during the continuance of an Event of Default the Agent may and, if so instructed by the Majority Lenders, will by notice to the Trust:</w:t>
      </w:r>
    </w:p>
    <w:p>
      <w:pPr>
        <w:pStyle w:val="Normal"/>
        <w:keepLines/>
        <w:jc w:val="both"/>
        <w:rPr>
          <w:szCs w:val="24"/>
        </w:rPr>
      </w:pPr>
      <w:r>
        <w:rPr>
          <w:szCs w:val="24"/>
        </w:rPr>
      </w:r>
    </w:p>
    <w:p>
      <w:pPr>
        <w:pStyle w:val="Normal"/>
        <w:spacing w:before="0" w:after="240"/>
        <w:jc w:val="both"/>
        <w:rPr>
          <w:szCs w:val="24"/>
        </w:rPr>
      </w:pPr>
      <w:r>
        <w:rPr>
          <w:szCs w:val="24"/>
        </w:rPr>
        <w:tab/>
        <w:t>(a)</w:t>
        <w:tab/>
        <w:t>declare such event to constitute an Event of Default; and/or</w:t>
      </w:r>
    </w:p>
    <w:p>
      <w:pPr>
        <w:pStyle w:val="Normal"/>
        <w:keepNext w:val="true"/>
        <w:spacing w:before="0" w:after="240"/>
        <w:jc w:val="both"/>
        <w:rPr/>
      </w:pPr>
      <w:r>
        <w:rPr>
          <w:szCs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Cs w:val="24"/>
          <w:u w:val="single"/>
        </w:rPr>
        <w:t>provided, however</w:t>
      </w:r>
      <w:r>
        <w:rPr>
          <w:szCs w:val="24"/>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keepLines/>
        <w:ind w:start="1440" w:end="1440"/>
        <w:jc w:val="center"/>
        <w:rPr>
          <w:b/>
          <w:bCs/>
          <w:szCs w:val="24"/>
        </w:rPr>
      </w:pPr>
      <w:r>
        <w:rPr>
          <w:b/>
          <w:bCs/>
          <w:szCs w:val="24"/>
        </w:rPr>
        <w:t>ARTICLE XIV</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THE AGENT AND THE OTHER FINANCE PARTIES</w:t>
      </w:r>
      <w:r>
        <w:fldChar w:fldCharType="begin"/>
      </w:r>
      <w:r>
        <w:rPr/>
        <w:instrText xml:space="preserve"> TC "ARTICLE XIVTHE AGENT AND THE OTHER FINANCE PARTIES"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szCs w:val="24"/>
        </w:rPr>
      </w:pPr>
      <w:r>
        <w:rPr>
          <w:szCs w:val="24"/>
        </w:rPr>
        <w:tab/>
        <w:t xml:space="preserve">Section  14.1   Appointment and Duties of the Agent </w:t>
      </w:r>
      <w:r>
        <w:fldChar w:fldCharType="begin"/>
      </w:r>
      <w:r>
        <w:rPr/>
        <w:instrText xml:space="preserve"> TC "</w:instrText>
        <w:tab/>
        <w:instrText xml:space="preserve">Section  14.1   Appointment and Duties of the Agent " \l 2 </w:instrText>
      </w:r>
      <w:r>
        <w:rPr/>
        <w:fldChar w:fldCharType="separate"/>
      </w:r>
      <w:r>
        <w:rPr/>
      </w:r>
      <w:r>
        <w:rPr/>
        <w:fldChar w:fldCharType="end"/>
      </w:r>
    </w:p>
    <w:p>
      <w:pPr>
        <w:pStyle w:val="Normal"/>
        <w:keepNext w:val="true"/>
        <w:keepLines/>
        <w:jc w:val="both"/>
        <w:rPr>
          <w:szCs w:val="24"/>
        </w:rPr>
      </w:pPr>
      <w:r>
        <w:rPr>
          <w:szCs w:val="24"/>
        </w:rPr>
      </w:r>
    </w:p>
    <w:p>
      <w:pPr>
        <w:pStyle w:val="Normal"/>
        <w:spacing w:before="0" w:after="240"/>
        <w:jc w:val="both"/>
        <w:rPr/>
      </w:pPr>
      <w:r>
        <w:rPr>
          <w:szCs w:val="24"/>
        </w:rPr>
        <w:tab/>
        <w:t>(a)</w:t>
        <w:tab/>
        <w:t xml:space="preserve">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w:t>
      </w:r>
      <w:r>
        <w:rPr>
          <w:strike/>
          <w:szCs w:val="24"/>
        </w:rPr>
        <w:t>San Paolo</w:t>
      </w:r>
      <w:r>
        <w:rPr>
          <w:szCs w:val="24"/>
        </w:rPr>
        <w:t xml:space="preserve"> </w:t>
      </w:r>
      <w:r>
        <w:rPr>
          <w:b/>
          <w:bCs/>
          <w:szCs w:val="24"/>
          <w:u w:val="double"/>
        </w:rPr>
        <w:t>SANPAOLO</w:t>
      </w:r>
      <w:r>
        <w:rPr>
          <w:szCs w:val="24"/>
        </w:rPr>
        <w:t xml:space="preserve">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bCs/>
          <w:szCs w:val="24"/>
        </w:rPr>
        <w:t>,</w:t>
      </w:r>
      <w:r>
        <w:rPr>
          <w:szCs w:val="24"/>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spacing w:before="0" w:after="240"/>
        <w:jc w:val="both"/>
        <w:rPr>
          <w:szCs w:val="24"/>
        </w:rPr>
      </w:pPr>
      <w:r>
        <w:rPr>
          <w:szCs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spacing w:before="0" w:after="240"/>
        <w:jc w:val="both"/>
        <w:rPr>
          <w:szCs w:val="24"/>
        </w:rPr>
      </w:pPr>
      <w:r>
        <w:rPr>
          <w:szCs w:val="24"/>
        </w:rPr>
        <w:tab/>
        <w:t>(c)</w:t>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jc w:val="both"/>
        <w:rPr/>
      </w:pPr>
      <w:r>
        <w:rPr>
          <w:szCs w:val="24"/>
        </w:rPr>
        <w:tab/>
        <w:t xml:space="preserve">Section  14.2   Agent’s Duties </w:t>
      </w:r>
      <w:r>
        <w:fldChar w:fldCharType="begin"/>
      </w:r>
      <w:r>
        <w:rPr/>
        <w:instrText xml:space="preserve"> TC "</w:instrText>
        <w:tab/>
        <w:instrText xml:space="preserve">Section  14.2   Agent’s Duties " \l 2 </w:instrText>
      </w:r>
      <w:r>
        <w:rPr/>
        <w:fldChar w:fldCharType="separate"/>
      </w:r>
      <w:r>
        <w:rPr/>
      </w:r>
      <w:r>
        <w:rPr/>
        <w:fldChar w:fldCharType="end"/>
      </w:r>
      <w:r>
        <w:rPr>
          <w:szCs w:val="24"/>
        </w:rPr>
        <w:t>.  The Agent shall:</w:t>
      </w:r>
    </w:p>
    <w:p>
      <w:pPr>
        <w:pStyle w:val="Normal"/>
        <w:keepNext w:val="true"/>
        <w:keepLines/>
        <w:jc w:val="both"/>
        <w:rPr>
          <w:szCs w:val="24"/>
        </w:rPr>
      </w:pPr>
      <w:r>
        <w:rPr>
          <w:szCs w:val="24"/>
        </w:rPr>
      </w:r>
    </w:p>
    <w:p>
      <w:pPr>
        <w:pStyle w:val="Normal"/>
        <w:spacing w:before="0" w:after="240"/>
        <w:jc w:val="both"/>
        <w:rPr>
          <w:szCs w:val="24"/>
        </w:rPr>
      </w:pPr>
      <w:r>
        <w:rPr>
          <w:szCs w:val="24"/>
        </w:rPr>
        <w:tab/>
        <w:t>(a)</w:t>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Normal"/>
        <w:spacing w:before="0" w:after="240"/>
        <w:jc w:val="both"/>
        <w:rPr>
          <w:szCs w:val="24"/>
        </w:rPr>
      </w:pPr>
      <w:r>
        <w:rPr>
          <w:szCs w:val="24"/>
        </w:rPr>
        <w:tab/>
        <w:t>(b)</w:t>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Normal"/>
        <w:spacing w:before="0" w:after="240"/>
        <w:jc w:val="both"/>
        <w:rPr>
          <w:szCs w:val="24"/>
        </w:rPr>
      </w:pPr>
      <w:r>
        <w:rPr>
          <w:szCs w:val="24"/>
        </w:rPr>
        <w:tab/>
        <w:t>(c)</w:t>
        <w:tab/>
        <w:t>have only those duties, obligations and responsibilities expressly specified in the Operative Documents; and</w:t>
      </w:r>
    </w:p>
    <w:p>
      <w:pPr>
        <w:pStyle w:val="Normal"/>
        <w:keepNext w:val="true"/>
        <w:spacing w:before="0" w:after="240"/>
        <w:jc w:val="both"/>
        <w:rPr>
          <w:szCs w:val="24"/>
        </w:rPr>
      </w:pPr>
      <w:r>
        <w:rPr>
          <w:szCs w:val="24"/>
        </w:rPr>
        <w:tab/>
        <w:t>(d)</w:t>
        <w:tab/>
        <w:t>without affecting any other clause hereof, promptly notify the Lenders of the occurrence of any Event of Default or Default of which it becomes aware.</w:t>
      </w:r>
    </w:p>
    <w:p>
      <w:pPr>
        <w:pStyle w:val="Normal"/>
        <w:keepNext w:val="true"/>
        <w:keepLines/>
        <w:jc w:val="both"/>
        <w:rPr/>
      </w:pPr>
      <w:r>
        <w:rPr>
          <w:szCs w:val="24"/>
        </w:rPr>
        <w:tab/>
        <w:t xml:space="preserve">Section  14.3   Agent’s Rights </w:t>
      </w:r>
      <w:r>
        <w:fldChar w:fldCharType="begin"/>
      </w:r>
      <w:r>
        <w:rPr/>
        <w:instrText xml:space="preserve"> TC "</w:instrText>
        <w:tab/>
        <w:instrText xml:space="preserve">Section  14.3   Agent’s Rights " \l 2 </w:instrText>
      </w:r>
      <w:r>
        <w:rPr/>
        <w:fldChar w:fldCharType="separate"/>
      </w:r>
      <w:r>
        <w:rPr/>
      </w:r>
      <w:r>
        <w:rPr/>
        <w:fldChar w:fldCharType="end"/>
      </w:r>
      <w:r>
        <w:rPr>
          <w:szCs w:val="24"/>
        </w:rPr>
        <w:t>.  The Agent may:</w:t>
      </w:r>
    </w:p>
    <w:p>
      <w:pPr>
        <w:pStyle w:val="Normal"/>
        <w:keepNext w:val="true"/>
        <w:keepLines/>
        <w:jc w:val="both"/>
        <w:rPr>
          <w:szCs w:val="24"/>
        </w:rPr>
      </w:pPr>
      <w:r>
        <w:rPr>
          <w:szCs w:val="24"/>
        </w:rPr>
      </w:r>
    </w:p>
    <w:p>
      <w:pPr>
        <w:pStyle w:val="Normal"/>
        <w:spacing w:before="0" w:after="240"/>
        <w:jc w:val="both"/>
        <w:rPr>
          <w:szCs w:val="24"/>
        </w:rPr>
      </w:pPr>
      <w:r>
        <w:rPr>
          <w:szCs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spacing w:before="0" w:after="240"/>
        <w:jc w:val="both"/>
        <w:rPr>
          <w:szCs w:val="24"/>
        </w:rPr>
      </w:pPr>
      <w:r>
        <w:rPr>
          <w:szCs w:val="24"/>
        </w:rPr>
        <w:tab/>
        <w:t>(b)</w:t>
        <w:tab/>
        <w:t>refrain from exercising any right, power or discretion vested in it under the Operative Documents until it has received instructions from the Lenders;</w:t>
      </w:r>
    </w:p>
    <w:p>
      <w:pPr>
        <w:pStyle w:val="Normal"/>
        <w:spacing w:before="0" w:after="240"/>
        <w:jc w:val="both"/>
        <w:rPr>
          <w:szCs w:val="24"/>
        </w:rPr>
      </w:pPr>
      <w:r>
        <w:rPr>
          <w:szCs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spacing w:before="0" w:after="240"/>
        <w:jc w:val="both"/>
        <w:rPr>
          <w:szCs w:val="24"/>
        </w:rPr>
      </w:pPr>
      <w:r>
        <w:rPr>
          <w:szCs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spacing w:before="0" w:after="240"/>
        <w:jc w:val="both"/>
        <w:rPr>
          <w:szCs w:val="24"/>
        </w:rPr>
      </w:pPr>
      <w:r>
        <w:rPr>
          <w:szCs w:val="24"/>
        </w:rPr>
        <w:tab/>
        <w:t>(e)</w:t>
        <w:tab/>
        <w:t>assume that no Event of Default or Default has occurred unless an officer of the Agent while active on the account of the Trust acquires actual knowledge to the contrary;</w:t>
      </w:r>
    </w:p>
    <w:p>
      <w:pPr>
        <w:pStyle w:val="Normal"/>
        <w:spacing w:before="0" w:after="240"/>
        <w:jc w:val="both"/>
        <w:rPr>
          <w:szCs w:val="24"/>
        </w:rPr>
      </w:pPr>
      <w:r>
        <w:rPr>
          <w:szCs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spacing w:before="0" w:after="240"/>
        <w:jc w:val="both"/>
        <w:rPr>
          <w:szCs w:val="24"/>
        </w:rPr>
      </w:pPr>
      <w:r>
        <w:rPr>
          <w:szCs w:val="24"/>
        </w:rPr>
        <w:tab/>
        <w:t>(g)</w:t>
        <w:tab/>
        <w:t>rely on any communication or document believed by it to be genuine and correct and to have been communicated or signed by the Person to whom it purports to be communicated and signed;</w:t>
      </w:r>
    </w:p>
    <w:p>
      <w:pPr>
        <w:pStyle w:val="Normal"/>
        <w:spacing w:before="0" w:after="240"/>
        <w:jc w:val="both"/>
        <w:rPr>
          <w:szCs w:val="24"/>
        </w:rPr>
      </w:pPr>
      <w:r>
        <w:rPr>
          <w:szCs w:val="24"/>
        </w:rPr>
        <w:tab/>
        <w:t>(h)</w:t>
        <w:tab/>
        <w:t>rely as to any matter of fact which might reasonably be expected to be within the knowledge of the Trust on a statement by or on behalf of the Trust;</w:t>
      </w:r>
    </w:p>
    <w:p>
      <w:pPr>
        <w:pStyle w:val="Normal"/>
        <w:spacing w:before="0" w:after="240"/>
        <w:jc w:val="both"/>
        <w:rPr>
          <w:szCs w:val="24"/>
        </w:rPr>
      </w:pPr>
      <w:r>
        <w:rPr>
          <w:szCs w:val="24"/>
        </w:rPr>
        <w:tab/>
        <w:t>(i)</w:t>
        <w:tab/>
        <w:t>obtain and pay for such legal or other expert advice or services as may seem necessary to it or desirable and rely on any such advice;</w:t>
      </w:r>
    </w:p>
    <w:p>
      <w:pPr>
        <w:pStyle w:val="Normal"/>
        <w:spacing w:before="0" w:after="240"/>
        <w:jc w:val="both"/>
        <w:rPr>
          <w:szCs w:val="24"/>
        </w:rPr>
      </w:pPr>
      <w:r>
        <w:rPr>
          <w:szCs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spacing w:before="0" w:after="240"/>
        <w:jc w:val="both"/>
        <w:rPr>
          <w:szCs w:val="24"/>
        </w:rPr>
      </w:pPr>
      <w:r>
        <w:rPr>
          <w:szCs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jc w:val="both"/>
        <w:rPr/>
      </w:pPr>
      <w:r>
        <w:rPr>
          <w:szCs w:val="24"/>
        </w:rPr>
        <w:tab/>
        <w:t xml:space="preserve">Section  14.4   Exoneration of Agent, Syndication Agent, Documentation Agent, Arranger and Co-Arrangers </w:t>
      </w:r>
      <w:r>
        <w:fldChar w:fldCharType="begin"/>
      </w:r>
      <w:r>
        <w:rPr/>
        <w:instrText xml:space="preserve"> TC "</w:instrText>
        <w:tab/>
        <w:instrText xml:space="preserve">Section  14.4   Exoneration of Agent, Syndication Agent, Documentation Agent, Arranger and Co-Arrangers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tab/>
      </w:r>
    </w:p>
    <w:p>
      <w:pPr>
        <w:pStyle w:val="Normal"/>
        <w:jc w:val="both"/>
        <w:rPr>
          <w:szCs w:val="24"/>
        </w:rPr>
      </w:pPr>
      <w:r>
        <w:rPr>
          <w:szCs w:val="24"/>
        </w:rPr>
        <w:tab/>
        <w:t>None of the Agent, Syndication Agent, Arranger, either Co-Arranger or the Documentation Agent or any of their respective personnel or agents:</w:t>
      </w:r>
    </w:p>
    <w:p>
      <w:pPr>
        <w:pStyle w:val="Normal"/>
        <w:jc w:val="both"/>
        <w:rPr>
          <w:szCs w:val="24"/>
        </w:rPr>
      </w:pPr>
      <w:r>
        <w:rPr>
          <w:szCs w:val="24"/>
        </w:rPr>
      </w:r>
    </w:p>
    <w:p>
      <w:pPr>
        <w:pStyle w:val="Normal"/>
        <w:spacing w:before="0" w:after="240"/>
        <w:jc w:val="both"/>
        <w:rPr>
          <w:szCs w:val="24"/>
        </w:rPr>
      </w:pPr>
      <w:r>
        <w:rPr>
          <w:szCs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spacing w:before="0" w:after="240"/>
        <w:jc w:val="both"/>
        <w:rPr>
          <w:szCs w:val="24"/>
        </w:rPr>
      </w:pPr>
      <w:r>
        <w:rPr>
          <w:szCs w:val="24"/>
        </w:rPr>
        <w:tab/>
        <w:t>(b)</w:t>
        <w:tab/>
        <w:t>shall be responsible for the execution, delivery, validity, legality, adequacy, enforceability or admissibility in evidence of any of the Operative Documents;</w:t>
      </w:r>
    </w:p>
    <w:p>
      <w:pPr>
        <w:pStyle w:val="Normal"/>
        <w:spacing w:before="0" w:after="240"/>
        <w:jc w:val="both"/>
        <w:rPr>
          <w:szCs w:val="24"/>
        </w:rPr>
      </w:pPr>
      <w:r>
        <w:rPr>
          <w:szCs w:val="24"/>
        </w:rPr>
        <w:tab/>
        <w:t>(c)</w:t>
        <w:tab/>
        <w:t>shall be obliged to enquire as to the occurrence or continuation of an Event of Default or a Default;</w:t>
      </w:r>
    </w:p>
    <w:p>
      <w:pPr>
        <w:pStyle w:val="Normal"/>
        <w:spacing w:before="0" w:after="240"/>
        <w:jc w:val="both"/>
        <w:rPr>
          <w:szCs w:val="24"/>
        </w:rPr>
      </w:pPr>
      <w:r>
        <w:rPr>
          <w:szCs w:val="24"/>
        </w:rPr>
        <w:tab/>
        <w:t>(d)</w:t>
        <w:tab/>
        <w:t>shall be responsible for any failure of the Trust, Enron, or any Lender duly and punctually to observe and perform their respective obligations under the Operative Documents;</w:t>
      </w:r>
    </w:p>
    <w:p>
      <w:pPr>
        <w:pStyle w:val="Normal"/>
        <w:spacing w:before="0" w:after="240"/>
        <w:jc w:val="both"/>
        <w:rPr>
          <w:szCs w:val="24"/>
        </w:rPr>
      </w:pPr>
      <w:r>
        <w:rPr>
          <w:szCs w:val="24"/>
        </w:rPr>
        <w:tab/>
        <w:t>(e)</w:t>
        <w:tab/>
        <w:t>shall be responsible for the consequences of relying on the advice of any professional advisers selected by any of them in connection with the Operative Documents;</w:t>
      </w:r>
    </w:p>
    <w:p>
      <w:pPr>
        <w:pStyle w:val="Normal"/>
        <w:spacing w:before="0" w:after="240"/>
        <w:jc w:val="both"/>
        <w:rPr>
          <w:szCs w:val="24"/>
        </w:rPr>
      </w:pPr>
      <w:r>
        <w:rPr>
          <w:szCs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spacing w:before="0" w:after="240"/>
        <w:jc w:val="both"/>
        <w:rPr>
          <w:szCs w:val="24"/>
        </w:rPr>
      </w:pPr>
      <w:r>
        <w:rPr>
          <w:szCs w:val="24"/>
        </w:rPr>
        <w:tab/>
        <w:t>(g)</w:t>
        <w:tab/>
        <w:t>shall be liable for anything done or not done by it under or in connection with the Operative Documents save in the case of its own gross negligence or willful misconduct.</w:t>
      </w:r>
    </w:p>
    <w:p>
      <w:pPr>
        <w:pStyle w:val="Normal"/>
        <w:jc w:val="both"/>
        <w:rPr>
          <w:szCs w:val="24"/>
        </w:rPr>
      </w:pPr>
      <w:r>
        <w:rPr>
          <w:szCs w:val="24"/>
        </w:rPr>
        <w:t>Each Lender acknowledges that an Affiliate or Affiliates of the Agent may be the Certificate Holder of Certificates issued by the Trust.</w:t>
      </w:r>
    </w:p>
    <w:p>
      <w:pPr>
        <w:pStyle w:val="Normal"/>
        <w:keepNext w:val="true"/>
        <w:jc w:val="both"/>
        <w:rPr>
          <w:szCs w:val="24"/>
        </w:rPr>
      </w:pPr>
      <w:r>
        <w:rPr>
          <w:szCs w:val="24"/>
        </w:rPr>
      </w:r>
    </w:p>
    <w:p>
      <w:pPr>
        <w:pStyle w:val="Normal"/>
        <w:keepNext w:val="true"/>
        <w:keepLines/>
        <w:jc w:val="both"/>
        <w:rPr/>
      </w:pPr>
      <w:r>
        <w:rPr>
          <w:szCs w:val="24"/>
        </w:rPr>
        <w:tab/>
        <w:t xml:space="preserve">Section  14.5   The Agent, the Co-Arrangers, the Syndication Agent, the Arranger and the Documentation Agent Individually </w:t>
      </w:r>
      <w:r>
        <w:fldChar w:fldCharType="begin"/>
      </w:r>
      <w:r>
        <w:rPr/>
        <w:instrText xml:space="preserve"> TC "</w:instrText>
        <w:tab/>
        <w:instrText xml:space="preserve">Section  14.5   The Agent, the Co-Arrangers, the Syndication Agent, the Arranger and the Documentation Agent Individually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szCs w:val="24"/>
        </w:rPr>
      </w:pPr>
      <w:r>
        <w:rPr>
          <w:szCs w:val="24"/>
        </w:rPr>
        <w:tab/>
        <w:t>(a)</w:t>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Normal"/>
        <w:spacing w:before="0" w:after="240"/>
        <w:jc w:val="both"/>
        <w:rPr>
          <w:szCs w:val="24"/>
        </w:rPr>
      </w:pPr>
      <w:r>
        <w:rPr>
          <w:szCs w:val="24"/>
        </w:rPr>
        <w:tab/>
        <w:t>(b)</w:t>
        <w:tab/>
        <w:t>Each of the Agent, the Co-Arrangers, the Syndication Agent, the Arranger and the Documentation Agent may:</w:t>
      </w:r>
    </w:p>
    <w:p>
      <w:pPr>
        <w:pStyle w:val="Normal"/>
        <w:spacing w:before="0" w:after="240"/>
        <w:ind w:start="720" w:end="0"/>
        <w:jc w:val="both"/>
        <w:rPr>
          <w:szCs w:val="24"/>
        </w:rPr>
      </w:pPr>
      <w:r>
        <w:rPr>
          <w:szCs w:val="24"/>
        </w:rPr>
        <w:t>(i)</w:t>
        <w:tab/>
        <w:t>retain for its own benefit (and without liability to account) any fee or other sum receivable by it for its own account; and</w:t>
      </w:r>
    </w:p>
    <w:p>
      <w:pPr>
        <w:pStyle w:val="Normal"/>
        <w:keepNext w:val="true"/>
        <w:spacing w:before="0" w:after="240"/>
        <w:ind w:start="720" w:end="0"/>
        <w:jc w:val="both"/>
        <w:rPr>
          <w:szCs w:val="24"/>
        </w:rPr>
      </w:pPr>
      <w:r>
        <w:rPr>
          <w:szCs w:val="24"/>
        </w:rPr>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jc w:val="both"/>
        <w:rPr/>
      </w:pPr>
      <w:r>
        <w:rPr>
          <w:szCs w:val="24"/>
        </w:rPr>
        <w:tab/>
        <w:t xml:space="preserve">Section  14.6   Communications and Information </w:t>
      </w:r>
      <w:r>
        <w:fldChar w:fldCharType="begin"/>
      </w:r>
      <w:r>
        <w:rPr/>
        <w:instrText xml:space="preserve"> TC "</w:instrText>
        <w:tab/>
        <w:instrText xml:space="preserve">Section  14.6   Communications and Information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szCs w:val="24"/>
        </w:rPr>
      </w:pPr>
      <w:r>
        <w:rPr>
          <w:szCs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keepNext w:val="true"/>
        <w:spacing w:before="0" w:after="240"/>
        <w:jc w:val="both"/>
        <w:rPr>
          <w:szCs w:val="24"/>
        </w:rPr>
      </w:pPr>
      <w:r>
        <w:rPr>
          <w:szCs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jc w:val="both"/>
        <w:rPr/>
      </w:pPr>
      <w:r>
        <w:rPr>
          <w:szCs w:val="24"/>
        </w:rPr>
        <w:tab/>
        <w:t xml:space="preserve">Section  14.7   Non-Reliance on Agent, Co-Arrangers, Syndication Agent, Arranger or Documentation Agent </w:t>
      </w:r>
      <w:r>
        <w:fldChar w:fldCharType="begin"/>
      </w:r>
      <w:r>
        <w:rPr/>
        <w:instrText xml:space="preserve"> TC "</w:instrText>
        <w:tab/>
        <w:instrText xml:space="preserve">Section  14.7   Non-Reliance on Agent, Co-Arrangers, Syndication Agent, Arranger or Documentation Agent " \l 2 </w:instrText>
      </w:r>
      <w:r>
        <w:rPr/>
        <w:fldChar w:fldCharType="separate"/>
      </w:r>
      <w:r>
        <w:rPr/>
      </w:r>
      <w:r>
        <w:rPr/>
        <w:fldChar w:fldCharType="end"/>
      </w:r>
      <w:r>
        <w:rPr>
          <w:szCs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Normal"/>
        <w:spacing w:before="0" w:after="240"/>
        <w:jc w:val="both"/>
        <w:rPr>
          <w:szCs w:val="24"/>
        </w:rPr>
      </w:pPr>
      <w:r>
        <w:rPr>
          <w:szCs w:val="24"/>
        </w:rPr>
        <w:tab/>
        <w:t>(a)</w:t>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Normal"/>
        <w:spacing w:before="0" w:after="240"/>
        <w:jc w:val="both"/>
        <w:rPr>
          <w:szCs w:val="24"/>
        </w:rPr>
      </w:pPr>
      <w:r>
        <w:rPr>
          <w:szCs w:val="24"/>
        </w:rPr>
        <w:tab/>
        <w:t>(b)</w:t>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Normal"/>
        <w:keepNext w:val="true"/>
        <w:spacing w:before="0" w:after="240"/>
        <w:jc w:val="both"/>
        <w:rPr>
          <w:szCs w:val="24"/>
        </w:rPr>
      </w:pPr>
      <w:r>
        <w:rPr>
          <w:szCs w:val="24"/>
        </w:rPr>
        <w:tab/>
        <w:t>(c)</w:t>
        <w:tab/>
        <w:t>to assess or keep under review the business, operations, financial condition, creditworthiness, status or affairs of the Trust, the Asset LLCs, the Transferors, the Sponsor, and Enron.</w:t>
      </w:r>
    </w:p>
    <w:p>
      <w:pPr>
        <w:pStyle w:val="Normal"/>
        <w:keepNext w:val="true"/>
        <w:keepLines/>
        <w:jc w:val="both"/>
        <w:rPr/>
      </w:pPr>
      <w:r>
        <w:rPr>
          <w:szCs w:val="24"/>
        </w:rPr>
        <w:tab/>
        <w:t xml:space="preserve">Section  14.8   Indemnity to Agent, Syndication Agent, Arranger, Co-Arrangers and Documentation Agent </w:t>
      </w:r>
      <w:r>
        <w:fldChar w:fldCharType="begin"/>
      </w:r>
      <w:r>
        <w:rPr/>
        <w:instrText xml:space="preserve"> TC "</w:instrText>
        <w:tab/>
        <w:instrText xml:space="preserve">Section  14.8   Indemnity to Agent, Syndication Agent, Arranger, Co-Arrangers and Documentation Agent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pPr>
      <w:r>
        <w:rPr>
          <w:szCs w:val="24"/>
        </w:rPr>
        <w:tab/>
        <w:t>(a)</w:t>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bCs/>
          <w:szCs w:val="24"/>
        </w:rPr>
        <w:t>“</w:t>
      </w:r>
      <w:r>
        <w:rPr>
          <w:b/>
          <w:bCs/>
          <w:szCs w:val="24"/>
          <w:u w:val="single"/>
        </w:rPr>
        <w:t>Agency Indemnitees</w:t>
      </w:r>
      <w:r>
        <w:rPr>
          <w:b/>
          <w:bCs/>
          <w:szCs w:val="24"/>
        </w:rPr>
        <w:t>”</w:t>
      </w:r>
      <w:r>
        <w:rPr>
          <w:szCs w:val="24"/>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spacing w:before="0" w:after="240"/>
        <w:jc w:val="both"/>
        <w:rPr>
          <w:szCs w:val="24"/>
        </w:rPr>
      </w:pPr>
      <w:r>
        <w:rPr>
          <w:szCs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jc w:val="both"/>
        <w:rPr/>
      </w:pPr>
      <w:r>
        <w:rPr>
          <w:szCs w:val="24"/>
        </w:rPr>
        <w:tab/>
        <w:t xml:space="preserve">Section  14.9   Termination and Resignation of Agency; Appointment of Successor </w:t>
      </w:r>
      <w:r>
        <w:fldChar w:fldCharType="begin"/>
      </w:r>
      <w:r>
        <w:rPr/>
        <w:instrText xml:space="preserve"> TC "</w:instrText>
        <w:tab/>
        <w:instrText xml:space="preserve">Section  14.9   Termination and Resignation of Agency; Appointment of Successor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keepLines/>
        <w:spacing w:before="0" w:after="240"/>
        <w:jc w:val="both"/>
        <w:rPr>
          <w:szCs w:val="24"/>
        </w:rPr>
      </w:pPr>
      <w:r>
        <w:rPr>
          <w:szCs w:val="24"/>
        </w:rPr>
        <w:tab/>
        <w:t>(a)</w:t>
        <w:tab/>
        <w:t>The Agent may resign its appointment at any time by giving notice to the Lenders and the Trust.</w:t>
      </w:r>
    </w:p>
    <w:p>
      <w:pPr>
        <w:pStyle w:val="Normal"/>
        <w:spacing w:before="0" w:after="240"/>
        <w:jc w:val="both"/>
        <w:rPr>
          <w:szCs w:val="24"/>
        </w:rPr>
      </w:pPr>
      <w:r>
        <w:rPr>
          <w:szCs w:val="24"/>
        </w:rPr>
        <w:tab/>
        <w:t>(b)</w:t>
        <w:tab/>
        <w:t>A successor Agent shall be selected:</w:t>
      </w:r>
    </w:p>
    <w:p>
      <w:pPr>
        <w:pStyle w:val="Normal"/>
        <w:spacing w:before="0" w:after="240"/>
        <w:ind w:start="720" w:end="0"/>
        <w:jc w:val="both"/>
        <w:rPr>
          <w:szCs w:val="24"/>
        </w:rPr>
      </w:pPr>
      <w:r>
        <w:rPr>
          <w:szCs w:val="24"/>
        </w:rPr>
        <w:t>(i)</w:t>
        <w:tab/>
        <w:t>by the retiring Agent with the consent of the Trust (which consent will not be unreasonably withheld) nominating one of its Affiliates as successor Agent in its notice of resignation; or</w:t>
      </w:r>
    </w:p>
    <w:p>
      <w:pPr>
        <w:pStyle w:val="Normal"/>
        <w:spacing w:before="0" w:after="240"/>
        <w:ind w:start="720" w:end="0"/>
        <w:jc w:val="both"/>
        <w:rPr>
          <w:szCs w:val="24"/>
        </w:rPr>
      </w:pPr>
      <w:r>
        <w:rPr>
          <w:szCs w:val="24"/>
        </w:rPr>
        <w:t>(ii)</w:t>
        <w:tab/>
        <w:t>if the retiring Agent makes no such nomination, by the Majority Lenders with the consent of the Trust (which consent will not be unreasonably withheld); or</w:t>
      </w:r>
    </w:p>
    <w:p>
      <w:pPr>
        <w:pStyle w:val="Normal"/>
        <w:spacing w:before="0" w:after="240"/>
        <w:ind w:start="720" w:end="0"/>
        <w:jc w:val="both"/>
        <w:rPr>
          <w:szCs w:val="24"/>
        </w:rPr>
      </w:pPr>
      <w:r>
        <w:rPr>
          <w:szCs w:val="24"/>
        </w:rPr>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spacing w:before="0" w:after="240"/>
        <w:jc w:val="both"/>
        <w:rPr>
          <w:szCs w:val="24"/>
        </w:rPr>
      </w:pPr>
      <w:r>
        <w:rPr>
          <w:szCs w:val="24"/>
        </w:rPr>
        <w:tab/>
        <w:t>(c)</w:t>
        <w:tab/>
        <w:t>The resignation of the retiring Agent and the appointment of the successor Agent will only become effective upon the successor Agent accepting its appointment as Agent in writing at which time:</w:t>
      </w:r>
    </w:p>
    <w:p>
      <w:pPr>
        <w:pStyle w:val="Normal"/>
        <w:spacing w:before="0" w:after="240"/>
        <w:ind w:start="720" w:end="0"/>
        <w:jc w:val="both"/>
        <w:rPr>
          <w:szCs w:val="24"/>
        </w:rPr>
      </w:pPr>
      <w:r>
        <w:rPr>
          <w:szCs w:val="24"/>
        </w:rPr>
        <w:t>(i)</w:t>
        <w:tab/>
        <w:t>the successor Agent will become bound by all the obligations of the Agent and become entitled to all the rights, privileges, powers, authorities and discretions of the Agent hereunder;</w:t>
      </w:r>
    </w:p>
    <w:p>
      <w:pPr>
        <w:pStyle w:val="Normal"/>
        <w:spacing w:before="0" w:after="240"/>
        <w:ind w:start="720" w:end="0"/>
        <w:jc w:val="both"/>
        <w:rPr>
          <w:szCs w:val="24"/>
        </w:rPr>
      </w:pPr>
      <w:r>
        <w:rPr>
          <w:szCs w:val="24"/>
        </w:rPr>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spacing w:before="0" w:after="240"/>
        <w:ind w:start="720" w:end="0"/>
        <w:jc w:val="both"/>
        <w:rPr>
          <w:szCs w:val="24"/>
        </w:rPr>
      </w:pPr>
      <w:r>
        <w:rPr>
          <w:szCs w:val="24"/>
        </w:rPr>
        <w:t>(iii)</w:t>
        <w:tab/>
        <w:t>the retiring Agent will be discharged from any further liability or obligation under or in connection with the Operative Documents.</w:t>
      </w:r>
    </w:p>
    <w:p>
      <w:pPr>
        <w:pStyle w:val="Normal"/>
        <w:spacing w:before="0" w:after="240"/>
        <w:jc w:val="both"/>
        <w:rPr>
          <w:szCs w:val="24"/>
        </w:rPr>
      </w:pPr>
      <w:r>
        <w:rPr>
          <w:szCs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spacing w:before="0" w:after="240"/>
        <w:jc w:val="both"/>
        <w:rPr>
          <w:szCs w:val="24"/>
        </w:rPr>
      </w:pPr>
      <w:r>
        <w:rPr>
          <w:szCs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jc w:val="both"/>
        <w:rPr/>
      </w:pPr>
      <w:r>
        <w:rPr>
          <w:szCs w:val="24"/>
        </w:rPr>
        <w:tab/>
        <w:t xml:space="preserve">Section  14.10   Payments to Finance Parties </w:t>
      </w:r>
      <w:r>
        <w:fldChar w:fldCharType="begin"/>
      </w:r>
      <w:r>
        <w:rPr/>
        <w:instrText xml:space="preserve"> TC "</w:instrText>
        <w:tab/>
        <w:instrText xml:space="preserve">Section  14.10   Payments to Finance Parties " \l 2 </w:instrText>
      </w:r>
      <w:r>
        <w:rPr/>
        <w:fldChar w:fldCharType="separate"/>
      </w:r>
      <w:r>
        <w:rPr/>
      </w:r>
      <w:r>
        <w:rPr/>
        <w:fldChar w:fldCharType="end"/>
      </w:r>
      <w:r>
        <w:rPr>
          <w:szCs w:val="24"/>
        </w:rPr>
        <w:t xml:space="preserve">.  </w:t>
      </w:r>
    </w:p>
    <w:p>
      <w:pPr>
        <w:pStyle w:val="Normal"/>
        <w:keepNext w:val="true"/>
        <w:keepLines/>
        <w:jc w:val="both"/>
        <w:rPr>
          <w:szCs w:val="24"/>
        </w:rPr>
      </w:pPr>
      <w:r>
        <w:rPr>
          <w:szCs w:val="24"/>
        </w:rPr>
      </w:r>
    </w:p>
    <w:p>
      <w:pPr>
        <w:pStyle w:val="Normal"/>
        <w:spacing w:before="0" w:after="240"/>
        <w:jc w:val="both"/>
        <w:rPr>
          <w:szCs w:val="24"/>
        </w:rPr>
      </w:pPr>
      <w:r>
        <w:rPr>
          <w:szCs w:val="24"/>
        </w:rPr>
        <w:tab/>
        <w:t>(a)</w:t>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Normal"/>
        <w:keepNext w:val="true"/>
        <w:spacing w:before="0" w:after="240"/>
        <w:jc w:val="both"/>
        <w:rPr>
          <w:szCs w:val="24"/>
        </w:rPr>
      </w:pPr>
      <w:r>
        <w:rPr>
          <w:szCs w:val="24"/>
        </w:rPr>
        <w:tab/>
        <w:t>(b)</w:t>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jc w:val="both"/>
        <w:rPr/>
      </w:pPr>
      <w:r>
        <w:rPr>
          <w:szCs w:val="24"/>
        </w:rPr>
        <w:tab/>
        <w:t xml:space="preserve">Section  14.11   Change of Office of Agent or Arranger </w:t>
      </w:r>
      <w:r>
        <w:fldChar w:fldCharType="begin"/>
      </w:r>
      <w:r>
        <w:rPr/>
        <w:instrText xml:space="preserve"> TC "</w:instrText>
        <w:tab/>
        <w:instrText xml:space="preserve">Section  14.11   Change of Office of Agent or Arranger " \l 2 </w:instrText>
      </w:r>
      <w:r>
        <w:rPr/>
        <w:fldChar w:fldCharType="separate"/>
      </w:r>
      <w:r>
        <w:rPr/>
      </w:r>
      <w:r>
        <w:rPr/>
        <w:fldChar w:fldCharType="end"/>
      </w:r>
      <w:r>
        <w:rPr>
          <w:szCs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jc w:val="both"/>
        <w:rPr>
          <w:szCs w:val="24"/>
        </w:rPr>
      </w:pPr>
      <w:r>
        <w:rPr>
          <w:szCs w:val="24"/>
        </w:rPr>
      </w:r>
    </w:p>
    <w:p>
      <w:pPr>
        <w:pStyle w:val="Normal"/>
        <w:jc w:val="both"/>
        <w:rPr/>
      </w:pPr>
      <w:r>
        <w:rPr>
          <w:szCs w:val="24"/>
        </w:rPr>
        <w:tab/>
        <w:t xml:space="preserve">Section  14.12   The Co-Arrangers, Syndication Agent, Arranger and Documentation Agent </w:t>
      </w:r>
      <w:r>
        <w:fldChar w:fldCharType="begin"/>
      </w:r>
      <w:r>
        <w:rPr/>
        <w:instrText xml:space="preserve"> TC "</w:instrText>
        <w:tab/>
        <w:instrText xml:space="preserve">Section  14.12   The Co-Arrangers, Syndication Agent, Arranger and Documentation Agent " \l 2 </w:instrText>
      </w:r>
      <w:r>
        <w:rPr/>
        <w:fldChar w:fldCharType="separate"/>
      </w:r>
      <w:r>
        <w:rPr/>
      </w:r>
      <w:r>
        <w:rPr/>
        <w:fldChar w:fldCharType="end"/>
      </w:r>
      <w:r>
        <w:rPr>
          <w:szCs w:val="24"/>
        </w:rPr>
        <w:t xml:space="preserve">.  First Union National Bank and </w:t>
      </w:r>
      <w:r>
        <w:rPr>
          <w:strike/>
          <w:szCs w:val="24"/>
        </w:rPr>
        <w:t>San Paolo</w:t>
      </w:r>
      <w:r>
        <w:rPr>
          <w:szCs w:val="24"/>
        </w:rPr>
        <w:t xml:space="preserve"> </w:t>
      </w:r>
      <w:r>
        <w:rPr>
          <w:b/>
          <w:bCs/>
          <w:szCs w:val="24"/>
          <w:u w:val="double"/>
        </w:rPr>
        <w:t>SANPAOLO</w:t>
      </w:r>
      <w:r>
        <w:rPr>
          <w:szCs w:val="24"/>
        </w:rPr>
        <w:t xml:space="preserve">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XV</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EVIDENCE OF INDEBTEDNESS</w:t>
      </w:r>
      <w:r>
        <w:fldChar w:fldCharType="begin"/>
      </w:r>
      <w:r>
        <w:rPr/>
        <w:instrText xml:space="preserve"> TC "ARTICLE XVEVIDENCE OF INDEBTEDNESS"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iCs/>
          <w:szCs w:val="24"/>
        </w:rPr>
        <w:t>prima facie</w:t>
      </w:r>
      <w:r>
        <w:rPr>
          <w:szCs w:val="24"/>
        </w:rPr>
        <w:t xml:space="preserve"> evidence of the amount so due.</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XVI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APPLICATION OF MONEYS</w:t>
      </w:r>
      <w:r>
        <w:fldChar w:fldCharType="begin"/>
      </w:r>
      <w:r>
        <w:rPr/>
        <w:instrText xml:space="preserve"> TC "ARTICLE XVIAPPLICATION OF MONEYS"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pPr>
      <w:r>
        <w:rPr>
          <w:szCs w:val="24"/>
        </w:rPr>
        <w:tab/>
        <w:t xml:space="preserve">Section  16.1   Priority of Payments </w:t>
      </w:r>
      <w:r>
        <w:fldChar w:fldCharType="begin"/>
      </w:r>
      <w:r>
        <w:rPr/>
        <w:instrText xml:space="preserve"> TC "</w:instrText>
        <w:tab/>
        <w:instrText xml:space="preserve">Section  16.1   Priority of Payments " \l 2 </w:instrText>
      </w:r>
      <w:r>
        <w:rPr/>
        <w:fldChar w:fldCharType="separate"/>
      </w:r>
      <w:r>
        <w:rPr/>
      </w:r>
      <w:r>
        <w:rPr/>
        <w:fldChar w:fldCharType="end"/>
      </w:r>
      <w:r>
        <w:rPr>
          <w:szCs w:val="24"/>
        </w:rPr>
        <w:t>.  If any sum paid or recovered in respect of the liabilities of the Trust under any of  the Finance Documents is less than the amount then due, the Agent shall apply that sum in the following order:</w:t>
      </w:r>
    </w:p>
    <w:p>
      <w:pPr>
        <w:pStyle w:val="Normal"/>
        <w:keepLines/>
        <w:jc w:val="both"/>
        <w:rPr>
          <w:szCs w:val="24"/>
        </w:rPr>
      </w:pPr>
      <w:r>
        <w:rPr>
          <w:szCs w:val="24"/>
        </w:rPr>
      </w:r>
    </w:p>
    <w:p>
      <w:pPr>
        <w:pStyle w:val="Normal"/>
        <w:spacing w:before="0" w:after="240"/>
        <w:jc w:val="both"/>
        <w:rPr>
          <w:szCs w:val="24"/>
        </w:rPr>
      </w:pPr>
      <w:r>
        <w:rPr>
          <w:szCs w:val="24"/>
        </w:rPr>
        <w:tab/>
        <w:t>(a)</w:t>
        <w:tab/>
        <w:t>first, to any unpaid fees and reimbursement of unpaid expenses of the Agent;</w:t>
      </w:r>
    </w:p>
    <w:p>
      <w:pPr>
        <w:pStyle w:val="Normal"/>
        <w:spacing w:before="0" w:after="240"/>
        <w:jc w:val="both"/>
        <w:rPr>
          <w:szCs w:val="24"/>
        </w:rPr>
      </w:pPr>
      <w:r>
        <w:rPr>
          <w:szCs w:val="24"/>
        </w:rPr>
        <w:tab/>
        <w:t>(b)</w:t>
        <w:tab/>
        <w:t>second, to any unpaid fees and reimbursement of unpaid expenses of the  Lenders;</w:t>
      </w:r>
    </w:p>
    <w:p>
      <w:pPr>
        <w:pStyle w:val="Normal"/>
        <w:spacing w:before="0" w:after="240"/>
        <w:jc w:val="both"/>
        <w:rPr>
          <w:szCs w:val="24"/>
        </w:rPr>
      </w:pPr>
      <w:r>
        <w:rPr>
          <w:szCs w:val="24"/>
        </w:rPr>
        <w:tab/>
        <w:t>(c)</w:t>
        <w:tab/>
        <w:t>third, to unpaid interest on the Notes;</w:t>
      </w:r>
    </w:p>
    <w:p>
      <w:pPr>
        <w:pStyle w:val="Normal"/>
        <w:spacing w:before="0" w:after="240"/>
        <w:jc w:val="both"/>
        <w:rPr>
          <w:szCs w:val="24"/>
        </w:rPr>
      </w:pPr>
      <w:r>
        <w:rPr>
          <w:szCs w:val="24"/>
        </w:rPr>
        <w:tab/>
        <w:t>(d)</w:t>
        <w:tab/>
        <w:t>fourth, to unpaid principal on the Notes; and</w:t>
      </w:r>
    </w:p>
    <w:p>
      <w:pPr>
        <w:pStyle w:val="Normal"/>
        <w:spacing w:before="0" w:after="240"/>
        <w:jc w:val="both"/>
        <w:rPr>
          <w:szCs w:val="24"/>
        </w:rPr>
      </w:pPr>
      <w:r>
        <w:rPr>
          <w:szCs w:val="24"/>
        </w:rPr>
        <w:tab/>
        <w:t>(e)</w:t>
        <w:tab/>
        <w:t>last, to other amounts due under the Finance Documents;</w:t>
      </w:r>
    </w:p>
    <w:p>
      <w:pPr>
        <w:pStyle w:val="Normal"/>
        <w:jc w:val="both"/>
        <w:rPr/>
      </w:pPr>
      <w:r>
        <w:rPr>
          <w:szCs w:val="24"/>
        </w:rPr>
        <w:t xml:space="preserve">in each case </w:t>
      </w:r>
      <w:r>
        <w:rPr>
          <w:szCs w:val="24"/>
          <w:u w:val="single"/>
        </w:rPr>
        <w:t>pro</w:t>
      </w:r>
      <w:r>
        <w:rPr>
          <w:szCs w:val="24"/>
        </w:rPr>
        <w:t xml:space="preserve"> </w:t>
      </w:r>
      <w:r>
        <w:rPr>
          <w:szCs w:val="24"/>
          <w:u w:val="single"/>
        </w:rPr>
        <w:t>rata</w:t>
      </w:r>
      <w:r>
        <w:rPr>
          <w:szCs w:val="24"/>
        </w:rPr>
        <w:t xml:space="preserve"> to the outstanding amounts owing to the Finance Parties under the Finance Documents taking into account any applications under this Article XVI.</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XVII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PRO RATA PAYMENTS</w:t>
      </w:r>
      <w:r>
        <w:fldChar w:fldCharType="begin"/>
      </w:r>
      <w:r>
        <w:rPr/>
        <w:instrText xml:space="preserve"> TC "ARTICLE XVIIPRO RATA PAYMENTS" \l 1 </w:instrText>
      </w:r>
      <w:r>
        <w:rPr/>
        <w:fldChar w:fldCharType="separate"/>
      </w:r>
      <w:r>
        <w:rPr/>
      </w:r>
      <w:r>
        <w:rPr/>
        <w:fldChar w:fldCharType="end"/>
      </w:r>
    </w:p>
    <w:p>
      <w:pPr>
        <w:pStyle w:val="Normal"/>
        <w:keepNext w:val="true"/>
        <w:keepLines/>
        <w:jc w:val="both"/>
        <w:rPr>
          <w:szCs w:val="24"/>
        </w:rPr>
      </w:pPr>
      <w:r>
        <w:rPr>
          <w:szCs w:val="24"/>
        </w:rPr>
      </w:r>
    </w:p>
    <w:p>
      <w:pPr>
        <w:pStyle w:val="Normal"/>
        <w:keepLines/>
        <w:jc w:val="both"/>
        <w:rPr/>
      </w:pPr>
      <w:r>
        <w:rPr>
          <w:szCs w:val="24"/>
        </w:rPr>
        <w:tab/>
        <w:t xml:space="preserve">Section  17.1   Recoveries by Lenders </w:t>
      </w:r>
      <w:r>
        <w:fldChar w:fldCharType="begin"/>
      </w:r>
      <w:r>
        <w:rPr/>
        <w:instrText xml:space="preserve"> TC "</w:instrText>
        <w:tab/>
        <w:instrText xml:space="preserve">Section  17.1   Recoveries by Lenders " \l 2 </w:instrText>
      </w:r>
      <w:r>
        <w:rPr/>
        <w:fldChar w:fldCharType="separate"/>
      </w:r>
      <w:r>
        <w:rPr/>
      </w:r>
      <w:r>
        <w:rPr/>
        <w:fldChar w:fldCharType="end"/>
      </w:r>
      <w:r>
        <w:rPr>
          <w:szCs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bCs/>
          <w:szCs w:val="24"/>
        </w:rPr>
        <w:t>“</w:t>
      </w:r>
      <w:r>
        <w:rPr>
          <w:b/>
          <w:bCs/>
          <w:szCs w:val="24"/>
          <w:u w:val="single"/>
        </w:rPr>
        <w:t>Recovery</w:t>
      </w:r>
      <w:r>
        <w:rPr>
          <w:b/>
          <w:bCs/>
          <w:szCs w:val="24"/>
        </w:rPr>
        <w:t>”</w:t>
      </w:r>
      <w:r>
        <w:rPr>
          <w:szCs w:val="24"/>
        </w:rPr>
        <w:t>), then:</w:t>
      </w:r>
    </w:p>
    <w:p>
      <w:pPr>
        <w:pStyle w:val="Normal"/>
        <w:jc w:val="both"/>
        <w:rPr>
          <w:szCs w:val="24"/>
        </w:rPr>
      </w:pPr>
      <w:r>
        <w:rPr>
          <w:szCs w:val="24"/>
        </w:rPr>
      </w:r>
    </w:p>
    <w:p>
      <w:pPr>
        <w:pStyle w:val="Normal"/>
        <w:spacing w:before="0" w:after="240"/>
        <w:jc w:val="both"/>
        <w:rPr>
          <w:szCs w:val="24"/>
        </w:rPr>
      </w:pPr>
      <w:r>
        <w:rPr>
          <w:szCs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Normal"/>
        <w:spacing w:before="0" w:after="240"/>
        <w:jc w:val="both"/>
        <w:rPr>
          <w:szCs w:val="24"/>
        </w:rPr>
      </w:pPr>
      <w:r>
        <w:rPr>
          <w:szCs w:val="24"/>
        </w:rPr>
        <w:tab/>
        <w:t>(b)</w:t>
        <w:tab/>
        <w:t>the Agent shall treat such payment as if it were part of the payment to be made by the Trust to the Lenders ratably in accordance with their respective Commitments; and</w:t>
      </w:r>
    </w:p>
    <w:p>
      <w:pPr>
        <w:pStyle w:val="Normal"/>
        <w:keepNext w:val="true"/>
        <w:spacing w:before="0" w:after="240"/>
        <w:jc w:val="both"/>
        <w:rPr>
          <w:szCs w:val="24"/>
        </w:rPr>
      </w:pPr>
      <w:r>
        <w:rPr>
          <w:szCs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jc w:val="both"/>
        <w:rPr/>
      </w:pPr>
      <w:r>
        <w:rPr>
          <w:szCs w:val="24"/>
        </w:rPr>
        <w:tab/>
        <w:t xml:space="preserve">Section  17.2   Notification to Agent of Recoveries to Lender </w:t>
      </w:r>
      <w:r>
        <w:fldChar w:fldCharType="begin"/>
      </w:r>
      <w:r>
        <w:rPr/>
        <w:instrText xml:space="preserve"> TC "Section  17.2   Notification to Agent of Recoveries to Lender " \l 2 </w:instrText>
      </w:r>
      <w:r>
        <w:rPr/>
        <w:fldChar w:fldCharType="separate"/>
      </w:r>
      <w:r>
        <w:rPr/>
      </w:r>
      <w:r>
        <w:rPr/>
        <w:fldChar w:fldCharType="end"/>
      </w:r>
      <w:r>
        <w:rPr>
          <w:szCs w:val="24"/>
        </w:rPr>
        <w:t>.  Each Lender shall notify the Agent promptly of any such Recovery by such Lender other than by payment through the Agent.</w:t>
      </w:r>
    </w:p>
    <w:p>
      <w:pPr>
        <w:pStyle w:val="Normal"/>
        <w:keepNext w:val="true"/>
        <w:keepLines/>
        <w:jc w:val="both"/>
        <w:rPr>
          <w:szCs w:val="24"/>
        </w:rPr>
      </w:pPr>
      <w:r>
        <w:rPr>
          <w:szCs w:val="24"/>
        </w:rPr>
      </w:r>
    </w:p>
    <w:p>
      <w:pPr>
        <w:pStyle w:val="Normal"/>
        <w:jc w:val="both"/>
        <w:rPr/>
      </w:pPr>
      <w:r>
        <w:rPr>
          <w:szCs w:val="24"/>
        </w:rPr>
        <w:tab/>
        <w:t xml:space="preserve">Section  17.3   Lender to Supply Agent with Specified Information </w:t>
      </w:r>
      <w:r>
        <w:fldChar w:fldCharType="begin"/>
      </w:r>
      <w:r>
        <w:rPr/>
        <w:instrText xml:space="preserve"> TC "</w:instrText>
        <w:tab/>
        <w:instrText xml:space="preserve">Section  17.3   Lender to Supply Agent with Specified Information " \l 2 </w:instrText>
      </w:r>
      <w:r>
        <w:rPr/>
        <w:fldChar w:fldCharType="separate"/>
      </w:r>
      <w:r>
        <w:rPr/>
      </w:r>
      <w:r>
        <w:rPr/>
        <w:fldChar w:fldCharType="end"/>
      </w:r>
      <w:r>
        <w:rPr>
          <w:szCs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jc w:val="both"/>
        <w:rPr>
          <w:szCs w:val="24"/>
        </w:rPr>
      </w:pPr>
      <w:r>
        <w:rPr>
          <w:szCs w:val="24"/>
        </w:rPr>
      </w:r>
    </w:p>
    <w:p>
      <w:pPr>
        <w:pStyle w:val="Normal"/>
        <w:keepLines/>
        <w:jc w:val="both"/>
        <w:rPr/>
      </w:pPr>
      <w:r>
        <w:rPr>
          <w:szCs w:val="24"/>
        </w:rPr>
        <w:tab/>
        <w:t xml:space="preserve">Section  17.4   Agreement to Use Reasonable Efforts </w:t>
      </w:r>
      <w:r>
        <w:fldChar w:fldCharType="begin"/>
      </w:r>
      <w:r>
        <w:rPr/>
        <w:instrText xml:space="preserve"> TC "</w:instrText>
        <w:tab/>
        <w:instrText xml:space="preserve">Section  17.4   Agreement to Use Reasonable Efforts " \l 2 </w:instrText>
      </w:r>
      <w:r>
        <w:rPr/>
        <w:fldChar w:fldCharType="separate"/>
      </w:r>
      <w:r>
        <w:rPr/>
      </w:r>
      <w:r>
        <w:rPr/>
        <w:fldChar w:fldCharType="end"/>
      </w:r>
      <w:r>
        <w:rPr>
          <w:szCs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jc w:val="both"/>
        <w:rPr>
          <w:szCs w:val="24"/>
        </w:rPr>
      </w:pPr>
      <w:r>
        <w:rPr>
          <w:szCs w:val="24"/>
        </w:rPr>
      </w:r>
    </w:p>
    <w:p>
      <w:pPr>
        <w:pStyle w:val="Normal"/>
        <w:keepNext w:val="true"/>
        <w:keepLines/>
        <w:jc w:val="both"/>
        <w:rPr/>
      </w:pPr>
      <w:r>
        <w:rPr>
          <w:szCs w:val="24"/>
        </w:rPr>
        <w:tab/>
        <w:t xml:space="preserve">Section  17.5   No Lien Against Lender </w:t>
      </w:r>
      <w:r>
        <w:fldChar w:fldCharType="begin"/>
      </w:r>
      <w:r>
        <w:rPr/>
        <w:instrText xml:space="preserve"> TC "</w:instrText>
        <w:tab/>
        <w:instrText xml:space="preserve">Section  17.5   No Lien Against Lender " \l 2 </w:instrText>
      </w:r>
      <w:r>
        <w:rPr/>
        <w:fldChar w:fldCharType="separate"/>
      </w:r>
      <w:r>
        <w:rPr/>
      </w:r>
      <w:r>
        <w:rPr/>
        <w:fldChar w:fldCharType="end"/>
      </w:r>
      <w:r>
        <w:rPr>
          <w:szCs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XVIII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SET-OFF</w:t>
      </w:r>
      <w:r>
        <w:fldChar w:fldCharType="begin"/>
      </w:r>
      <w:r>
        <w:rPr/>
        <w:instrText xml:space="preserve"> TC "ARTICLE XVIIISET-OFF"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Cs w:val="24"/>
          <w:u w:val="single"/>
        </w:rPr>
        <w:t>provided</w:t>
      </w:r>
      <w:r>
        <w:rPr>
          <w:szCs w:val="24"/>
        </w:rPr>
        <w:t xml:space="preserve"> that the failure to give such notice shall not affect the validity of such set off or transfer.</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XIX</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NOTICES</w:t>
      </w:r>
      <w:r>
        <w:fldChar w:fldCharType="begin"/>
      </w:r>
      <w:r>
        <w:rPr/>
        <w:instrText xml:space="preserve"> TC "ARTICLE XIXNOTICES"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Section  19.1   Addresses and Method of Notice </w:t>
      </w:r>
      <w:r>
        <w:fldChar w:fldCharType="begin"/>
      </w:r>
      <w:r>
        <w:rPr/>
        <w:instrText xml:space="preserve"> TC "</w:instrText>
        <w:tab/>
        <w:instrText xml:space="preserve">Section  19.1   Addresses and Method of Notice " \l 2 </w:instrText>
      </w:r>
      <w:r>
        <w:rPr/>
        <w:fldChar w:fldCharType="separate"/>
      </w:r>
      <w:r>
        <w:rPr/>
      </w:r>
      <w:r>
        <w:rPr/>
        <w:fldChar w:fldCharType="end"/>
      </w:r>
      <w:r>
        <w:rPr>
          <w:szCs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jc w:val="both"/>
        <w:rPr>
          <w:szCs w:val="24"/>
        </w:rPr>
      </w:pPr>
      <w:r>
        <w:rPr>
          <w:szCs w:val="24"/>
        </w:rPr>
      </w:r>
    </w:p>
    <w:p>
      <w:pPr>
        <w:pStyle w:val="Normal"/>
        <w:jc w:val="both"/>
        <w:rPr/>
      </w:pPr>
      <w:r>
        <w:rPr>
          <w:szCs w:val="24"/>
        </w:rPr>
        <w:tab/>
        <w:t xml:space="preserve">Section  19.2   Timing of Notice </w:t>
      </w:r>
      <w:r>
        <w:fldChar w:fldCharType="begin"/>
      </w:r>
      <w:r>
        <w:rPr/>
        <w:instrText xml:space="preserve"> TC "</w:instrText>
        <w:tab/>
        <w:instrText xml:space="preserve">Section  19.2   Timing of Notice " \l 2 </w:instrText>
      </w:r>
      <w:r>
        <w:rPr/>
        <w:fldChar w:fldCharType="separate"/>
      </w:r>
      <w:r>
        <w:rPr/>
      </w:r>
      <w:r>
        <w:rPr/>
        <w:fldChar w:fldCharType="end"/>
      </w:r>
      <w:r>
        <w:rPr>
          <w:szCs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jc w:val="both"/>
        <w:rPr>
          <w:szCs w:val="24"/>
        </w:rPr>
      </w:pPr>
      <w:r>
        <w:rPr>
          <w:szCs w:val="24"/>
        </w:rPr>
      </w:r>
    </w:p>
    <w:p>
      <w:pPr>
        <w:pStyle w:val="Normal"/>
        <w:jc w:val="both"/>
        <w:rPr/>
      </w:pPr>
      <w:r>
        <w:rPr>
          <w:szCs w:val="24"/>
        </w:rPr>
        <w:tab/>
        <w:t xml:space="preserve">Section  19.3   Proving Service of Notice </w:t>
      </w:r>
      <w:r>
        <w:fldChar w:fldCharType="begin"/>
      </w:r>
      <w:r>
        <w:rPr/>
        <w:instrText xml:space="preserve"> TC "</w:instrText>
        <w:tab/>
        <w:instrText xml:space="preserve">Section  19.3   Proving Service of Notice " \l 2 </w:instrText>
      </w:r>
      <w:r>
        <w:rPr/>
        <w:fldChar w:fldCharType="separate"/>
      </w:r>
      <w:r>
        <w:rPr/>
      </w:r>
      <w:r>
        <w:rPr/>
        <w:fldChar w:fldCharType="end"/>
      </w:r>
      <w:r>
        <w:rPr>
          <w:szCs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XX</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NO IMPLIED WAIVERS</w:t>
      </w:r>
      <w:r>
        <w:fldChar w:fldCharType="begin"/>
      </w:r>
      <w:r>
        <w:rPr/>
        <w:instrText xml:space="preserve"> TC "ARTICLE XXNO IMPLIED WAIVERS"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Section  20.1   No Waiver </w:t>
      </w:r>
      <w:r>
        <w:fldChar w:fldCharType="begin"/>
      </w:r>
      <w:r>
        <w:rPr/>
        <w:instrText xml:space="preserve"> TC "</w:instrText>
        <w:tab/>
        <w:instrText xml:space="preserve">Section  20.1   No Waiver " \l 2 </w:instrText>
      </w:r>
      <w:r>
        <w:rPr/>
        <w:fldChar w:fldCharType="separate"/>
      </w:r>
      <w:r>
        <w:rPr/>
      </w:r>
      <w:r>
        <w:rPr/>
        <w:fldChar w:fldCharType="end"/>
      </w:r>
      <w:r>
        <w:rPr>
          <w:szCs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jc w:val="both"/>
        <w:rPr>
          <w:szCs w:val="24"/>
        </w:rPr>
      </w:pPr>
      <w:r>
        <w:rPr>
          <w:szCs w:val="24"/>
        </w:rPr>
      </w:r>
    </w:p>
    <w:p>
      <w:pPr>
        <w:pStyle w:val="Normal"/>
        <w:jc w:val="both"/>
        <w:rPr/>
      </w:pPr>
      <w:r>
        <w:rPr>
          <w:szCs w:val="24"/>
        </w:rPr>
        <w:tab/>
        <w:t xml:space="preserve">Section  20.2   Rights and Remedies Cumulative </w:t>
      </w:r>
      <w:r>
        <w:fldChar w:fldCharType="begin"/>
      </w:r>
      <w:r>
        <w:rPr/>
        <w:instrText xml:space="preserve"> TC "</w:instrText>
        <w:tab/>
        <w:instrText xml:space="preserve">Section  20.2   Rights and Remedies Cumulative " \l 2 </w:instrText>
      </w:r>
      <w:r>
        <w:rPr/>
        <w:fldChar w:fldCharType="separate"/>
      </w:r>
      <w:r>
        <w:rPr/>
      </w:r>
      <w:r>
        <w:rPr/>
        <w:fldChar w:fldCharType="end"/>
      </w:r>
      <w:r>
        <w:rPr>
          <w:szCs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XXI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INVALIDITY OF ANY PROVISION</w:t>
      </w:r>
      <w:r>
        <w:fldChar w:fldCharType="begin"/>
      </w:r>
      <w:r>
        <w:rPr/>
        <w:instrText xml:space="preserve"> TC "ARTICLE XXIINVALIDITY OF ANY PROVISION"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szCs w:val="24"/>
        </w:rPr>
      </w:pPr>
      <w:r>
        <w:rPr>
          <w:szCs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XXII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CONFIDENTIALITY</w:t>
      </w:r>
      <w:r>
        <w:fldChar w:fldCharType="begin"/>
      </w:r>
      <w:r>
        <w:rPr/>
        <w:instrText xml:space="preserve"> TC "ARTICLE XXIICONFIDENTIALITY"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Section  22.1   Confidential Information </w:t>
      </w:r>
      <w:r>
        <w:fldChar w:fldCharType="begin"/>
      </w:r>
      <w:r>
        <w:rPr/>
        <w:instrText xml:space="preserve"> TC "</w:instrText>
        <w:tab/>
        <w:instrText xml:space="preserve">Section  22.1   Confidential Information " \l 2 </w:instrText>
      </w:r>
      <w:r>
        <w:rPr/>
        <w:fldChar w:fldCharType="separate"/>
      </w:r>
      <w:r>
        <w:rPr/>
      </w:r>
      <w:r>
        <w:rPr/>
        <w:fldChar w:fldCharType="end"/>
      </w:r>
      <w:r>
        <w:rPr>
          <w:szCs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bCs/>
          <w:szCs w:val="24"/>
          <w:u w:val="single"/>
        </w:rPr>
        <w:t>Confidential Information</w:t>
      </w:r>
      <w:r>
        <w:rPr>
          <w:szCs w:val="24"/>
        </w:rPr>
        <w:t xml:space="preserve">”) </w:t>
      </w:r>
      <w:r>
        <w:rPr>
          <w:szCs w:val="24"/>
          <w:u w:val="single"/>
        </w:rPr>
        <w:t>provided</w:t>
      </w:r>
      <w:r>
        <w:rPr>
          <w:szCs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Cs w:val="24"/>
          <w:u w:val="single"/>
        </w:rPr>
        <w:t>provided</w:t>
      </w:r>
      <w:r>
        <w:rPr>
          <w:szCs w:val="24"/>
        </w:rPr>
        <w:t xml:space="preserve"> that such prospective assignee agrees to be bound by the confidentiality provisions set forth in this Section 22.1. </w:t>
      </w:r>
    </w:p>
    <w:p>
      <w:pPr>
        <w:pStyle w:val="Normal"/>
        <w:keepNext w:val="true"/>
        <w:jc w:val="both"/>
        <w:rPr>
          <w:szCs w:val="24"/>
        </w:rPr>
      </w:pPr>
      <w:r>
        <w:rPr>
          <w:szCs w:val="24"/>
        </w:rPr>
      </w:r>
    </w:p>
    <w:p>
      <w:pPr>
        <w:pStyle w:val="Normal"/>
        <w:jc w:val="both"/>
        <w:rPr/>
      </w:pPr>
      <w:r>
        <w:rPr>
          <w:szCs w:val="24"/>
        </w:rPr>
        <w:tab/>
        <w:t xml:space="preserve">Section  22.2   Public Announcements </w:t>
      </w:r>
      <w:r>
        <w:fldChar w:fldCharType="begin"/>
      </w:r>
      <w:r>
        <w:rPr/>
        <w:instrText xml:space="preserve"> TC "</w:instrText>
        <w:tab/>
        <w:instrText xml:space="preserve">Section  22.2   Public Announcements " \l 2 </w:instrText>
      </w:r>
      <w:r>
        <w:rPr/>
        <w:fldChar w:fldCharType="separate"/>
      </w:r>
      <w:r>
        <w:rPr/>
      </w:r>
      <w:r>
        <w:rPr/>
        <w:fldChar w:fldCharType="end"/>
      </w:r>
      <w:r>
        <w:rPr>
          <w:szCs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XXIII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CHANGES TO PARTIES</w:t>
      </w:r>
      <w:r>
        <w:fldChar w:fldCharType="begin"/>
      </w:r>
      <w:r>
        <w:rPr/>
        <w:instrText xml:space="preserve"> TC "ARTICLE XXIIICHANGES TO PARTIES" \l 1 </w:instrText>
      </w:r>
      <w:r>
        <w:rPr/>
        <w:fldChar w:fldCharType="separate"/>
      </w:r>
      <w:r>
        <w:rPr/>
      </w:r>
      <w:r>
        <w:rPr/>
        <w:fldChar w:fldCharType="end"/>
      </w:r>
    </w:p>
    <w:p>
      <w:pPr>
        <w:pStyle w:val="Normal"/>
        <w:keepNext w:val="true"/>
        <w:keepLines/>
        <w:jc w:val="both"/>
        <w:rPr>
          <w:b/>
          <w:bCs/>
          <w:szCs w:val="24"/>
        </w:rPr>
      </w:pPr>
      <w:r>
        <w:rPr>
          <w:b/>
          <w:bCs/>
          <w:szCs w:val="24"/>
        </w:rPr>
      </w:r>
    </w:p>
    <w:p>
      <w:pPr>
        <w:pStyle w:val="Normal"/>
        <w:keepNext w:val="true"/>
        <w:keepLines/>
        <w:jc w:val="both"/>
        <w:rPr/>
      </w:pPr>
      <w:r>
        <w:rPr>
          <w:szCs w:val="24"/>
        </w:rPr>
        <w:tab/>
        <w:t xml:space="preserve">Section  23.1   Assignment by the Trust </w:t>
      </w:r>
      <w:r>
        <w:fldChar w:fldCharType="begin"/>
      </w:r>
      <w:r>
        <w:rPr/>
        <w:instrText xml:space="preserve"> TC "Section  23.1   Assignment by the Trust " \l 2 </w:instrText>
      </w:r>
      <w:r>
        <w:rPr/>
        <w:fldChar w:fldCharType="separate"/>
      </w:r>
      <w:r>
        <w:rPr/>
      </w:r>
      <w:r>
        <w:rPr/>
        <w:fldChar w:fldCharType="end"/>
      </w:r>
      <w:r>
        <w:rPr>
          <w:szCs w:val="24"/>
        </w:rPr>
        <w:t>.  The Trust may not assign or transfer all or any part of its rights or obligations under this Agreement or any of the other Finance Documents without the prior written consent of all of the Lenders.</w:t>
      </w:r>
    </w:p>
    <w:p>
      <w:pPr>
        <w:pStyle w:val="Normal"/>
        <w:keepNext w:val="true"/>
        <w:keepLines/>
        <w:jc w:val="both"/>
        <w:rPr>
          <w:b/>
          <w:bCs/>
          <w:szCs w:val="24"/>
        </w:rPr>
      </w:pPr>
      <w:r>
        <w:rPr>
          <w:b/>
          <w:bCs/>
          <w:szCs w:val="24"/>
        </w:rPr>
      </w:r>
    </w:p>
    <w:p>
      <w:pPr>
        <w:pStyle w:val="Normal"/>
        <w:keepNext w:val="true"/>
        <w:keepLines/>
        <w:jc w:val="both"/>
        <w:rPr/>
      </w:pPr>
      <w:r>
        <w:rPr>
          <w:szCs w:val="24"/>
        </w:rPr>
        <w:tab/>
        <w:t xml:space="preserve">Section  23.2   Transfers and Assignment of Notes </w:t>
      </w:r>
      <w:r>
        <w:fldChar w:fldCharType="begin"/>
      </w:r>
      <w:r>
        <w:rPr/>
        <w:instrText xml:space="preserve"> TC "Section  23.2   Transfers and Assignment of Notes " \l 2 </w:instrText>
      </w:r>
      <w:r>
        <w:rPr/>
        <w:fldChar w:fldCharType="separate"/>
      </w:r>
      <w:r>
        <w:rPr/>
      </w:r>
      <w:r>
        <w:rPr/>
        <w:fldChar w:fldCharType="end"/>
      </w:r>
      <w:r>
        <w:rPr>
          <w:szCs w:val="24"/>
        </w:rPr>
        <w:t xml:space="preserve">.  </w:t>
      </w:r>
    </w:p>
    <w:p>
      <w:pPr>
        <w:pStyle w:val="Normal"/>
        <w:keepNext w:val="true"/>
        <w:keepLines/>
        <w:jc w:val="both"/>
        <w:rPr>
          <w:b/>
          <w:bCs/>
          <w:szCs w:val="24"/>
        </w:rPr>
      </w:pPr>
      <w:r>
        <w:rPr>
          <w:b/>
          <w:bCs/>
          <w:szCs w:val="24"/>
        </w:rPr>
      </w:r>
    </w:p>
    <w:p>
      <w:pPr>
        <w:pStyle w:val="Normal"/>
        <w:spacing w:before="0" w:after="240"/>
        <w:jc w:val="both"/>
        <w:rPr/>
      </w:pPr>
      <w:r>
        <w:rPr>
          <w:szCs w:val="24"/>
        </w:rPr>
        <w:tab/>
        <w:t>(a)</w:t>
        <w:tab/>
        <w:t xml:space="preserve">Each Lender may assign to one or more Eligible Assignees all or a portion of the Note held by it and its rights and obligations under such Note and under the other Finance Documents:  </w:t>
      </w:r>
      <w:r>
        <w:rPr>
          <w:szCs w:val="24"/>
          <w:u w:val="single"/>
        </w:rPr>
        <w:t>provided</w:t>
      </w:r>
      <w:r>
        <w:rPr>
          <w:szCs w:val="24"/>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pStyle w:val="Normal"/>
        <w:spacing w:before="0" w:after="240"/>
        <w:jc w:val="both"/>
        <w:rPr/>
      </w:pPr>
      <w:r>
        <w:rPr>
          <w:szCs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bCs/>
          <w:szCs w:val="24"/>
        </w:rPr>
        <w:t>“</w:t>
      </w:r>
      <w:r>
        <w:rPr>
          <w:b/>
          <w:bCs/>
          <w:szCs w:val="24"/>
          <w:u w:val="single"/>
        </w:rPr>
        <w:t>Assignee</w:t>
      </w:r>
      <w:r>
        <w:rPr>
          <w:b/>
          <w:bCs/>
          <w:szCs w:val="24"/>
        </w:rPr>
        <w:t>”</w:t>
      </w:r>
      <w:r>
        <w:rPr>
          <w:szCs w:val="24"/>
        </w:rPr>
        <w:t xml:space="preserve">) shall be a party to this Agreement and (ii) to the extent that rights and obligations hereunder have been assigned by the assignor thereunder (the </w:t>
      </w:r>
      <w:r>
        <w:rPr>
          <w:b/>
          <w:bCs/>
          <w:szCs w:val="24"/>
        </w:rPr>
        <w:t>“</w:t>
      </w:r>
      <w:r>
        <w:rPr>
          <w:b/>
          <w:bCs/>
          <w:szCs w:val="24"/>
          <w:u w:val="single"/>
        </w:rPr>
        <w:t>Assignor</w:t>
      </w:r>
      <w:r>
        <w:rPr>
          <w:b/>
          <w:bCs/>
          <w:szCs w:val="24"/>
        </w:rPr>
        <w:t>”</w:t>
      </w:r>
      <w:r>
        <w:rPr>
          <w:szCs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spacing w:before="0" w:after="240"/>
        <w:jc w:val="both"/>
        <w:rPr>
          <w:szCs w:val="24"/>
        </w:rPr>
      </w:pPr>
      <w:r>
        <w:rPr>
          <w:szCs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Normal"/>
        <w:spacing w:before="0" w:after="240"/>
        <w:jc w:val="both"/>
        <w:rPr/>
      </w:pPr>
      <w:r>
        <w:rPr>
          <w:szCs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bCs/>
          <w:szCs w:val="24"/>
          <w:u w:val="single"/>
        </w:rPr>
        <w:t>Record</w:t>
      </w:r>
      <w:r>
        <w:rPr>
          <w:szCs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spacing w:before="0" w:after="240"/>
        <w:jc w:val="both"/>
        <w:rPr>
          <w:szCs w:val="24"/>
        </w:rPr>
      </w:pPr>
      <w:r>
        <w:rPr>
          <w:szCs w:val="24"/>
        </w:rPr>
        <w:tab/>
        <w:t>(e)</w:t>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Normal"/>
        <w:spacing w:before="0" w:after="240"/>
        <w:jc w:val="both"/>
        <w:rPr>
          <w:szCs w:val="24"/>
        </w:rPr>
      </w:pPr>
      <w:r>
        <w:rPr>
          <w:szCs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Normal"/>
        <w:spacing w:before="0" w:after="240"/>
        <w:jc w:val="both"/>
        <w:rPr/>
      </w:pPr>
      <w:r>
        <w:rPr>
          <w:szCs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Cs w:val="24"/>
          <w:u w:val="single"/>
        </w:rPr>
        <w:t>provided</w:t>
      </w:r>
      <w:r>
        <w:rPr>
          <w:szCs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spacing w:before="0" w:after="240"/>
        <w:jc w:val="both"/>
        <w:rPr>
          <w:szCs w:val="24"/>
        </w:rPr>
      </w:pPr>
      <w:r>
        <w:rPr>
          <w:szCs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spacing w:before="0" w:after="240"/>
        <w:jc w:val="both"/>
        <w:rPr/>
      </w:pPr>
      <w:r>
        <w:rPr>
          <w:szCs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Cs w:val="24"/>
          <w:u w:val="single"/>
        </w:rPr>
        <w:t>provided</w:t>
      </w:r>
      <w:r>
        <w:rPr>
          <w:szCs w:val="24"/>
        </w:rPr>
        <w:t xml:space="preserve">, </w:t>
      </w:r>
      <w:r>
        <w:rPr>
          <w:szCs w:val="24"/>
          <w:u w:val="single"/>
        </w:rPr>
        <w:t>however</w:t>
      </w:r>
      <w:r>
        <w:rPr>
          <w:szCs w:val="24"/>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ind w:start="1440" w:end="1440"/>
        <w:jc w:val="center"/>
        <w:rPr>
          <w:b/>
          <w:bCs/>
          <w:szCs w:val="24"/>
        </w:rPr>
      </w:pPr>
      <w:r>
        <w:rPr>
          <w:b/>
          <w:bCs/>
          <w:szCs w:val="24"/>
        </w:rPr>
        <w:t>ARTICLE XXIV</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LENDER DECISIONS</w:t>
      </w:r>
      <w:r>
        <w:fldChar w:fldCharType="begin"/>
      </w:r>
      <w:r>
        <w:rPr/>
        <w:instrText xml:space="preserve"> TC "ARTICLE XXIVLENDER DECISIONS" \l 1 </w:instrText>
      </w:r>
      <w:r>
        <w:rPr/>
        <w:fldChar w:fldCharType="separate"/>
      </w:r>
      <w:r>
        <w:rPr/>
      </w:r>
      <w:r>
        <w:rPr/>
        <w:fldChar w:fldCharType="end"/>
      </w:r>
    </w:p>
    <w:p>
      <w:pPr>
        <w:pStyle w:val="Normal"/>
        <w:keepNext w:val="true"/>
        <w:keepLines/>
        <w:jc w:val="both"/>
        <w:rPr>
          <w:szCs w:val="24"/>
        </w:rPr>
      </w:pPr>
      <w:r>
        <w:rPr>
          <w:szCs w:val="24"/>
        </w:rPr>
      </w:r>
    </w:p>
    <w:p>
      <w:pPr>
        <w:pStyle w:val="Normal"/>
        <w:keepLines/>
        <w:jc w:val="both"/>
        <w:rPr/>
      </w:pPr>
      <w:r>
        <w:rPr>
          <w:szCs w:val="24"/>
        </w:rPr>
        <w:tab/>
        <w:t xml:space="preserve">Section  24.1   Lender Decisions </w:t>
      </w:r>
      <w:r>
        <w:fldChar w:fldCharType="begin"/>
      </w:r>
      <w:r>
        <w:rPr/>
        <w:instrText xml:space="preserve"> TC "</w:instrText>
        <w:tab/>
        <w:instrText xml:space="preserve">Section  24.1   Lender Decisions " \l 2 </w:instrText>
      </w:r>
      <w:r>
        <w:rPr/>
        <w:fldChar w:fldCharType="separate"/>
      </w:r>
      <w:r>
        <w:rPr/>
      </w:r>
      <w:r>
        <w:rPr/>
        <w:fldChar w:fldCharType="end"/>
      </w:r>
      <w:r>
        <w:rPr>
          <w:szCs w:val="24"/>
        </w:rPr>
        <w:t xml:space="preserve">.  Any provision of this Agreement or any of the other Operative Documents may be amended, waived, varied or modified with the agreement of the Majority Lenders; </w:t>
      </w:r>
      <w:r>
        <w:rPr>
          <w:szCs w:val="24"/>
          <w:u w:val="single"/>
        </w:rPr>
        <w:t>provided</w:t>
      </w:r>
      <w:r>
        <w:rPr>
          <w:szCs w:val="24"/>
        </w:rPr>
        <w:t>, that the following matters shall require the unanimous agreement of all of the Lenders:</w:t>
      </w:r>
    </w:p>
    <w:p>
      <w:pPr>
        <w:pStyle w:val="Normal"/>
        <w:jc w:val="both"/>
        <w:rPr>
          <w:szCs w:val="24"/>
        </w:rPr>
      </w:pPr>
      <w:r>
        <w:rPr>
          <w:szCs w:val="24"/>
        </w:rPr>
      </w:r>
    </w:p>
    <w:p>
      <w:pPr>
        <w:pStyle w:val="Normal"/>
        <w:spacing w:before="0" w:after="240"/>
        <w:jc w:val="both"/>
        <w:rPr>
          <w:szCs w:val="24"/>
        </w:rPr>
      </w:pPr>
      <w:r>
        <w:rPr>
          <w:szCs w:val="24"/>
        </w:rPr>
        <w:tab/>
        <w:t>(a)</w:t>
        <w:tab/>
        <w:t>except as provided in Section 3.3, any increase in any Commitment of any Lender;</w:t>
      </w:r>
    </w:p>
    <w:p>
      <w:pPr>
        <w:pStyle w:val="Normal"/>
        <w:spacing w:before="0" w:after="240"/>
        <w:jc w:val="both"/>
        <w:rPr>
          <w:szCs w:val="24"/>
        </w:rPr>
      </w:pPr>
      <w:r>
        <w:rPr>
          <w:szCs w:val="24"/>
        </w:rPr>
        <w:tab/>
        <w:t>(b)</w:t>
        <w:tab/>
        <w:t>any extension of any scheduled date for payment of any sum due, owing or payable to the Lenders;</w:t>
      </w:r>
    </w:p>
    <w:p>
      <w:pPr>
        <w:pStyle w:val="Normal"/>
        <w:spacing w:before="0" w:after="240"/>
        <w:jc w:val="both"/>
        <w:rPr>
          <w:szCs w:val="24"/>
        </w:rPr>
      </w:pPr>
      <w:r>
        <w:rPr>
          <w:szCs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spacing w:before="0" w:after="240"/>
        <w:jc w:val="both"/>
        <w:rPr>
          <w:szCs w:val="24"/>
        </w:rPr>
      </w:pPr>
      <w:r>
        <w:rPr>
          <w:szCs w:val="24"/>
        </w:rPr>
        <w:tab/>
        <w:t>(d)</w:t>
        <w:tab/>
        <w:t>any amendment, waiver, variation or modification of this Article XXIV, Article XVII, Article XVIII, Section 23.1, Section 12.2(g), Section 12.2(h) or to the definition of Majority Lenders;</w:t>
      </w:r>
    </w:p>
    <w:p>
      <w:pPr>
        <w:pStyle w:val="Normal"/>
        <w:spacing w:before="0" w:after="240"/>
        <w:jc w:val="both"/>
        <w:rPr>
          <w:szCs w:val="24"/>
        </w:rPr>
      </w:pPr>
      <w:r>
        <w:rPr>
          <w:szCs w:val="24"/>
        </w:rPr>
        <w:tab/>
        <w:t>(e)</w:t>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Normal"/>
        <w:keepNext w:val="true"/>
        <w:spacing w:before="0" w:after="240"/>
        <w:jc w:val="both"/>
        <w:rPr>
          <w:szCs w:val="24"/>
        </w:rPr>
      </w:pPr>
      <w:r>
        <w:rPr>
          <w:szCs w:val="24"/>
        </w:rPr>
        <w:tab/>
        <w:t>(f)</w:t>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jc w:val="both"/>
        <w:rPr/>
      </w:pPr>
      <w:r>
        <w:rPr>
          <w:szCs w:val="24"/>
        </w:rPr>
        <w:tab/>
        <w:t xml:space="preserve">Section  24.2   Other Unanimous Actions </w:t>
      </w:r>
      <w:r>
        <w:fldChar w:fldCharType="begin"/>
      </w:r>
      <w:r>
        <w:rPr/>
        <w:instrText xml:space="preserve"> TC "</w:instrText>
        <w:tab/>
        <w:instrText xml:space="preserve">Section  24.2   Other Unanimous Actions " \l 2 </w:instrText>
      </w:r>
      <w:r>
        <w:rPr/>
        <w:fldChar w:fldCharType="separate"/>
      </w:r>
      <w:r>
        <w:rPr/>
      </w:r>
      <w:r>
        <w:rPr/>
        <w:fldChar w:fldCharType="end"/>
      </w:r>
      <w:r>
        <w:rPr>
          <w:szCs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jc w:val="both"/>
        <w:rPr>
          <w:szCs w:val="24"/>
        </w:rPr>
      </w:pPr>
      <w:r>
        <w:rPr>
          <w:szCs w:val="24"/>
        </w:rPr>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XXV</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INDEMNITIES</w:t>
      </w:r>
      <w:r>
        <w:fldChar w:fldCharType="begin"/>
      </w:r>
      <w:r>
        <w:rPr/>
        <w:instrText xml:space="preserve"> TC "ARTICLE XXVINDEMNITIES"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 xml:space="preserve">Section  25.1   General Indemnity and Breakage Costs </w:t>
      </w:r>
      <w:r>
        <w:fldChar w:fldCharType="begin"/>
      </w:r>
      <w:r>
        <w:rPr/>
        <w:instrText xml:space="preserve"> TC "</w:instrText>
        <w:tab/>
        <w:instrText xml:space="preserve">Section  25.1   General Indemnity and Breakage Costs " \l 2 </w:instrText>
      </w:r>
      <w:r>
        <w:rPr/>
        <w:fldChar w:fldCharType="separate"/>
      </w:r>
      <w:r>
        <w:rPr/>
      </w:r>
      <w:r>
        <w:rPr/>
        <w:fldChar w:fldCharType="end"/>
      </w:r>
      <w:r>
        <w:rPr>
          <w:szCs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bCs/>
          <w:szCs w:val="24"/>
        </w:rPr>
        <w:t>“</w:t>
      </w:r>
      <w:r>
        <w:rPr>
          <w:b/>
          <w:bCs/>
          <w:szCs w:val="24"/>
          <w:u w:val="single"/>
        </w:rPr>
        <w:t>Finance Indemnitees</w:t>
      </w:r>
      <w:r>
        <w:rPr>
          <w:b/>
          <w:bCs/>
          <w:szCs w:val="24"/>
        </w:rPr>
        <w:t>”</w:t>
      </w:r>
      <w:r>
        <w:rPr>
          <w:szCs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jc w:val="both"/>
        <w:rPr>
          <w:szCs w:val="24"/>
        </w:rPr>
      </w:pPr>
      <w:r>
        <w:rPr>
          <w:szCs w:val="24"/>
        </w:rPr>
      </w:r>
    </w:p>
    <w:p>
      <w:pPr>
        <w:pStyle w:val="Normal"/>
        <w:keepNext w:val="true"/>
        <w:keepLines/>
        <w:ind w:start="1440" w:end="1440"/>
        <w:jc w:val="center"/>
        <w:rPr>
          <w:b/>
          <w:bCs/>
          <w:szCs w:val="24"/>
        </w:rPr>
      </w:pPr>
      <w:r>
        <w:rPr>
          <w:b/>
          <w:bCs/>
          <w:szCs w:val="24"/>
        </w:rPr>
        <w:t>ARTICLE XXVI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GOVERNING LAW</w:t>
      </w:r>
      <w:r>
        <w:fldChar w:fldCharType="begin"/>
      </w:r>
      <w:r>
        <w:rPr/>
        <w:instrText xml:space="preserve"> TC "ARTICLE XXVIGOVERNING LAW"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szCs w:val="24"/>
        </w:rPr>
      </w:pPr>
      <w:r>
        <w:rPr>
          <w:szCs w:val="24"/>
        </w:rPr>
        <w:tab/>
        <w:t>THIS AGREEMENT SHALL BE GOVERNED BY AND CONSTRUED IN ACCORDANCE WITH THE LAWS OF THE STATE OF NEW YORK.</w:t>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XXVII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COUNTERPARTS</w:t>
      </w:r>
      <w:r>
        <w:fldChar w:fldCharType="begin"/>
      </w:r>
      <w:r>
        <w:rPr/>
        <w:instrText xml:space="preserve"> TC "ARTICLE XXVIICOUNTERPARTS" \l 1 </w:instrText>
      </w:r>
      <w:r>
        <w:rPr/>
        <w:fldChar w:fldCharType="separate"/>
      </w:r>
      <w:r>
        <w:rPr/>
      </w:r>
      <w:r>
        <w:rPr/>
        <w:fldChar w:fldCharType="end"/>
      </w:r>
    </w:p>
    <w:p>
      <w:pPr>
        <w:pStyle w:val="Normal"/>
        <w:keepNext w:val="true"/>
        <w:keepLines/>
        <w:jc w:val="both"/>
        <w:rPr>
          <w:szCs w:val="24"/>
        </w:rPr>
      </w:pPr>
      <w:r>
        <w:rPr>
          <w:szCs w:val="24"/>
        </w:rPr>
      </w:r>
    </w:p>
    <w:p>
      <w:pPr>
        <w:pStyle w:val="Normal"/>
        <w:keepNext w:val="true"/>
        <w:keepLines/>
        <w:jc w:val="both"/>
        <w:rPr>
          <w:szCs w:val="24"/>
        </w:rPr>
      </w:pPr>
      <w:r>
        <w:rPr>
          <w:szCs w:val="24"/>
        </w:rPr>
        <w:tab/>
        <w:t>This Agreement may be executed in any number of counterparts and all of such counterparts taken together shall be deemed to constitute one and the same instrument.</w:t>
      </w:r>
    </w:p>
    <w:p>
      <w:pPr>
        <w:pStyle w:val="Normal"/>
        <w:keepNext w:val="true"/>
        <w:keepLines/>
        <w:jc w:val="both"/>
        <w:rPr>
          <w:szCs w:val="24"/>
        </w:rPr>
      </w:pPr>
      <w:r>
        <w:rPr>
          <w:szCs w:val="24"/>
        </w:rPr>
      </w:r>
    </w:p>
    <w:p>
      <w:pPr>
        <w:pStyle w:val="Normal"/>
        <w:keepNext w:val="true"/>
        <w:keepLines/>
        <w:ind w:start="1440" w:end="1440"/>
        <w:jc w:val="center"/>
        <w:rPr>
          <w:b/>
          <w:bCs/>
          <w:szCs w:val="24"/>
        </w:rPr>
      </w:pPr>
      <w:r>
        <w:rPr>
          <w:b/>
          <w:bCs/>
          <w:szCs w:val="24"/>
        </w:rPr>
        <w:t>ARTICLE XXVIII</w:t>
      </w:r>
    </w:p>
    <w:p>
      <w:pPr>
        <w:pStyle w:val="Normal"/>
        <w:keepNext w:val="true"/>
        <w:keepLines/>
        <w:ind w:start="1440" w:end="1440"/>
        <w:jc w:val="center"/>
        <w:rPr>
          <w:b/>
          <w:bCs/>
          <w:szCs w:val="24"/>
        </w:rPr>
      </w:pPr>
      <w:r>
        <w:rPr>
          <w:b/>
          <w:bCs/>
          <w:szCs w:val="24"/>
        </w:rPr>
      </w:r>
    </w:p>
    <w:p>
      <w:pPr>
        <w:pStyle w:val="Normal"/>
        <w:keepNext w:val="true"/>
        <w:keepLines/>
        <w:ind w:start="1440" w:end="1440"/>
        <w:jc w:val="center"/>
        <w:rPr>
          <w:szCs w:val="24"/>
        </w:rPr>
      </w:pPr>
      <w:r>
        <w:rPr>
          <w:b/>
          <w:bCs/>
          <w:szCs w:val="24"/>
        </w:rPr>
        <w:t>THE TRUST INSTITUTION</w:t>
      </w:r>
      <w:r>
        <w:fldChar w:fldCharType="begin"/>
      </w:r>
      <w:r>
        <w:rPr/>
        <w:instrText xml:space="preserve"> TC "ARTICLE XXVIIITHE TRUST INSTITUTION" \l 1 </w:instrText>
      </w:r>
      <w:r>
        <w:rPr/>
        <w:fldChar w:fldCharType="separate"/>
      </w:r>
      <w:r>
        <w:rPr/>
      </w:r>
      <w:r>
        <w:rPr/>
        <w:fldChar w:fldCharType="end"/>
      </w:r>
    </w:p>
    <w:p>
      <w:pPr>
        <w:pStyle w:val="Normal"/>
        <w:keepNext w:val="true"/>
        <w:keepLines/>
        <w:jc w:val="both"/>
        <w:rPr>
          <w:szCs w:val="24"/>
        </w:rPr>
      </w:pPr>
      <w:r>
        <w:rPr>
          <w:szCs w:val="24"/>
        </w:rPr>
      </w:r>
    </w:p>
    <w:p>
      <w:pPr>
        <w:pStyle w:val="Normal"/>
        <w:jc w:val="both"/>
        <w:rPr/>
      </w:pPr>
      <w:r>
        <w:rPr>
          <w:szCs w:val="24"/>
        </w:rPr>
        <w:tab/>
        <w:t>It is expressly understood and agreed by the parties hereto that (a) this Agreement is executed and delivered by Wilmington Trust Company (</w:t>
      </w:r>
      <w:r>
        <w:rPr>
          <w:b/>
          <w:bCs/>
          <w:szCs w:val="24"/>
        </w:rPr>
        <w:t>“</w:t>
      </w:r>
      <w:r>
        <w:rPr>
          <w:b/>
          <w:bCs/>
          <w:szCs w:val="24"/>
          <w:u w:val="single"/>
        </w:rPr>
        <w:t>Wilmington</w:t>
      </w:r>
      <w:r>
        <w:rPr>
          <w:b/>
          <w:bCs/>
          <w:szCs w:val="24"/>
        </w:rPr>
        <w:t>”</w:t>
      </w:r>
      <w:r>
        <w:rPr>
          <w:szCs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type w:val="continuous"/>
          <w:pgSz w:w="12240" w:h="15840"/>
          <w:pgMar w:left="1440" w:right="1440" w:gutter="0" w:header="1440" w:top="1496" w:footer="576" w:bottom="632"/>
          <w:formProt w:val="false"/>
          <w:textDirection w:val="lrTb"/>
          <w:docGrid w:type="default" w:linePitch="360" w:charSpace="0"/>
        </w:sectPr>
        <w:pStyle w:val="Normal"/>
        <w:jc w:val="both"/>
        <w:rPr>
          <w:szCs w:val="24"/>
        </w:rPr>
      </w:pPr>
      <w:r>
        <w:rPr>
          <w:szCs w:val="24"/>
        </w:rPr>
      </w:r>
      <w:r>
        <w:br w:type="page"/>
      </w:r>
    </w:p>
    <w:p>
      <w:pPr>
        <w:pStyle w:val="Normal"/>
        <w:numPr>
          <w:ilvl w:val="0"/>
          <w:numId w:val="0"/>
        </w:numPr>
        <w:jc w:val="both"/>
        <w:rPr>
          <w:szCs w:val="24"/>
        </w:rPr>
      </w:pPr>
      <w:r>
        <w:rPr>
          <w:szCs w:val="24"/>
        </w:rPr>
      </w:r>
    </w:p>
    <w:p>
      <w:pPr>
        <w:sectPr>
          <w:headerReference w:type="default" r:id="rId8"/>
          <w:footerReference w:type="default" r:id="rId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rPr>
          <w:szCs w:val="24"/>
        </w:rPr>
      </w:pPr>
      <w:r>
        <w:rPr>
          <w:szCs w:val="24"/>
        </w:rPr>
      </w:r>
    </w:p>
    <w:p>
      <w:pPr>
        <w:pStyle w:val="Normal"/>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szCs w:val="24"/>
        </w:rPr>
        <w:tab/>
        <w:tab/>
        <w:tab/>
        <w:tab/>
        <w:tab/>
        <w:tab/>
      </w:r>
      <w:r>
        <w:rPr>
          <w:b/>
          <w:bCs/>
          <w:szCs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r>
      <w:r>
        <w:rPr>
          <w:b/>
          <w:bCs/>
          <w:szCs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rPr>
          <w:szCs w:val="24"/>
        </w:rPr>
      </w:pPr>
      <w:r>
        <w:rPr>
          <w:szCs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10"/>
          <w:footerReference w:type="default" r:id="rId11"/>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r>
      <w:r>
        <w:rPr>
          <w:b/>
          <w:bCs/>
          <w:szCs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12"/>
          <w:footerReference w:type="default" r:id="rId1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r>
      <w:r>
        <w:rPr>
          <w:b/>
          <w:bCs/>
          <w:szCs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14"/>
          <w:footerReference w:type="default" r:id="rId15"/>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r>
      <w:r>
        <w:rPr>
          <w:b/>
          <w:bCs/>
          <w:szCs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r>
      <w:r>
        <w:rPr>
          <w:b/>
          <w:bCs/>
          <w:szCs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18"/>
          <w:footerReference w:type="default" r:id="rId1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t>____________________________________________</w:t>
      </w:r>
      <w:r>
        <w:rPr>
          <w:b/>
          <w:bCs/>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20"/>
          <w:footerReference w:type="default" r:id="rId21"/>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bCs/>
          <w:szCs w:val="24"/>
        </w:rPr>
      </w:pPr>
      <w:r>
        <w:rPr>
          <w:szCs w:val="24"/>
        </w:rPr>
        <w:tab/>
        <w:tab/>
        <w:tab/>
        <w:tab/>
        <w:tab/>
        <w:tab/>
      </w:r>
      <w:r>
        <w:rPr>
          <w:b/>
          <w:bCs/>
          <w:szCs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Cs w:val="24"/>
        </w:rPr>
        <w:tab/>
        <w:tab/>
        <w:tab/>
        <w:tab/>
        <w:tab/>
        <w:tab/>
      </w:r>
      <w:r>
        <w:rPr>
          <w:b/>
          <w:bCs/>
          <w:szCs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b/>
          <w:bCs/>
          <w:szCs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Cs w:val="24"/>
        </w:rPr>
      </w:pPr>
      <w:r>
        <w:rPr>
          <w:b/>
          <w:bCs/>
          <w:szCs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b/>
          <w:bCs/>
          <w:szCs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tbl>
      <w:tblPr>
        <w:tblW w:w="9360" w:type="dxa"/>
        <w:jc w:val="start"/>
        <w:tblInd w:w="120" w:type="dxa"/>
        <w:tblLayout w:type="fixed"/>
        <w:tblCellMar>
          <w:top w:w="0" w:type="dxa"/>
          <w:start w:w="120" w:type="dxa"/>
          <w:bottom w:w="0" w:type="dxa"/>
          <w:end w:w="120" w:type="dxa"/>
        </w:tblCellMar>
      </w:tblPr>
      <w:tblGrid>
        <w:gridCol w:w="7020"/>
        <w:gridCol w:w="2340"/>
      </w:tblGrid>
      <w:tr>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pacing w:before="120" w:after="57"/>
              <w:rPr>
                <w:szCs w:val="24"/>
              </w:rPr>
            </w:pPr>
            <w:r>
              <w:rPr>
                <w:b/>
                <w:bCs/>
                <w:szCs w:val="24"/>
              </w:rPr>
              <w:t>Names and Addresses (Funding Offices) of initial Lenders</w:t>
            </w:r>
          </w:p>
        </w:tc>
        <w:tc>
          <w:tcPr>
            <w:tcW w:w="2340" w:type="dxa"/>
            <w:tcBorders/>
          </w:tcPr>
          <w:p>
            <w:pPr>
              <w:pStyle w:val="Normal"/>
              <w:tabs>
                <w:tab w:val="left" w:pos="-1080" w:leader="none"/>
                <w:tab w:val="left" w:pos="-720" w:leader="none"/>
                <w:tab w:val="left" w:pos="0" w:leader="none"/>
                <w:tab w:val="left" w:pos="720" w:leader="none"/>
                <w:tab w:val="left" w:pos="1440" w:leader="none"/>
                <w:tab w:val="left" w:pos="2160" w:leader="none"/>
              </w:tabs>
              <w:spacing w:before="120" w:after="57"/>
              <w:jc w:val="center"/>
              <w:rPr>
                <w:szCs w:val="24"/>
              </w:rPr>
            </w:pPr>
            <w:r>
              <w:rPr>
                <w:b/>
                <w:bCs/>
                <w:szCs w:val="24"/>
              </w:rPr>
              <w:t>Commitment</w:t>
            </w:r>
          </w:p>
        </w:tc>
      </w:tr>
      <w:tr>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pacing w:before="120" w:after="0"/>
              <w:rPr>
                <w:szCs w:val="24"/>
              </w:rPr>
            </w:pPr>
            <w:r>
              <w:rPr>
                <w:szCs w:val="24"/>
                <w:u w:val="single"/>
              </w:rPr>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rPr>
                <w:szCs w:val="24"/>
              </w:rPr>
            </w:pPr>
            <w:r>
              <w:rPr>
                <w:szCs w:val="24"/>
              </w:rPr>
              <w:t>425 Lexington Avenue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rPr>
                <w:szCs w:val="24"/>
              </w:rPr>
            </w:pPr>
            <w:r>
              <w:rPr>
                <w:szCs w:val="24"/>
              </w:rPr>
              <w:t>New York, New York 10017</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rPr>
                <w:szCs w:val="24"/>
              </w:rPr>
            </w:pPr>
            <w:r>
              <w:rPr>
                <w:szCs w:val="24"/>
              </w:rPr>
              <w:t>Attn:  Christine Aharonian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pacing w:before="0" w:after="57"/>
              <w:rPr>
                <w:szCs w:val="24"/>
              </w:rPr>
            </w:pPr>
            <w:r>
              <w:rPr>
                <w:szCs w:val="24"/>
              </w:rPr>
            </w:r>
          </w:p>
        </w:tc>
        <w:tc>
          <w:tcPr>
            <w:tcW w:w="2340" w:type="dxa"/>
            <w:tcBorders/>
          </w:tcPr>
          <w:p>
            <w:pPr>
              <w:pStyle w:val="Normal"/>
              <w:tabs>
                <w:tab w:val="left" w:pos="-1080" w:leader="none"/>
                <w:tab w:val="left" w:pos="-720" w:leader="none"/>
                <w:tab w:val="left" w:pos="0" w:leader="none"/>
                <w:tab w:val="left" w:pos="720" w:leader="none"/>
                <w:tab w:val="left" w:pos="1440" w:leader="none"/>
                <w:tab w:val="left" w:pos="2160" w:leader="none"/>
              </w:tabs>
              <w:spacing w:before="120" w:after="57"/>
              <w:rPr>
                <w:szCs w:val="24"/>
              </w:rPr>
            </w:pPr>
            <w:r>
              <w:rPr>
                <w:szCs w:val="24"/>
              </w:rPr>
              <w:t>$__________</w:t>
            </w:r>
          </w:p>
        </w:tc>
      </w:tr>
      <w:tr>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napToGrid w:val="false"/>
              <w:spacing w:before="120" w:after="0"/>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pacing w:before="0" w:after="57"/>
              <w:rPr>
                <w:szCs w:val="24"/>
              </w:rPr>
            </w:pPr>
            <w:r>
              <w:rPr>
                <w:szCs w:val="24"/>
              </w:rPr>
            </w:r>
          </w:p>
        </w:tc>
        <w:tc>
          <w:tcPr>
            <w:tcW w:w="2340" w:type="dxa"/>
            <w:tcBorders/>
          </w:tcPr>
          <w:p>
            <w:pPr>
              <w:pStyle w:val="Normal"/>
              <w:tabs>
                <w:tab w:val="left" w:pos="-1080" w:leader="none"/>
                <w:tab w:val="left" w:pos="-720" w:leader="none"/>
                <w:tab w:val="left" w:pos="0" w:leader="none"/>
                <w:tab w:val="left" w:pos="720" w:leader="none"/>
                <w:tab w:val="left" w:pos="1440" w:leader="none"/>
                <w:tab w:val="left" w:pos="2160" w:leader="none"/>
              </w:tabs>
              <w:spacing w:before="120" w:after="57"/>
              <w:rPr>
                <w:szCs w:val="24"/>
              </w:rPr>
            </w:pPr>
            <w:r>
              <w:rPr>
                <w:szCs w:val="24"/>
              </w:rPr>
              <w:t>$__________</w:t>
            </w:r>
          </w:p>
        </w:tc>
      </w:tr>
      <w:tr>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napToGrid w:val="false"/>
              <w:spacing w:before="120" w:after="57"/>
              <w:rPr>
                <w:szCs w:val="24"/>
              </w:rPr>
            </w:pPr>
            <w:r>
              <w:rPr>
                <w:szCs w:val="24"/>
              </w:rPr>
            </w:r>
          </w:p>
        </w:tc>
        <w:tc>
          <w:tcPr>
            <w:tcW w:w="2340" w:type="dxa"/>
            <w:tcBorders/>
          </w:tcPr>
          <w:p>
            <w:pPr>
              <w:pStyle w:val="Normal"/>
              <w:tabs>
                <w:tab w:val="left" w:pos="-1080" w:leader="none"/>
                <w:tab w:val="left" w:pos="-720" w:leader="none"/>
                <w:tab w:val="left" w:pos="0" w:leader="none"/>
                <w:tab w:val="left" w:pos="720" w:leader="none"/>
                <w:tab w:val="left" w:pos="1440" w:leader="none"/>
                <w:tab w:val="left" w:pos="2160" w:leader="none"/>
              </w:tabs>
              <w:spacing w:before="120" w:after="57"/>
              <w:rPr>
                <w:szCs w:val="24"/>
              </w:rPr>
            </w:pPr>
            <w:r>
              <w:rPr>
                <w:szCs w:val="24"/>
              </w:rPr>
              <w:t>$__________</w:t>
            </w:r>
          </w:p>
        </w:tc>
      </w:tr>
      <w:tr>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napToGrid w:val="false"/>
              <w:spacing w:before="120" w:after="57"/>
              <w:rPr>
                <w:szCs w:val="24"/>
              </w:rPr>
            </w:pPr>
            <w:r>
              <w:rPr>
                <w:szCs w:val="24"/>
              </w:rPr>
            </w:r>
          </w:p>
        </w:tc>
        <w:tc>
          <w:tcPr>
            <w:tcW w:w="2340" w:type="dxa"/>
            <w:tcBorders/>
          </w:tcPr>
          <w:p>
            <w:pPr>
              <w:pStyle w:val="Normal"/>
              <w:tabs>
                <w:tab w:val="left" w:pos="-1080" w:leader="none"/>
                <w:tab w:val="left" w:pos="-720" w:leader="none"/>
                <w:tab w:val="left" w:pos="0" w:leader="none"/>
                <w:tab w:val="left" w:pos="720" w:leader="none"/>
                <w:tab w:val="left" w:pos="1440" w:leader="none"/>
                <w:tab w:val="left" w:pos="2160" w:leader="none"/>
              </w:tabs>
              <w:spacing w:before="120" w:after="57"/>
              <w:rPr>
                <w:szCs w:val="24"/>
              </w:rPr>
            </w:pPr>
            <w:r>
              <w:rPr>
                <w:szCs w:val="24"/>
              </w:rPr>
              <w:t>$__________</w:t>
            </w:r>
          </w:p>
        </w:tc>
      </w:tr>
      <w:tr>
        <w:trPr/>
        <w:tc>
          <w:tcPr>
            <w:tcW w:w="7020" w:type="dxa"/>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s>
              <w:snapToGrid w:val="false"/>
              <w:spacing w:before="120" w:after="57"/>
              <w:rPr>
                <w:szCs w:val="24"/>
              </w:rPr>
            </w:pPr>
            <w:r>
              <w:rPr>
                <w:szCs w:val="24"/>
              </w:rPr>
            </w:r>
          </w:p>
        </w:tc>
        <w:tc>
          <w:tcPr>
            <w:tcW w:w="2340" w:type="dxa"/>
            <w:tcBorders/>
          </w:tcPr>
          <w:p>
            <w:pPr>
              <w:pStyle w:val="Normal"/>
              <w:tabs>
                <w:tab w:val="left" w:pos="-1080" w:leader="none"/>
                <w:tab w:val="left" w:pos="-720" w:leader="none"/>
                <w:tab w:val="left" w:pos="0" w:leader="none"/>
                <w:tab w:val="left" w:pos="720" w:leader="none"/>
                <w:tab w:val="left" w:pos="1440" w:leader="none"/>
                <w:tab w:val="left" w:pos="2160" w:leader="none"/>
              </w:tabs>
              <w:spacing w:before="120" w:after="57"/>
              <w:rPr>
                <w:szCs w:val="24"/>
              </w:rPr>
            </w:pPr>
            <w:r>
              <w:rPr>
                <w:szCs w:val="24"/>
              </w:rPr>
              <w:t>$__________</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sectPr>
          <w:headerReference w:type="default" r:id="rId22"/>
          <w:footerReference w:type="default" r:id="rId23"/>
          <w:type w:val="nextPage"/>
          <w:pgSz w:w="12240" w:h="15840"/>
          <w:pgMar w:left="1440" w:right="1440" w:gutter="0" w:header="1440" w:top="1496" w:footer="864" w:bottom="920"/>
          <w:pgNumType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Cs w:val="24"/>
        </w:rPr>
      </w:pPr>
      <w:r>
        <w:rPr>
          <w:b/>
          <w:bCs/>
          <w:szCs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clear" w:pos="720"/>
          <w:tab w:val="left" w:pos="0" w:leader="none"/>
          <w:tab w:val="center" w:pos="4680" w:leader="none"/>
        </w:tabs>
        <w:rPr>
          <w:szCs w:val="24"/>
        </w:rPr>
      </w:pPr>
      <w:r>
        <w:rPr>
          <w:szCs w:val="24"/>
        </w:rPr>
        <w:t> </w:t>
      </w:r>
      <w:r>
        <w:rPr>
          <w:szCs w:val="24"/>
        </w:rPr>
        <w:tab/>
      </w:r>
      <w:r>
        <w:rPr>
          <w:b/>
          <w:bCs/>
          <w:szCs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Cs w:val="24"/>
        </w:rPr>
      </w:pPr>
      <w:r>
        <w:rPr>
          <w:b/>
          <w:bCs/>
          <w:szCs w:val="24"/>
        </w:rPr>
        <w:t>Hawaii II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Cs w:val="24"/>
          <w:u w:val="single"/>
        </w:rPr>
        <w:t xml:space="preserve">Facility Agreement, dated as of November </w:t>
      </w:r>
      <w:r>
        <w:rPr>
          <w:b/>
          <w:bCs/>
          <w:szCs w:val="24"/>
          <w:u w:val="single"/>
        </w:rPr>
        <w:t>[</w:t>
      </w:r>
      <w:r>
        <w:rPr>
          <w:szCs w:val="24"/>
          <w:u w:val="single"/>
        </w:rPr>
        <w:t>17</w:t>
      </w:r>
      <w:r>
        <w:rPr>
          <w:b/>
          <w:bCs/>
          <w:szCs w:val="24"/>
          <w:u w:val="single"/>
        </w:rPr>
        <w:t>]</w:t>
      </w:r>
      <w:r>
        <w:rPr>
          <w:szCs w:val="24"/>
          <w:u w:val="single"/>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u w:val="single"/>
        </w:rPr>
      </w:pPr>
      <w:r>
        <w:rPr>
          <w:szCs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Cs w:val="24"/>
        </w:rPr>
        <w:tab/>
        <w:t xml:space="preserve">We refer to the above agreement between, </w:t>
      </w:r>
      <w:r>
        <w:rPr>
          <w:i/>
          <w:iCs/>
          <w:szCs w:val="24"/>
        </w:rPr>
        <w:t>inter alia</w:t>
      </w:r>
      <w:r>
        <w:rPr>
          <w:szCs w:val="24"/>
        </w:rPr>
        <w:t>, ourselves, yourselves, as Agent, and the other financial institutions party thereto and CIBC World Markets Corp. as Arranger (the “</w:t>
      </w:r>
      <w:r>
        <w:rPr>
          <w:b/>
          <w:bCs/>
          <w:szCs w:val="24"/>
          <w:u w:val="single"/>
        </w:rPr>
        <w:t>Facility Agreement</w:t>
      </w:r>
      <w:r>
        <w:rPr>
          <w:szCs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0"/>
        <w:rPr>
          <w:szCs w:val="24"/>
        </w:rPr>
      </w:pPr>
      <w:r>
        <w:rPr>
          <w:szCs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(e)</w:t>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(h)</w:t>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0"/>
        <w:rPr/>
      </w:pPr>
      <w:r>
        <w:rPr>
          <w:szCs w:val="24"/>
        </w:rPr>
        <w:tab/>
        <w:t>(k)</w:t>
        <w:tab/>
        <w:t xml:space="preserve">Repayment Date </w:t>
      </w:r>
      <w:r>
        <w:rPr>
          <w:b/>
          <w:bCs/>
          <w:szCs w:val="24"/>
        </w:rPr>
        <w:t>[</w:t>
      </w:r>
      <w:r>
        <w:rPr>
          <w:b/>
          <w:bCs/>
          <w:i/>
          <w:iCs/>
          <w:szCs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b/>
          <w:bCs/>
          <w:i/>
          <w:iCs/>
          <w:szCs w:val="24"/>
        </w:rPr>
        <w:tab/>
        <w:tab/>
        <w:t>fixed price put</w:t>
      </w:r>
      <w:r>
        <w:rPr>
          <w:b/>
          <w:bCs/>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0"/>
        <w:rPr>
          <w:szCs w:val="24"/>
        </w:rPr>
      </w:pPr>
      <w:r>
        <w:rPr>
          <w:szCs w:val="24"/>
        </w:rPr>
        <w:tab/>
        <w:t>(m)</w:t>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szCs w:val="24"/>
        </w:rPr>
      </w:pPr>
      <w:r>
        <w:rPr>
          <w:szCs w:val="24"/>
        </w:rPr>
        <w:t>Dated: _________________</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szCs w:val="24"/>
        </w:rPr>
      </w:pPr>
      <w:r>
        <w:rPr>
          <w:szCs w:val="24"/>
        </w:rPr>
      </w:r>
    </w:p>
    <w:p>
      <w:pPr>
        <w:sectPr>
          <w:headerReference w:type="default" r:id="rId24"/>
          <w:headerReference w:type="first" r:id="rId25"/>
          <w:footerReference w:type="default" r:id="rId26"/>
          <w:footerReference w:type="first" r:id="rId27"/>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rPr>
          <w:szCs w:val="24"/>
        </w:rPr>
      </w:pPr>
      <w:r>
        <w:rPr>
          <w:szCs w:val="24"/>
        </w:rPr>
        <w:t>Hawaii II 125-0 Trust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By:</w:t>
        <w:tab/>
        <w:t xml:space="preserve">Wilmington Trust Company,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rPr>
          <w:szCs w:val="24"/>
        </w:rPr>
      </w:pPr>
      <w:r>
        <w:rPr>
          <w:szCs w:val="24"/>
        </w:rPr>
        <w:t xml:space="preserve">not in its individual capacity, </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rPr>
          <w:szCs w:val="24"/>
        </w:rPr>
      </w:pPr>
      <w:r>
        <w:rPr>
          <w:szCs w:val="24"/>
        </w:rPr>
        <w:t>but solely as Owner Trustee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By:</w:t>
      </w:r>
      <w:r>
        <w:rPr>
          <w:szCs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Name:</w:t>
      </w:r>
      <w:r>
        <w:rPr>
          <w:szCs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Title:</w:t>
      </w:r>
      <w:r>
        <w:rPr>
          <w:szCs w:val="24"/>
          <w:u w:val="single"/>
        </w:rPr>
        <w:tab/>
        <w:tab/>
        <w:tab/>
        <w:tab/>
        <w:tab/>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b/>
          <w:bCs/>
          <w:szCs w:val="24"/>
        </w:rPr>
      </w:pPr>
      <w:r>
        <w:rPr>
          <w:b/>
          <w:bCs/>
          <w:szCs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Cs w:val="24"/>
        </w:rPr>
      </w:pPr>
      <w:r>
        <w:rPr>
          <w:b/>
          <w:bCs/>
          <w:szCs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b/>
          <w:bCs/>
          <w:szCs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clear" w:pos="720"/>
          <w:tab w:val="right" w:pos="9360" w:leader="none"/>
        </w:tabs>
        <w:rPr>
          <w:szCs w:val="24"/>
        </w:rPr>
      </w:pPr>
      <w:r>
        <w:rPr>
          <w:szCs w:val="24"/>
        </w:rPr>
        <w:t>$_____________________</w:t>
        <w:tab/>
        <w:t>New York, New York</w:t>
      </w:r>
    </w:p>
    <w:p>
      <w:pPr>
        <w:pStyle w:val="Normal"/>
        <w:tabs>
          <w:tab w:val="clear" w:pos="720"/>
          <w:tab w:val="right" w:pos="9360" w:leader="none"/>
        </w:tabs>
        <w:rPr/>
      </w:pPr>
      <w:r>
        <w:rPr>
          <w:szCs w:val="24"/>
        </w:rPr>
        <w:tab/>
        <w:t xml:space="preserve">November </w:t>
      </w:r>
      <w:r>
        <w:rPr>
          <w:b/>
          <w:bCs/>
          <w:szCs w:val="24"/>
        </w:rPr>
        <w:t>[</w:t>
      </w:r>
      <w:r>
        <w:rPr>
          <w:szCs w:val="24"/>
        </w:rPr>
        <w:t>17</w:t>
      </w:r>
      <w:r>
        <w:rPr>
          <w:b/>
          <w:bCs/>
          <w:szCs w:val="24"/>
        </w:rPr>
        <w:t>]</w:t>
      </w:r>
      <w:r>
        <w:rPr>
          <w:szCs w:val="24"/>
        </w:rPr>
        <w:t>,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Cs w:val="24"/>
        </w:rPr>
        <w:tab/>
        <w:t xml:space="preserve">FOR VALUE RECEIVED, Hawaii II 125-0 Trust, a business trust formed under the laws of the State of Delaware whose principal place of business is at Rodney Square North, 1100 North Market Street, Wilmington, Delaware (the </w:t>
      </w:r>
      <w:r>
        <w:rPr>
          <w:b/>
          <w:bCs/>
          <w:szCs w:val="24"/>
        </w:rPr>
        <w:t>“</w:t>
      </w:r>
      <w:r>
        <w:rPr>
          <w:b/>
          <w:bCs/>
          <w:szCs w:val="24"/>
          <w:u w:val="single"/>
        </w:rPr>
        <w:t>Trust</w:t>
      </w:r>
      <w:r>
        <w:rPr>
          <w:b/>
          <w:bCs/>
          <w:szCs w:val="24"/>
        </w:rPr>
        <w:t>”</w:t>
      </w:r>
      <w:r>
        <w:rPr>
          <w:szCs w:val="24"/>
        </w:rPr>
        <w:t xml:space="preserve">) promises to pay to the order of </w:t>
      </w:r>
      <w:r>
        <w:rPr>
          <w:b/>
          <w:bCs/>
          <w:szCs w:val="24"/>
        </w:rPr>
        <w:t>[</w:t>
      </w:r>
      <w:r>
        <w:rPr>
          <w:b/>
          <w:bCs/>
          <w:i/>
          <w:iCs/>
          <w:szCs w:val="24"/>
        </w:rPr>
        <w:t>insert name of Lender in capital letters</w:t>
      </w:r>
      <w:r>
        <w:rPr>
          <w:b/>
          <w:bCs/>
          <w:szCs w:val="24"/>
        </w:rPr>
        <w:t>]</w:t>
      </w:r>
      <w:r>
        <w:rPr>
          <w:szCs w:val="24"/>
        </w:rPr>
        <w:t xml:space="preserve"> ( the </w:t>
      </w:r>
      <w:r>
        <w:rPr>
          <w:b/>
          <w:bCs/>
          <w:szCs w:val="24"/>
        </w:rPr>
        <w:t>“</w:t>
      </w:r>
      <w:r>
        <w:rPr>
          <w:b/>
          <w:bCs/>
          <w:szCs w:val="24"/>
          <w:u w:val="single"/>
        </w:rPr>
        <w:t>Payee</w:t>
      </w:r>
      <w:r>
        <w:rPr>
          <w:b/>
          <w:bCs/>
          <w:szCs w:val="24"/>
        </w:rPr>
        <w:t>”</w:t>
      </w:r>
      <w:r>
        <w:rPr>
          <w:szCs w:val="24"/>
        </w:rPr>
        <w:t xml:space="preserve">) on November </w:t>
      </w:r>
      <w:r>
        <w:rPr>
          <w:b/>
          <w:bCs/>
          <w:szCs w:val="24"/>
        </w:rPr>
        <w:t>[</w:t>
      </w:r>
      <w:r>
        <w:rPr>
          <w:szCs w:val="24"/>
        </w:rPr>
        <w:t>16</w:t>
      </w:r>
      <w:r>
        <w:rPr>
          <w:b/>
          <w:bCs/>
          <w:szCs w:val="24"/>
        </w:rPr>
        <w:t>]</w:t>
      </w:r>
      <w:r>
        <w:rPr>
          <w:szCs w:val="24"/>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Cs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r>
        <w:rPr>
          <w:b/>
          <w:bCs/>
          <w:szCs w:val="24"/>
        </w:rPr>
        <w:t>[</w:t>
      </w:r>
      <w:r>
        <w:rPr>
          <w:szCs w:val="24"/>
        </w:rPr>
        <w:t>17</w:t>
      </w:r>
      <w:r>
        <w:rPr>
          <w:b/>
          <w:bCs/>
          <w:szCs w:val="24"/>
        </w:rPr>
        <w:t>]</w:t>
      </w:r>
      <w:r>
        <w:rPr>
          <w:szCs w:val="24"/>
        </w:rPr>
        <w:t xml:space="preserve">, 2000 (as such Facility Agreement may be amended from time to time, the </w:t>
      </w:r>
      <w:r>
        <w:rPr>
          <w:b/>
          <w:bCs/>
          <w:szCs w:val="24"/>
        </w:rPr>
        <w:t>“</w:t>
      </w:r>
      <w:r>
        <w:rPr>
          <w:b/>
          <w:bCs/>
          <w:szCs w:val="24"/>
          <w:u w:val="single"/>
        </w:rPr>
        <w:t>Facility Agreement</w:t>
      </w:r>
      <w:r>
        <w:rPr>
          <w:b/>
          <w:bCs/>
          <w:szCs w:val="24"/>
        </w:rPr>
        <w:t>”</w:t>
      </w:r>
      <w:r>
        <w:rPr>
          <w:szCs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Cs w:val="24"/>
        </w:rPr>
        <w:tab/>
        <w:t xml:space="preserve">This Note is one of the </w:t>
      </w:r>
      <w:r>
        <w:rPr>
          <w:b/>
          <w:bCs/>
          <w:szCs w:val="24"/>
        </w:rPr>
        <w:t>“</w:t>
      </w:r>
      <w:r>
        <w:rPr>
          <w:b/>
          <w:bCs/>
          <w:szCs w:val="24"/>
          <w:u w:val="single"/>
        </w:rPr>
        <w:t>Notes</w:t>
      </w:r>
      <w:r>
        <w:rPr>
          <w:b/>
          <w:bCs/>
          <w:szCs w:val="24"/>
        </w:rPr>
        <w:t>”</w:t>
      </w:r>
      <w:r>
        <w:rPr>
          <w:szCs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Cs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Cs w:val="24"/>
          <w:u w:val="single"/>
        </w:rPr>
        <w:t>provided</w:t>
      </w:r>
      <w:r>
        <w:rPr>
          <w:szCs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r>
      <w:r>
        <w:rPr>
          <w:b/>
          <w:bCs/>
          <w:szCs w:val="24"/>
        </w:rPr>
        <w:t>HAWAII II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860" w:start="4860" w:end="0"/>
        <w:rPr>
          <w:szCs w:val="24"/>
        </w:rPr>
      </w:pPr>
      <w:r>
        <w:rPr>
          <w:szCs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 xml:space="preserve">By: </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jc w:val="center"/>
              <w:rPr>
                <w:szCs w:val="24"/>
              </w:rPr>
            </w:pPr>
            <w:r>
              <w:rPr>
                <w:b/>
                <w:bCs/>
                <w:szCs w:val="24"/>
              </w:rPr>
              <w:t>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Amount of</w:t>
            </w:r>
          </w:p>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Advance Made</w:t>
            </w:r>
          </w:p>
          <w:p>
            <w:pPr>
              <w:pStyle w:val="Normal"/>
              <w:tabs>
                <w:tab w:val="left" w:pos="-1080" w:leader="none"/>
                <w:tab w:val="left" w:pos="-720" w:leader="none"/>
                <w:tab w:val="left" w:pos="0" w:leader="none"/>
                <w:tab w:val="left" w:pos="720" w:leader="none"/>
                <w:tab w:val="left" w:pos="1440" w:leader="none"/>
              </w:tabs>
              <w:jc w:val="center"/>
              <w:rPr>
                <w:szCs w:val="24"/>
              </w:rPr>
            </w:pPr>
            <w:r>
              <w:rPr>
                <w:b/>
                <w:bCs/>
                <w:szCs w:val="24"/>
              </w:rPr>
              <w:t>This Date</w:t>
            </w:r>
          </w:p>
        </w:tc>
        <w:tc>
          <w:tcPr>
            <w:tcW w:w="1492"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Maturity</w:t>
            </w:r>
          </w:p>
          <w:p>
            <w:pPr>
              <w:pStyle w:val="Normal"/>
              <w:tabs>
                <w:tab w:val="left" w:pos="-1080" w:leader="none"/>
                <w:tab w:val="left" w:pos="-720" w:leader="none"/>
                <w:tab w:val="left" w:pos="0" w:leader="none"/>
                <w:tab w:val="left" w:pos="720" w:leader="none"/>
                <w:tab w:val="left" w:pos="1440" w:leader="none"/>
              </w:tabs>
              <w:jc w:val="center"/>
              <w:rPr>
                <w:szCs w:val="24"/>
              </w:rPr>
            </w:pPr>
            <w:r>
              <w:rPr>
                <w:b/>
                <w:bCs/>
                <w:szCs w:val="24"/>
              </w:rPr>
              <w:t>of Advance</w:t>
            </w:r>
          </w:p>
        </w:tc>
        <w:tc>
          <w:tcPr>
            <w:tcW w:w="1627"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Amount of</w:t>
            </w:r>
          </w:p>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Principal Paid</w:t>
            </w:r>
          </w:p>
          <w:p>
            <w:pPr>
              <w:pStyle w:val="Normal"/>
              <w:tabs>
                <w:tab w:val="left" w:pos="-1080" w:leader="none"/>
                <w:tab w:val="left" w:pos="-720" w:leader="none"/>
                <w:tab w:val="left" w:pos="0" w:leader="none"/>
                <w:tab w:val="left" w:pos="720" w:leader="none"/>
                <w:tab w:val="left" w:pos="1440" w:leader="none"/>
              </w:tabs>
              <w:jc w:val="center"/>
              <w:rPr>
                <w:szCs w:val="24"/>
              </w:rPr>
            </w:pPr>
            <w:r>
              <w:rPr>
                <w:b/>
                <w:bCs/>
                <w:szCs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Outstanding</w:t>
            </w:r>
          </w:p>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Principal</w:t>
            </w:r>
          </w:p>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Balance</w:t>
            </w:r>
          </w:p>
          <w:p>
            <w:pPr>
              <w:pStyle w:val="Normal"/>
              <w:tabs>
                <w:tab w:val="left" w:pos="-1080" w:leader="none"/>
                <w:tab w:val="left" w:pos="-720" w:leader="none"/>
                <w:tab w:val="left" w:pos="0" w:leader="none"/>
                <w:tab w:val="left" w:pos="720" w:leader="none"/>
                <w:tab w:val="left" w:pos="1440" w:leader="none"/>
              </w:tabs>
              <w:jc w:val="center"/>
              <w:rPr>
                <w:szCs w:val="24"/>
              </w:rPr>
            </w:pPr>
            <w:r>
              <w:rPr>
                <w:b/>
                <w:bCs/>
                <w:szCs w:val="24"/>
              </w:rPr>
              <w:t>This Date</w:t>
            </w:r>
          </w:p>
        </w:tc>
        <w:tc>
          <w:tcPr>
            <w:tcW w:w="1560" w:type="dxa"/>
            <w:tcBorders>
              <w:bottom w:val="single" w:sz="6" w:space="0" w:color="000000"/>
            </w:tcBorders>
            <w:vAlign w:val="bottom"/>
          </w:tcPr>
          <w:p>
            <w:pPr>
              <w:pStyle w:val="Normal"/>
              <w:tabs>
                <w:tab w:val="left" w:pos="-1080" w:leader="none"/>
                <w:tab w:val="left" w:pos="-720" w:leader="none"/>
                <w:tab w:val="left" w:pos="0" w:leader="none"/>
                <w:tab w:val="left" w:pos="720" w:leader="none"/>
                <w:tab w:val="left" w:pos="1440" w:leader="none"/>
              </w:tabs>
              <w:jc w:val="center"/>
              <w:rPr>
                <w:b/>
                <w:bCs/>
                <w:szCs w:val="24"/>
              </w:rPr>
            </w:pPr>
            <w:r>
              <w:rPr>
                <w:b/>
                <w:bCs/>
                <w:szCs w:val="24"/>
              </w:rPr>
              <w:t>Notation</w:t>
            </w:r>
          </w:p>
          <w:p>
            <w:pPr>
              <w:pStyle w:val="Normal"/>
              <w:tabs>
                <w:tab w:val="left" w:pos="-1080" w:leader="none"/>
                <w:tab w:val="left" w:pos="-720" w:leader="none"/>
                <w:tab w:val="left" w:pos="0" w:leader="none"/>
                <w:tab w:val="left" w:pos="720" w:leader="none"/>
                <w:tab w:val="left" w:pos="1440" w:leader="none"/>
              </w:tabs>
              <w:jc w:val="center"/>
              <w:rPr>
                <w:szCs w:val="24"/>
              </w:rPr>
            </w:pPr>
            <w:r>
              <w:rPr>
                <w:b/>
                <w:bCs/>
                <w:szCs w:val="24"/>
              </w:rPr>
              <w:t>Made By</w:t>
            </w:r>
          </w:p>
        </w:tc>
      </w:tr>
      <w:tr>
        <w:trPr/>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r>
      <w:tr>
        <w:trPr/>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r>
      <w:tr>
        <w:trPr/>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r>
      <w:tr>
        <w:trPr/>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492"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627"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c>
          <w:tcPr>
            <w:tcW w:w="1560" w:type="dxa"/>
            <w:tcBorders/>
          </w:tcPr>
          <w:p>
            <w:pPr>
              <w:pStyle w:val="Normal"/>
              <w:tabs>
                <w:tab w:val="left" w:pos="-1080" w:leader="none"/>
                <w:tab w:val="left" w:pos="-720" w:leader="none"/>
                <w:tab w:val="left" w:pos="0" w:leader="none"/>
                <w:tab w:val="left" w:pos="720" w:leader="none"/>
                <w:tab w:val="left" w:pos="1440" w:leader="none"/>
              </w:tabs>
              <w:snapToGrid w:val="false"/>
              <w:rPr>
                <w:szCs w:val="24"/>
              </w:rPr>
            </w:pPr>
            <w:r>
              <w:rPr>
                <w:szCs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sectPr>
          <w:headerReference w:type="default" r:id="rId28"/>
          <w:footerReference w:type="default" r:id="rId29"/>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 xml:space="preserve">Reference is made to the Facility Agreement, dated as of November </w:t>
      </w:r>
      <w:r>
        <w:rPr>
          <w:b/>
          <w:bCs/>
          <w:szCs w:val="24"/>
        </w:rPr>
        <w:t>[</w:t>
      </w:r>
      <w:r>
        <w:rPr>
          <w:szCs w:val="24"/>
        </w:rPr>
        <w:t>17</w:t>
      </w:r>
      <w:r>
        <w:rPr>
          <w:b/>
          <w:bCs/>
          <w:szCs w:val="24"/>
        </w:rPr>
        <w:t>]</w:t>
      </w:r>
      <w:r>
        <w:rPr>
          <w:szCs w:val="24"/>
        </w:rPr>
        <w:t xml:space="preserve">, 2000 (as the same may hereafter be amended or otherwise modified from time to time, the </w:t>
      </w:r>
      <w:r>
        <w:rPr>
          <w:b/>
          <w:bCs/>
          <w:szCs w:val="24"/>
        </w:rPr>
        <w:t>“</w:t>
      </w:r>
      <w:r>
        <w:rPr>
          <w:b/>
          <w:bCs/>
          <w:szCs w:val="24"/>
          <w:u w:val="single"/>
        </w:rPr>
        <w:t>Facility Agreement</w:t>
      </w:r>
      <w:r>
        <w:rPr>
          <w:b/>
          <w:bCs/>
          <w:szCs w:val="24"/>
        </w:rPr>
        <w:t>”</w:t>
      </w:r>
      <w:r>
        <w:rPr>
          <w:szCs w:val="24"/>
        </w:rPr>
        <w:t>), among (</w:t>
      </w:r>
      <w:r>
        <w:rPr>
          <w:i/>
          <w:iCs/>
          <w:szCs w:val="24"/>
        </w:rPr>
        <w:t>inter alia</w:t>
      </w:r>
      <w:r>
        <w:rPr>
          <w:szCs w:val="24"/>
        </w:rPr>
        <w:t xml:space="preserve">) Hawaii II 125-0 Trust, as issuer of the Notes and Canadian Imperial Bank of Commerce, as Agent, the Lenders named therein and CIBC World Markets Corp., as Arranger.  Pursuant to the Facility Agreement _________________ (the </w:t>
      </w:r>
      <w:r>
        <w:rPr>
          <w:b/>
          <w:bCs/>
          <w:szCs w:val="24"/>
        </w:rPr>
        <w:t>“</w:t>
      </w:r>
      <w:r>
        <w:rPr>
          <w:b/>
          <w:bCs/>
          <w:szCs w:val="24"/>
          <w:u w:val="single"/>
        </w:rPr>
        <w:t>Assignor</w:t>
      </w:r>
      <w:r>
        <w:rPr>
          <w:b/>
          <w:bCs/>
          <w:szCs w:val="24"/>
        </w:rPr>
        <w:t>”</w:t>
      </w:r>
      <w:r>
        <w:rPr>
          <w:szCs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 xml:space="preserve">The Assignor and _______________________ (the </w:t>
      </w:r>
      <w:r>
        <w:rPr>
          <w:b/>
          <w:bCs/>
          <w:szCs w:val="24"/>
        </w:rPr>
        <w:t>“</w:t>
      </w:r>
      <w:r>
        <w:rPr>
          <w:b/>
          <w:bCs/>
          <w:szCs w:val="24"/>
          <w:u w:val="single"/>
        </w:rPr>
        <w:t>Assignee</w:t>
      </w:r>
      <w:r>
        <w:rPr>
          <w:b/>
          <w:bCs/>
          <w:szCs w:val="24"/>
        </w:rPr>
        <w:t>”</w:t>
      </w:r>
      <w:r>
        <w:rPr>
          <w:szCs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bCs/>
          <w:szCs w:val="24"/>
        </w:rPr>
        <w:t>“</w:t>
      </w:r>
      <w:r>
        <w:rPr>
          <w:b/>
          <w:bCs/>
          <w:szCs w:val="24"/>
          <w:u w:val="single"/>
        </w:rPr>
        <w:t>Assigned Interest</w:t>
      </w:r>
      <w:r>
        <w:rPr>
          <w:b/>
          <w:bCs/>
          <w:szCs w:val="24"/>
        </w:rPr>
        <w:t>”</w:t>
      </w:r>
      <w:r>
        <w:rPr>
          <w:szCs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bCs/>
          <w:szCs w:val="24"/>
        </w:rPr>
        <w:t>“</w:t>
      </w:r>
      <w:r>
        <w:rPr>
          <w:b/>
          <w:bCs/>
          <w:szCs w:val="24"/>
          <w:u w:val="single"/>
        </w:rPr>
        <w:t>Effective Date</w:t>
      </w:r>
      <w:r>
        <w:rPr>
          <w:b/>
          <w:bCs/>
          <w:szCs w:val="24"/>
        </w:rPr>
        <w:t>”</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9.</w:t>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numPr>
          <w:ilvl w:val="0"/>
          <w:numId w:val="0"/>
        </w:num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ab/>
        <w:t>By:</w:t>
      </w:r>
      <w:r>
        <w:rPr>
          <w:szCs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szCs w:val="24"/>
        </w:rPr>
      </w:pPr>
      <w:r>
        <w:rPr>
          <w:szCs w:val="24"/>
        </w:rPr>
        <w:tab/>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szCs w:val="24"/>
        </w:rPr>
      </w:pPr>
      <w:r>
        <w:rPr>
          <w:szCs w:val="24"/>
        </w:rPr>
        <w:tab/>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ab/>
        <w:t>By:</w:t>
      </w:r>
      <w:r>
        <w:rPr>
          <w:szCs w:val="24"/>
          <w:u w:val="single"/>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szCs w:val="24"/>
        </w:rPr>
      </w:pPr>
      <w:r>
        <w:rPr>
          <w:szCs w:val="24"/>
        </w:rPr>
        <w:tab/>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rPr>
          <w:szCs w:val="24"/>
        </w:rPr>
      </w:pPr>
      <w:r>
        <w:rPr>
          <w:szCs w:val="24"/>
        </w:rPr>
        <w:tab/>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u w:val="single"/>
        </w:rPr>
        <w:t xml:space="preserve">                                           </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By:</w:t>
      </w:r>
      <w:r>
        <w:rPr>
          <w:szCs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Name:</w:t>
      </w:r>
      <w:r>
        <w:rPr>
          <w:szCs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Title:</w:t>
      </w:r>
      <w:r>
        <w:rPr>
          <w:szCs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pPr>
      <w:r>
        <w:rPr>
          <w:b/>
          <w:bCs/>
          <w:szCs w:val="24"/>
        </w:rPr>
        <w:t>Dated as of [</w:t>
      </w:r>
      <w:r>
        <w:rPr>
          <w:b/>
          <w:bCs/>
          <w:szCs w:val="24"/>
          <w:u w:val="single"/>
        </w:rPr>
        <w:t xml:space="preserve">                         </w:t>
      </w:r>
      <w:r>
        <w:rPr>
          <w:b/>
          <w:bCs/>
          <w:szCs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Effective Date**</w:t>
        <w:tab/>
        <w:tab/>
        <w:tab/>
        <w:tab/>
        <w:tab/>
        <w:tab/>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 </w:t>
      </w:r>
      <w:r>
        <w:rPr>
          <w:szCs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rPr>
          <w:szCs w:val="24"/>
        </w:rPr>
      </w:pPr>
      <w:r>
        <w:rPr>
          <w:szCs w:val="24"/>
        </w:rPr>
        <w:t>**</w:t>
        <w:tab/>
        <w:t xml:space="preserve">See Section 23.2(b) of the Facility Agreement.  Such date shall be at least five Business </w:t>
        <w:tab/>
        <w:t>Days after the execution of this 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r>
      <w:r>
        <w:rPr>
          <w:szCs w:val="24"/>
          <w:u w:val="single"/>
        </w:rPr>
        <w:t>CREDIT CONTACT</w:t>
      </w:r>
      <w:r>
        <w:rPr>
          <w:szCs w:val="24"/>
        </w:rPr>
        <w:tab/>
        <w:tab/>
      </w:r>
      <w:r>
        <w:rPr>
          <w:szCs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right" w:pos="9360" w:leader="none"/>
        </w:tabs>
        <w:rPr>
          <w:szCs w:val="24"/>
        </w:rPr>
      </w:pPr>
      <w:r>
        <w:rPr>
          <w:szCs w:val="24"/>
        </w:rPr>
        <w:t>Name:</w:t>
        <w:tab/>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right" w:pos="9360" w:leader="none"/>
        </w:tabs>
        <w:rPr>
          <w:szCs w:val="24"/>
        </w:rPr>
      </w:pPr>
      <w:r>
        <w:rPr>
          <w:szCs w:val="24"/>
        </w:rPr>
        <w:t>Title:</w:t>
        <w:tab/>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Address: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(street):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(city, state):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(zip code):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Phone Number: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Fax Number: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 </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right" w:pos="9360" w:leader="none"/>
        </w:tabs>
        <w:rPr>
          <w:szCs w:val="24"/>
        </w:rPr>
      </w:pPr>
      <w:r>
        <w:rPr>
          <w:szCs w:val="24"/>
        </w:rPr>
        <w:t>Method of Payment:</w:t>
        <w:tab/>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right" w:pos="9360" w:leader="none"/>
        </w:tabs>
        <w:rPr>
          <w:szCs w:val="24"/>
        </w:rPr>
      </w:pPr>
      <w:r>
        <w:rPr>
          <w:szCs w:val="24"/>
        </w:rPr>
        <w:t>Chips:</w:t>
        <w:tab/>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Pay to (Name of Bank):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City, State: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ABA Number: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Account Number: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Account Name: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 </w:t>
      </w:r>
      <w:r>
        <w:rPr>
          <w:szCs w:val="24"/>
        </w:rPr>
        <w:t xml:space="preserve">Reference: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Attention: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 xml:space="preserve">Initial:  </w:t>
      </w:r>
      <w:r>
        <w:rPr>
          <w:szCs w:val="24"/>
          <w:u w:val="single"/>
        </w:rPr>
        <w:t xml:space="preserve">                 </w:t>
      </w:r>
      <w:r>
        <w:rPr>
          <w:szCs w:val="24"/>
        </w:rPr>
        <w:t xml:space="preserve">   Date:  </w:t>
      </w:r>
      <w:r>
        <w:rPr>
          <w:szCs w:val="24"/>
          <w:u w:val="single"/>
        </w:rPr>
        <w:t xml:space="preserve">                   </w:t>
      </w:r>
    </w:p>
    <w:p>
      <w:pPr>
        <w:sectPr>
          <w:headerReference w:type="default" r:id="rId34"/>
          <w:footerReference w:type="default" r:id="rId35"/>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u w:val="single"/>
        </w:rPr>
      </w:pPr>
      <w:r>
        <w:rPr>
          <w:b/>
          <w:bCs/>
          <w:szCs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u w:val="single"/>
        </w:rPr>
      </w:pPr>
      <w:r>
        <w:rPr>
          <w:szCs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u w:val="single"/>
        </w:rPr>
      </w:pPr>
      <w:r>
        <w:rPr>
          <w:szCs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u w:val="single"/>
        </w:rPr>
      </w:pPr>
      <w:r>
        <w:rPr>
          <w:szCs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szCs w:val="24"/>
          <w:u w:val="single"/>
        </w:rPr>
        <w:t>Danno Assets</w:t>
      </w:r>
      <w:r>
        <w:rPr>
          <w:szCs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szCs w:val="24"/>
          <w:u w:val="single"/>
        </w:rPr>
        <w:t>Governor Assets</w:t>
      </w:r>
      <w:r>
        <w:rPr>
          <w:szCs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szCs w:val="24"/>
          <w:u w:val="single"/>
        </w:rPr>
        <w:t>McGarret Assets</w:t>
      </w:r>
      <w:r>
        <w:rPr>
          <w:szCs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jc w:val="both"/>
        <w:rPr>
          <w:szCs w:val="24"/>
        </w:rPr>
      </w:pPr>
      <w:r>
        <w:rPr>
          <w:szCs w:val="24"/>
        </w:rPr>
        <w:t>•</w:t>
      </w:r>
      <w:r>
        <w:rPr>
          <w:szCs w:val="24"/>
        </w:rPr>
        <w:tab/>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jc w:val="both"/>
        <w:rPr>
          <w:szCs w:val="24"/>
        </w:rPr>
      </w:pPr>
      <w:r>
        <w:rPr>
          <w:szCs w:val="24"/>
        </w:rPr>
        <w:t>•</w:t>
      </w:r>
      <w:r>
        <w:rPr>
          <w:szCs w:val="24"/>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jc w:val="both"/>
        <w:rPr>
          <w:szCs w:val="24"/>
        </w:rPr>
      </w:pPr>
      <w:r>
        <w:rPr>
          <w:szCs w:val="24"/>
        </w:rPr>
        <w:t>•</w:t>
      </w:r>
      <w:r>
        <w:rPr>
          <w:szCs w:val="24"/>
        </w:rPr>
        <w:tab/>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jc w:val="both"/>
        <w:rPr>
          <w:szCs w:val="24"/>
        </w:rPr>
      </w:pPr>
      <w:r>
        <w:rPr>
          <w:szCs w:val="24"/>
        </w:rPr>
        <w:t>•</w:t>
      </w:r>
      <w:r>
        <w:rPr>
          <w:szCs w:val="24"/>
        </w:rPr>
        <w:tab/>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u w:val="single"/>
        </w:rPr>
      </w:pPr>
      <w:r>
        <w:rPr>
          <w:b/>
          <w:bCs/>
          <w:szCs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u w:val="single"/>
        </w:rPr>
      </w:pPr>
      <w:r>
        <w:rPr>
          <w:szCs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u w:val="single"/>
        </w:rPr>
        <w:t xml:space="preserve">Part </w:t>
      </w:r>
      <w:r>
        <w:fldChar w:fldCharType="begin"/>
      </w:r>
      <w:r>
        <w:rPr/>
        <w:instrText xml:space="preserve"> TC "Part " \l 2 </w:instrText>
      </w:r>
      <w:r>
        <w:rPr/>
        <w:fldChar w:fldCharType="separate"/>
      </w:r>
      <w:r>
        <w:rPr/>
      </w:r>
      <w:r>
        <w:rPr/>
        <w:fldChar w:fldCharType="end"/>
      </w:r>
      <w:r>
        <w:rPr>
          <w:szCs w:val="24"/>
          <w:u w:val="single"/>
        </w:rPr>
        <w:t xml:space="preserve">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szCs w:val="24"/>
        </w:rPr>
        <w:tab/>
        <w:t>1.</w:t>
        <w:tab/>
        <w:t xml:space="preserve">In respect of each Underlying Asset, a new Series is established pursuant to a Series Supplement (the </w:t>
      </w:r>
      <w:r>
        <w:rPr>
          <w:b/>
          <w:bCs/>
          <w:szCs w:val="24"/>
        </w:rPr>
        <w:t>“</w:t>
      </w:r>
      <w:r>
        <w:rPr>
          <w:b/>
          <w:bCs/>
          <w:szCs w:val="24"/>
          <w:u w:val="single"/>
        </w:rPr>
        <w:t>Applicable Series</w:t>
      </w:r>
      <w:r>
        <w:rPr>
          <w:b/>
          <w:bCs/>
          <w:szCs w:val="24"/>
        </w:rPr>
        <w:t>”</w:t>
      </w:r>
      <w:r>
        <w:rPr>
          <w:szCs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(b)</w:t>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3.</w:t>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5.</w:t>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szCs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iCs/>
          <w:szCs w:val="24"/>
        </w:rPr>
        <w:t>or</w:t>
      </w:r>
      <w:r>
        <w:rPr>
          <w:szCs w:val="24"/>
        </w:rPr>
        <w:t xml:space="preserve"> (b) the Sponsor capitalizing Asset LLC by issuing a demand note in favor of Asset LLC; </w:t>
      </w:r>
      <w:r>
        <w:rPr>
          <w:i/>
          <w:iCs/>
          <w:szCs w:val="24"/>
        </w:rPr>
        <w:t xml:space="preserve">or </w:t>
      </w:r>
      <w:r>
        <w:rPr>
          <w:szCs w:val="24"/>
        </w:rPr>
        <w:t>(c) a combination of (a) and (b), above,</w:t>
      </w:r>
      <w:r>
        <w:rPr>
          <w:i/>
          <w:iCs/>
          <w:szCs w:val="24"/>
        </w:rPr>
        <w:t xml:space="preserve"> </w:t>
      </w:r>
      <w:r>
        <w:rPr>
          <w:szCs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9.</w:t>
        <w:tab/>
        <w:t>An Underlying Asset will not conform with the Model Structure if (a) following Drawdown of the Tranche requested in the related Asset Notice, more than $145,500,000 in aggregate (including all Hawaii I Tranches) would have been drawn down under the Facility Agreement and the Hawaii I Facility Agreement in the aggregate with respect to Underlying Assets consisting of the obligations of or ownership interests in a single Person; or (b) the Tranche requested in the related Asset Notice is greater than $145,500,000 or less than $9,700,000.  The foregoing is not a limitation on any other reason why an Underlying Asset might not conform with the Model Structure.</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sectPr>
          <w:headerReference w:type="default" r:id="rId36"/>
          <w:footerReference w:type="default" r:id="rId37"/>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Independent Auctioneer Letter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Swap Confirmation</w:t>
      </w:r>
    </w:p>
    <w:p>
      <w:pPr>
        <w:sectPr>
          <w:headerReference w:type="default" r:id="rId38"/>
          <w:footerReference w:type="default" r:id="rId39"/>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Transfer and Auction Agreement</w:t>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u w:val="single"/>
        </w:rPr>
        <w:t>Part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Transferor LLC Agreement</w:t>
      </w:r>
    </w:p>
    <w:p>
      <w:pPr>
        <w:sectPr>
          <w:headerReference w:type="default" r:id="rId44"/>
          <w:headerReference w:type="first" r:id="rId45"/>
          <w:footerReference w:type="default" r:id="rId46"/>
          <w:footerReference w:type="first" r:id="rId47"/>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Legal Opinions</w:t>
      </w:r>
    </w:p>
    <w:p>
      <w:pPr>
        <w:sectPr>
          <w:headerReference w:type="default" r:id="rId48"/>
          <w:headerReference w:type="first" r:id="rId49"/>
          <w:footerReference w:type="default" r:id="rId50"/>
          <w:footerReference w:type="first" r:id="rId51"/>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[Hawaii II]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szCs w:val="24"/>
        </w:rPr>
        <w:tab/>
        <w:t>This is an Asset Notice referred to in Section 5.1 of the Facility Agreement dated November</w:t>
      </w:r>
      <w:r>
        <w:rPr>
          <w:b/>
          <w:bCs/>
          <w:szCs w:val="24"/>
        </w:rPr>
        <w:t> [</w:t>
      </w:r>
      <w:r>
        <w:rPr>
          <w:szCs w:val="24"/>
        </w:rPr>
        <w:t>17</w:t>
      </w:r>
      <w:r>
        <w:rPr>
          <w:b/>
          <w:bCs/>
          <w:szCs w:val="24"/>
        </w:rPr>
        <w:t>]</w:t>
      </w:r>
      <w:r>
        <w:rPr>
          <w:szCs w:val="24"/>
        </w:rPr>
        <w:t xml:space="preserve">, 2000 (the </w:t>
      </w:r>
      <w:r>
        <w:rPr>
          <w:b/>
          <w:bCs/>
          <w:szCs w:val="24"/>
        </w:rPr>
        <w:t>“</w:t>
      </w:r>
      <w:r>
        <w:rPr>
          <w:b/>
          <w:bCs/>
          <w:szCs w:val="24"/>
          <w:u w:val="single"/>
        </w:rPr>
        <w:t>Facility Agreement</w:t>
      </w:r>
      <w:r>
        <w:rPr>
          <w:b/>
          <w:bCs/>
          <w:szCs w:val="24"/>
        </w:rPr>
        <w:t>”</w:t>
      </w:r>
      <w:r>
        <w:rPr>
          <w:szCs w:val="24"/>
        </w:rPr>
        <w:t xml:space="preserve">) made between Hawaii 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bCs/>
          <w:i/>
          <w:iCs/>
          <w:szCs w:val="24"/>
        </w:rPr>
        <w:t>[please confirm]</w:t>
      </w:r>
      <w:r>
        <w:rPr>
          <w:szCs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5760" w:start="5760" w:end="0"/>
        <w:jc w:val="both"/>
        <w:rPr>
          <w:szCs w:val="24"/>
        </w:rPr>
      </w:pPr>
      <w:r>
        <w:rPr>
          <w:szCs w:val="24"/>
        </w:rPr>
        <w:tab/>
        <w:t>1.</w:t>
        <w:tab/>
        <w:t>Valuation of Underlying Asset:</w:t>
        <w:tab/>
        <w:tab/>
        <w:t>$</w:t>
      </w:r>
      <w:r>
        <w:rPr>
          <w:b/>
          <w:bCs/>
          <w:szCs w:val="24"/>
        </w:rPr>
        <w:t>[</w:t>
      </w:r>
      <w:r>
        <w:rPr>
          <w:b/>
          <w:bCs/>
          <w:i/>
          <w:iCs/>
          <w:szCs w:val="24"/>
        </w:rPr>
        <w:t>Amount</w:t>
      </w:r>
      <w:r>
        <w:rPr>
          <w:b/>
          <w:bCs/>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5760" w:start="5760" w:end="0"/>
        <w:jc w:val="both"/>
        <w:rPr/>
      </w:pPr>
      <w:r>
        <w:rPr>
          <w:szCs w:val="24"/>
        </w:rPr>
        <w:tab/>
        <w:t>2.</w:t>
        <w:tab/>
        <w:t xml:space="preserve">Amount of Debt Tranche: </w:t>
        <w:tab/>
        <w:tab/>
        <w:tab/>
        <w:t>$</w:t>
      </w:r>
      <w:r>
        <w:rPr>
          <w:b/>
          <w:bCs/>
          <w:szCs w:val="24"/>
        </w:rPr>
        <w:t>[</w:t>
      </w:r>
      <w:r>
        <w:rPr>
          <w:b/>
          <w:bCs/>
          <w:i/>
          <w:iCs/>
          <w:szCs w:val="24"/>
        </w:rPr>
        <w:t>Amount</w:t>
      </w:r>
      <w:r>
        <w:rPr>
          <w:b/>
          <w:bCs/>
          <w:szCs w:val="24"/>
        </w:rPr>
        <w:t>]</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pPr>
      <w:r>
        <w:rPr>
          <w:szCs w:val="24"/>
        </w:rPr>
        <w:tab/>
        <w:t>3.</w:t>
        <w:tab/>
        <w:t>Proposed Equity Amount:</w:t>
        <w:tab/>
      </w:r>
      <w:r>
        <w:rPr>
          <w:b/>
          <w:bCs/>
          <w:szCs w:val="24"/>
        </w:rPr>
        <w:tab/>
        <w:tab/>
      </w:r>
      <w:r>
        <w:rPr>
          <w:szCs w:val="24"/>
        </w:rPr>
        <w:t>$</w:t>
      </w:r>
      <w:r>
        <w:rPr>
          <w:b/>
          <w:bCs/>
          <w:szCs w:val="24"/>
        </w:rPr>
        <w:t>[</w:t>
      </w:r>
      <w:r>
        <w:rPr>
          <w:b/>
          <w:bCs/>
          <w:i/>
          <w:iCs/>
          <w:szCs w:val="24"/>
        </w:rPr>
        <w:t>Amount</w:t>
      </w:r>
      <w:r>
        <w:rPr>
          <w:b/>
          <w:bCs/>
          <w:szCs w:val="24"/>
        </w:rPr>
        <w:t>]</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Cs w:val="24"/>
        </w:rPr>
      </w:pPr>
      <w:r>
        <w:rPr>
          <w:szCs w:val="24"/>
        </w:rPr>
        <w:tab/>
        <w:t>4.</w:t>
        <w:tab/>
        <w:t>Name of Series:</w:t>
        <w:tab/>
        <w:tab/>
      </w:r>
      <w:r>
        <w:rPr>
          <w:b/>
          <w:bCs/>
          <w:szCs w:val="24"/>
        </w:rPr>
        <w:tab/>
        <w:tab/>
        <w:t>[</w:t>
      </w:r>
      <w:r>
        <w:rPr>
          <w:b/>
          <w:bCs/>
          <w:i/>
          <w:iCs/>
          <w:szCs w:val="24"/>
        </w:rPr>
        <w:t>Name</w:t>
      </w:r>
      <w:r>
        <w:rPr>
          <w:b/>
          <w:bCs/>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5760" w:start="5760" w:end="0"/>
        <w:jc w:val="both"/>
        <w:rPr>
          <w:szCs w:val="24"/>
        </w:rPr>
      </w:pPr>
      <w:r>
        <w:rPr>
          <w:szCs w:val="24"/>
        </w:rPr>
        <w:tab/>
        <w:t>5.</w:t>
        <w:tab/>
        <w:t>Brief Description of Underlying Asset:</w:t>
        <w:tab/>
      </w:r>
      <w:r>
        <w:rPr>
          <w:b/>
          <w:bCs/>
          <w:i/>
          <w:iCs/>
          <w:szCs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5760" w:start="5760" w:end="0"/>
        <w:jc w:val="both"/>
        <w:rPr>
          <w:szCs w:val="24"/>
        </w:rPr>
      </w:pPr>
      <w:r>
        <w:rPr>
          <w:szCs w:val="24"/>
        </w:rPr>
        <w:tab/>
        <w:t>6.</w:t>
        <w:tab/>
        <w:t>Valuation Methodology Employed:</w:t>
        <w:tab/>
        <w:tab/>
      </w:r>
      <w:r>
        <w:rPr>
          <w:b/>
          <w:bCs/>
          <w:i/>
          <w:iCs/>
          <w:szCs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7.</w:t>
        <w:tab/>
        <w:t>Name of Asset LLC:</w:t>
        <w:tab/>
        <w:tab/>
        <w:tab/>
        <w:tab/>
      </w:r>
      <w:r>
        <w:rPr>
          <w:b/>
          <w:bCs/>
          <w:szCs w:val="24"/>
        </w:rPr>
        <w:t>[</w:t>
      </w:r>
      <w:r>
        <w:rPr>
          <w:b/>
          <w:bCs/>
          <w:i/>
          <w:iCs/>
          <w:szCs w:val="24"/>
        </w:rPr>
        <w:t>Name</w:t>
      </w:r>
      <w:r>
        <w:rPr>
          <w:b/>
          <w:bCs/>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8.</w:t>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Cs w:val="24"/>
        </w:rPr>
      </w:pPr>
      <w:r>
        <w:rPr>
          <w:szCs w:val="24"/>
        </w:rPr>
        <w:tab/>
        <w:tab/>
        <w:t>of Entity</w:t>
        <w:tab/>
        <w:t>:</w:t>
        <w:tab/>
        <w:tab/>
        <w:tab/>
        <w:tab/>
      </w:r>
      <w:r>
        <w:rPr>
          <w:b/>
          <w:bCs/>
          <w:szCs w:val="24"/>
        </w:rPr>
        <w:t>[</w:t>
      </w:r>
      <w:r>
        <w:rPr>
          <w:b/>
          <w:bCs/>
          <w:i/>
          <w:iCs/>
          <w:szCs w:val="24"/>
        </w:rPr>
        <w:t>Name</w:t>
      </w:r>
      <w:r>
        <w:rPr>
          <w:b/>
          <w:bCs/>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9.</w:t>
        <w:tab/>
        <w:t>Asset Structure:</w:t>
        <w:tab/>
        <w:tab/>
        <w:tab/>
        <w:tab/>
      </w:r>
      <w:r>
        <w:rPr>
          <w:b/>
          <w:bCs/>
          <w:i/>
          <w:iCs/>
          <w:szCs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5760" w:start="5760" w:end="0"/>
        <w:jc w:val="both"/>
        <w:rPr>
          <w:szCs w:val="24"/>
        </w:rPr>
      </w:pPr>
      <w:r>
        <w:rPr>
          <w:szCs w:val="24"/>
        </w:rPr>
        <w:tab/>
        <w:t>10.</w:t>
        <w:tab/>
        <w:t>Swap Provider:</w:t>
        <w:tab/>
        <w:tab/>
        <w:tab/>
        <w:tab/>
      </w:r>
      <w:r>
        <w:rPr>
          <w:b/>
          <w:bCs/>
          <w:i/>
          <w:iCs/>
          <w:szCs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t xml:space="preserve">We hereby confirm </w:t>
      </w:r>
      <w:r>
        <w:rPr>
          <w:b/>
          <w:bCs/>
          <w:i/>
          <w:iCs/>
          <w:szCs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bCs/>
          <w:szCs w:val="24"/>
        </w:rPr>
        <w:t xml:space="preserve"> </w:t>
      </w:r>
      <w:r>
        <w:rPr>
          <w:b/>
          <w:bCs/>
          <w:i/>
          <w:iCs/>
          <w:szCs w:val="24"/>
        </w:rPr>
        <w:t>of making the Advances comprising the Tranche requested in the applicable Drawdown Notice.]</w:t>
      </w:r>
      <w:r>
        <w:rPr>
          <w:i/>
          <w:iCs/>
          <w:szCs w:val="24"/>
        </w:rPr>
        <w:t xml:space="preserve"> </w:t>
      </w:r>
      <w:r>
        <w:rPr>
          <w:b/>
          <w:bCs/>
          <w:i/>
          <w:iCs/>
          <w:szCs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Dated:</w:t>
      </w:r>
      <w:r>
        <w:rPr>
          <w:szCs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b/>
          <w:bCs/>
          <w:szCs w:val="24"/>
        </w:rPr>
      </w:pPr>
      <w:r>
        <w:rPr>
          <w:b/>
          <w:bCs/>
          <w:szCs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b/>
          <w:bCs/>
          <w:szCs w:val="24"/>
        </w:rPr>
        <w:tab/>
        <w:tab/>
        <w:tab/>
        <w:tab/>
        <w:tab/>
        <w:tab/>
      </w:r>
      <w:r>
        <w:rPr>
          <w:szCs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In our capacity as Agent, we hereby confirm pursuant to Section 5.1(a)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(CHECK APPLICABLE BOX)</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EITHER: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1440" w:start="1440" w:end="0"/>
        <w:rPr/>
      </w:pPr>
      <w:r>
        <w:rPr>
          <w:rFonts w:cs="WP IconicSymbolsA" w:ascii="WP IconicSymbolsA" w:hAnsi="WP IconicSymbolsA"/>
          <w:sz w:val="36"/>
          <w:szCs w:val="36"/>
        </w:rPr>
        <w:sym w:font="WP IconicSymbolsA" w:char="f039"/>
      </w:r>
      <w:r>
        <w:rPr>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1440" w:start="1440" w:end="0"/>
        <w:rPr/>
      </w:pPr>
      <w:r>
        <w:rPr>
          <w:rFonts w:cs="WP IconicSymbolsA" w:ascii="WP IconicSymbolsA" w:hAnsi="WP IconicSymbolsA"/>
          <w:sz w:val="36"/>
          <w:szCs w:val="36"/>
        </w:rPr>
        <w:sym w:font="WP IconicSymbolsA" w:char="f039"/>
      </w:r>
      <w:r>
        <w:rPr>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1440" w:start="1440" w:end="0"/>
        <w:rPr/>
      </w:pPr>
      <w:r>
        <w:rPr>
          <w:rFonts w:cs="WP IconicSymbolsA" w:ascii="WP IconicSymbolsA" w:hAnsi="WP IconicSymbolsA"/>
          <w:sz w:val="36"/>
          <w:szCs w:val="36"/>
        </w:rPr>
        <w:sym w:font="WP IconicSymbolsA" w:char="f039"/>
      </w:r>
      <w:r>
        <w:rPr>
          <w:szCs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rPr>
          <w:b/>
          <w:bCs/>
          <w:szCs w:val="24"/>
        </w:rPr>
      </w:pPr>
      <w:r>
        <w:rPr>
          <w:b/>
          <w:bCs/>
          <w:szCs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 xml:space="preserve">In our capacity as Subscriber we hereby confirm pursuant to Section 1(c)(i) of the Subscription Agreement dated November </w:t>
      </w:r>
      <w:r>
        <w:rPr>
          <w:b/>
          <w:bCs/>
          <w:szCs w:val="24"/>
        </w:rPr>
        <w:t>[</w:t>
      </w:r>
      <w:r>
        <w:rPr>
          <w:szCs w:val="24"/>
        </w:rPr>
        <w:t>17</w:t>
      </w:r>
      <w:r>
        <w:rPr>
          <w:b/>
          <w:bCs/>
          <w:szCs w:val="24"/>
        </w:rPr>
        <w:t>]</w:t>
      </w:r>
      <w:r>
        <w:rPr>
          <w:szCs w:val="24"/>
        </w:rPr>
        <w:t>, 2000 between the Subscriber and the Trust as amended or restated after such date: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(CHECK APPLICABLE BOX)</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EITHER: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1440" w:start="1440" w:end="0"/>
        <w:rPr/>
      </w:pPr>
      <w:r>
        <w:rPr>
          <w:rFonts w:cs="WP IconicSymbolsA" w:ascii="WP IconicSymbolsA" w:hAnsi="WP IconicSymbolsA"/>
          <w:sz w:val="36"/>
          <w:szCs w:val="36"/>
        </w:rPr>
        <w:sym w:font="WP IconicSymbolsA" w:char="f039"/>
      </w:r>
      <w:r>
        <w:rPr>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OR: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1440" w:start="1440" w:end="0"/>
        <w:rPr/>
      </w:pPr>
      <w:r>
        <w:rPr>
          <w:rFonts w:cs="WP IconicSymbolsA" w:ascii="WP IconicSymbolsA" w:hAnsi="WP IconicSymbolsA"/>
          <w:sz w:val="36"/>
          <w:szCs w:val="36"/>
        </w:rPr>
        <w:sym w:font="WP IconicSymbolsA" w:char="f039"/>
      </w:r>
      <w:r>
        <w:rPr>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OR:</w:t>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1440" w:start="1440" w:end="0"/>
        <w:rPr/>
      </w:pPr>
      <w:r>
        <w:rPr>
          <w:rFonts w:cs="WP IconicSymbolsA" w:ascii="WP IconicSymbolsA" w:hAnsi="WP IconicSymbolsA"/>
          <w:sz w:val="36"/>
          <w:szCs w:val="36"/>
        </w:rPr>
        <w:sym w:font="WP IconicSymbolsA" w:char="f039"/>
      </w:r>
      <w:r>
        <w:rPr>
          <w:szCs w:val="24"/>
        </w:rPr>
        <w:tab/>
        <w:t>(C)</w:t>
        <w:tab/>
        <w:t>we object to the drawdown of the proposed Tranche for the reasons specified in the letter attached to this acknowledgment.</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rPr>
          <w:b/>
          <w:bCs/>
          <w:szCs w:val="24"/>
        </w:rPr>
      </w:pPr>
      <w:r>
        <w:rPr>
          <w:b/>
          <w:bCs/>
          <w:szCs w:val="24"/>
        </w:rPr>
        <w:tab/>
        <w:tab/>
        <w:tab/>
        <w:tab/>
        <w:tab/>
        <w:tab/>
        <w:t>CIBC INC.,</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b/>
          <w:bCs/>
          <w:szCs w:val="24"/>
        </w:rPr>
        <w:tab/>
        <w:tab/>
        <w:tab/>
        <w:tab/>
        <w:tab/>
        <w:tab/>
        <w:t>in its capacity as Subscriber</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Name:</w:t>
      </w:r>
      <w:r>
        <w:rPr>
          <w:szCs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pPr>
      <w:r>
        <w:rPr>
          <w:szCs w:val="24"/>
        </w:rPr>
        <w:tab/>
        <w:t>This is an Asset Summary referred to in Section 5.1 of the Facility Agreement dated November</w:t>
      </w:r>
      <w:r>
        <w:rPr>
          <w:b/>
          <w:bCs/>
          <w:szCs w:val="24"/>
        </w:rPr>
        <w:t> [</w:t>
      </w:r>
      <w:r>
        <w:rPr>
          <w:szCs w:val="24"/>
        </w:rPr>
        <w:t>17</w:t>
      </w:r>
      <w:r>
        <w:rPr>
          <w:b/>
          <w:bCs/>
          <w:szCs w:val="24"/>
        </w:rPr>
        <w:t>]</w:t>
      </w:r>
      <w:r>
        <w:rPr>
          <w:szCs w:val="24"/>
        </w:rPr>
        <w:t xml:space="preserve">, 2000 (the </w:t>
      </w:r>
      <w:r>
        <w:rPr>
          <w:b/>
          <w:bCs/>
          <w:szCs w:val="24"/>
        </w:rPr>
        <w:t>“</w:t>
      </w:r>
      <w:r>
        <w:rPr>
          <w:b/>
          <w:bCs/>
          <w:szCs w:val="24"/>
          <w:u w:val="single"/>
        </w:rPr>
        <w:t>Facility Agreement</w:t>
      </w:r>
      <w:r>
        <w:rPr>
          <w:b/>
          <w:bCs/>
          <w:szCs w:val="24"/>
        </w:rPr>
        <w:t>”</w:t>
      </w:r>
      <w:r>
        <w:rPr>
          <w:szCs w:val="24"/>
        </w:rPr>
        <w:t xml:space="preserve">) made between Hawaii II 125-0 Trust, Canadian Imperial Bank of Commerce, as Agent, and the other financial institutions named therein. This Asset Summary relates to the Asset Notice dated _________ concerning </w:t>
      </w:r>
      <w:r>
        <w:rPr>
          <w:b/>
          <w:bCs/>
          <w:i/>
          <w:iCs/>
          <w:szCs w:val="24"/>
        </w:rPr>
        <w:t>[name of Series]</w:t>
      </w:r>
      <w:r>
        <w:rPr>
          <w:szCs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bCs/>
          <w:szCs w:val="24"/>
        </w:rPr>
      </w:pPr>
      <w:r>
        <w:rPr>
          <w:b/>
          <w:bCs/>
          <w:i/>
          <w:iCs/>
          <w:szCs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t>Dated:</w:t>
      </w:r>
      <w:r>
        <w:rPr>
          <w:szCs w:val="24"/>
          <w:u w:val="single"/>
        </w:rPr>
        <w:tab/>
        <w:tab/>
        <w:tab/>
      </w:r>
    </w:p>
    <w:p>
      <w:pPr>
        <w:sectPr>
          <w:headerReference w:type="default" r:id="rId56"/>
          <w:headerReference w:type="first" r:id="rId57"/>
          <w:footerReference w:type="default" r:id="rId58"/>
          <w:footerReference w:type="first" r:id="rId59"/>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b/>
          <w:bCs/>
          <w:szCs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To:</w:t>
        <w:tab/>
        <w:t xml:space="preserve">Hawaii II 125-0 Trust (the </w:t>
      </w:r>
      <w:r>
        <w:rPr>
          <w:b/>
          <w:bCs/>
          <w:szCs w:val="24"/>
        </w:rPr>
        <w:t>“</w:t>
      </w:r>
      <w:r>
        <w:rPr>
          <w:b/>
          <w:bCs/>
          <w:szCs w:val="24"/>
          <w:u w:val="single"/>
        </w:rPr>
        <w:t>Trust</w:t>
      </w:r>
      <w:r>
        <w:rPr>
          <w:b/>
          <w:bCs/>
          <w:szCs w:val="24"/>
        </w:rPr>
        <w:t>”</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 xml:space="preserve">Canadian Imperial Bank of Commerce, as Agent (the </w:t>
      </w:r>
      <w:r>
        <w:rPr>
          <w:b/>
          <w:bCs/>
          <w:szCs w:val="24"/>
        </w:rPr>
        <w:t>“</w:t>
      </w:r>
      <w:r>
        <w:rPr>
          <w:b/>
          <w:bCs/>
          <w:szCs w:val="24"/>
          <w:u w:val="single"/>
        </w:rPr>
        <w:t>Agent</w:t>
      </w:r>
      <w:r>
        <w:rPr>
          <w:b/>
          <w:bCs/>
          <w:szCs w:val="24"/>
        </w:rPr>
        <w:t>”</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Date:</w:t>
        <w:tab/>
      </w:r>
      <w:r>
        <w:rPr>
          <w:b/>
          <w:bCs/>
          <w:i/>
          <w:iCs/>
          <w:szCs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 xml:space="preserve">The Trust, the Agent, and certain other financial institutions have entered into that certain Facility Agreement, dated as of November </w:t>
      </w:r>
      <w:r>
        <w:rPr>
          <w:b/>
          <w:bCs/>
          <w:szCs w:val="24"/>
        </w:rPr>
        <w:t>[</w:t>
      </w:r>
      <w:r>
        <w:rPr>
          <w:szCs w:val="24"/>
        </w:rPr>
        <w:t>17</w:t>
      </w:r>
      <w:r>
        <w:rPr>
          <w:b/>
          <w:bCs/>
          <w:szCs w:val="24"/>
        </w:rPr>
        <w:t>]</w:t>
      </w:r>
      <w:r>
        <w:rPr>
          <w:szCs w:val="24"/>
        </w:rPr>
        <w:t xml:space="preserve">, 2000 (the </w:t>
      </w:r>
      <w:r>
        <w:rPr>
          <w:b/>
          <w:bCs/>
          <w:szCs w:val="24"/>
        </w:rPr>
        <w:t>“</w:t>
      </w:r>
      <w:r>
        <w:rPr>
          <w:b/>
          <w:bCs/>
          <w:szCs w:val="24"/>
          <w:u w:val="single"/>
        </w:rPr>
        <w:t>Facility Agreement</w:t>
      </w:r>
      <w:r>
        <w:rPr>
          <w:b/>
          <w:bCs/>
          <w:szCs w:val="24"/>
        </w:rPr>
        <w:t>”</w:t>
      </w:r>
      <w:r>
        <w:rPr>
          <w:szCs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Very truly yours,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 xml:space="preserve">By: </w:t>
      </w:r>
      <w:r>
        <w:rPr>
          <w:szCs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Title:______________________________________</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FUNDING OFFICE: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keepLines/>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 xml:space="preserve">By: </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szCs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ab/>
        <w:tab/>
        <w:tab/>
        <w:tab/>
        <w:tab/>
      </w:r>
      <w:r>
        <w:rPr>
          <w:b/>
          <w:bCs/>
          <w:szCs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tab/>
        <w:tab/>
        <w:tab/>
        <w:tab/>
        <w:tab/>
        <w:tab/>
        <w:t xml:space="preserve">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u w:val="single"/>
        </w:rPr>
      </w:pPr>
      <w:r>
        <w:rPr>
          <w:szCs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tab/>
        <w:tab/>
      </w:r>
      <w:r>
        <w:rPr>
          <w:b/>
          <w:bCs/>
          <w:szCs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By:</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pPr>
      <w:r>
        <w:rPr>
          <w:szCs w:val="24"/>
        </w:rPr>
        <w:tab/>
        <w:tab/>
        <w:tab/>
        <w:tab/>
        <w:tab/>
        <w:tab/>
        <w:t>Name:</w:t>
      </w:r>
      <w:r>
        <w:rPr>
          <w:szCs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rPr>
          <w:szCs w:val="24"/>
        </w:rPr>
      </w:pPr>
      <w:r>
        <w:rPr>
          <w:szCs w:val="24"/>
        </w:rPr>
        <w:tab/>
        <w:tab/>
        <w:tab/>
        <w:tab/>
        <w:tab/>
        <w:tab/>
        <w:t>Title:</w:t>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sectPr>
          <w:headerReference w:type="default" r:id="rId60"/>
          <w:headerReference w:type="first" r:id="rId61"/>
          <w:footerReference w:type="default" r:id="rId62"/>
          <w:footerReference w:type="first" r:id="rId63"/>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ab/>
        <w:tab/>
        <w:tab/>
      </w:r>
      <w:r>
        <w:rPr>
          <w:szCs w:val="24"/>
          <w:u w:val="single"/>
        </w:rPr>
        <w:t>CREDIT CONTACT</w:t>
      </w:r>
      <w:r>
        <w:rPr>
          <w:szCs w:val="24"/>
        </w:rPr>
        <w:tab/>
        <w:tab/>
      </w:r>
      <w:r>
        <w:rPr>
          <w:szCs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right" w:pos="9360" w:leader="none"/>
        </w:tabs>
        <w:rPr>
          <w:szCs w:val="24"/>
        </w:rPr>
      </w:pPr>
      <w:r>
        <w:rPr>
          <w:szCs w:val="24"/>
        </w:rPr>
        <w:t>Name:</w:t>
        <w:tab/>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720" w:leader="none"/>
          <w:tab w:val="right" w:pos="9360" w:leader="none"/>
        </w:tabs>
        <w:rPr>
          <w:szCs w:val="24"/>
        </w:rPr>
      </w:pPr>
      <w:r>
        <w:rPr>
          <w:szCs w:val="24"/>
        </w:rPr>
        <w:t>Title:</w:t>
        <w:tab/>
      </w:r>
      <w:r>
        <w:rPr>
          <w:szCs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Address: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(street):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(city, state):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(zip code):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Phone Number:  </w:t>
      </w:r>
      <w:r>
        <w:rPr>
          <w:szCs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Fax Number:  </w:t>
      </w:r>
      <w:r>
        <w:rPr>
          <w:szCs w:val="24"/>
          <w:u w:val="single"/>
        </w:rPr>
        <w:t xml:space="preserve">                                                                                                                                      </w:t>
      </w:r>
    </w:p>
    <w:p>
      <w:pPr>
        <w:sectPr>
          <w:headerReference w:type="default" r:id="rId64"/>
          <w:headerReference w:type="first" r:id="rId65"/>
          <w:footerReference w:type="default" r:id="rId66"/>
          <w:footerReference w:type="first" r:id="rId67"/>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rPr/>
      </w:pPr>
      <w:r>
        <w:rPr>
          <w:szCs w:val="24"/>
        </w:rPr>
        <w:t>To:</w:t>
        <w:tab/>
        <w:t>Hawaii II 125-0 Trust (the “</w:t>
      </w:r>
      <w:r>
        <w:rPr>
          <w:b/>
          <w:bCs/>
          <w:szCs w:val="24"/>
          <w:u w:val="single"/>
        </w:rPr>
        <w:t>Trust</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Canadian Imperial Bank of Commerce, as Agent (the “</w:t>
      </w:r>
      <w:r>
        <w:rPr>
          <w:b/>
          <w:bCs/>
          <w:szCs w:val="24"/>
          <w:u w:val="single"/>
        </w:rPr>
        <w:t>Agent</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rPr>
          <w:szCs w:val="24"/>
        </w:rPr>
      </w:pPr>
      <w:r>
        <w:rPr>
          <w:szCs w:val="24"/>
        </w:rPr>
        <w:t>Date:</w:t>
        <w:tab/>
      </w:r>
      <w:r>
        <w:rPr>
          <w:b/>
          <w:bCs/>
          <w:szCs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720" w:end="0"/>
        <w:rPr>
          <w:szCs w:val="24"/>
        </w:rPr>
      </w:pPr>
      <w:r>
        <w:rPr>
          <w:szCs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The Trust, the Agent and certain other financial institutions have entered into that certain Facility Agreement, dated as of November [17], 2000 (the “</w:t>
      </w:r>
      <w:r>
        <w:rPr>
          <w:b/>
          <w:bCs/>
          <w:szCs w:val="24"/>
          <w:u w:val="single"/>
        </w:rPr>
        <w:t>Facility Agreement</w:t>
      </w:r>
      <w:r>
        <w:rPr>
          <w:szCs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Cs w:val="24"/>
        </w:rPr>
        <w:tab/>
        <w:t>The undersigned is a Lender under the Facility Agreement.  Please be advised that the undersigned Lender has agreed to increase its Commitment for the purposes of the Facility Agreement from $</w:t>
      </w:r>
      <w:r>
        <w:rPr>
          <w:b/>
          <w:bCs/>
          <w:szCs w:val="24"/>
        </w:rPr>
        <w:t>[____________] [insert initial Commitment]</w:t>
      </w:r>
      <w:r>
        <w:rPr>
          <w:szCs w:val="24"/>
        </w:rPr>
        <w:t xml:space="preserve"> to $</w:t>
      </w:r>
      <w:r>
        <w:rPr>
          <w:b/>
          <w:bCs/>
          <w:szCs w:val="24"/>
        </w:rPr>
        <w:t>[___________] [insert increased Commitment]</w:t>
      </w:r>
      <w:r>
        <w:rPr>
          <w:szCs w:val="24"/>
        </w:rPr>
        <w:t>.  Consequently, the amount of such increase for the purposes of Section 3.3(c) of the Facility Agreement is $</w:t>
      </w:r>
      <w:r>
        <w:rPr>
          <w:b/>
          <w:bCs/>
          <w:szCs w:val="24"/>
        </w:rPr>
        <w:t>[_____________]</w:t>
      </w:r>
      <w:r>
        <w:rPr>
          <w:szCs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860" w:start="4860" w:end="0"/>
        <w:rPr>
          <w:szCs w:val="24"/>
        </w:rPr>
      </w:pPr>
      <w:r>
        <w:rPr>
          <w:szCs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860" w:start="4860" w:end="0"/>
        <w:rPr>
          <w:szCs w:val="24"/>
        </w:rPr>
      </w:pPr>
      <w:r>
        <w:rPr>
          <w:szCs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ind w:hanging="4860" w:start="4860" w:end="0"/>
        <w:rPr>
          <w:szCs w:val="24"/>
        </w:rPr>
      </w:pPr>
      <w:r>
        <w:rPr>
          <w:szCs w:val="24"/>
        </w:rPr>
        <w:tab/>
        <w:tab/>
        <w:tab/>
        <w:tab/>
        <w:tab/>
        <w:tab/>
        <w:tab/>
        <w:t>By:</w:t>
      </w:r>
      <w:r>
        <w:rPr>
          <w:szCs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ind w:hanging="4860" w:start="4860" w:end="0"/>
        <w:rPr>
          <w:szCs w:val="24"/>
        </w:rPr>
      </w:pPr>
      <w:r>
        <w:rPr>
          <w:szCs w:val="24"/>
        </w:rPr>
        <w:tab/>
        <w:tab/>
        <w:tab/>
        <w:tab/>
        <w:tab/>
        <w:tab/>
        <w:tab/>
        <w:t>Name:</w:t>
      </w:r>
      <w:r>
        <w:rPr>
          <w:szCs w:val="24"/>
          <w:u w:val="single"/>
        </w:rPr>
        <w:tab/>
      </w:r>
    </w:p>
    <w:p>
      <w:pPr>
        <w:pStyle w:val="Normal"/>
        <w:tabs>
          <w:tab w:val="clear" w:pos="720"/>
          <w:tab w:val="left" w:pos="5580" w:leader="none"/>
          <w:tab w:val="left" w:pos="6300" w:leader="none"/>
          <w:tab w:val="left" w:pos="7020" w:leader="none"/>
          <w:tab w:val="left" w:pos="7740" w:leader="none"/>
          <w:tab w:val="left" w:pos="8460" w:leader="none"/>
          <w:tab w:val="left" w:pos="9180" w:leader="none"/>
          <w:tab w:val="right" w:pos="9360" w:leader="none"/>
          <w:tab w:val="left" w:pos="9900" w:leader="none"/>
        </w:tabs>
        <w:ind w:hanging="4860" w:start="4860" w:end="0"/>
        <w:rPr>
          <w:szCs w:val="24"/>
        </w:rPr>
      </w:pPr>
      <w:r>
        <w:rPr>
          <w:szCs w:val="24"/>
        </w:rPr>
        <w:tab/>
        <w:tab/>
        <w:tab/>
        <w:tab/>
        <w:tab/>
        <w:tab/>
        <w:tab/>
        <w:t>Title:</w:t>
      </w:r>
      <w:r>
        <w:rPr>
          <w:szCs w:val="24"/>
          <w:u w:val="single"/>
        </w:rPr>
        <w:tab/>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864" w:bottom="920"/>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bCs/>
          <w:szCs w:val="24"/>
        </w:rPr>
      </w:pPr>
      <w:r>
        <w:rPr>
          <w:b/>
          <w:bCs/>
          <w:szCs w:val="24"/>
        </w:rPr>
        <w:t>EXHIBIT 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bCs/>
          <w:szCs w:val="24"/>
        </w:rPr>
      </w:pPr>
      <w:r>
        <w:rPr>
          <w:b/>
          <w:bCs/>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szCs w:val="24"/>
        </w:rPr>
      </w:pPr>
      <w:r>
        <w:rPr>
          <w:szCs w:val="24"/>
          <w:u w:val="single"/>
        </w:rPr>
        <w:t>FORM OF OMNIBUS AMENDMENT</w:t>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COMPARISON OF FOOTERS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-FOOTER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DAL: </w:t>
      </w:r>
      <w:r>
        <w:rPr>
          <w:strike/>
          <w:szCs w:val="24"/>
        </w:rPr>
        <w:t>265273.5</w:t>
      </w:r>
      <w:r>
        <w:rPr>
          <w:szCs w:val="24"/>
        </w:rPr>
        <w:t xml:space="preserve"> </w:t>
      </w:r>
      <w:r>
        <w:rPr>
          <w:b/>
          <w:bCs/>
          <w:szCs w:val="24"/>
          <w:u w:val="double"/>
        </w:rPr>
        <w:t>265273.6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-FOOTER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-FOOTER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Project Hawaii II/Facility Agreement -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This redlined draft, generated by CompareRite (TM) - The Instant Redliner, shows the differences between -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original document   : C:\DOCUME~1\MONTD\LOCALS~1\TEMP\DAL_265273_5</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and revised document: C:\DOCUME~1\MONTD\LOCALS~1\TEMP\DAL_265273_6</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CompareRite found   52 change(s) in the text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CompareRite found    1 change(s) in the notes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Deletions appear as Strikethrough text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Cs w:val="24"/>
        </w:rPr>
      </w:pPr>
      <w:r>
        <w:rPr>
          <w:szCs w:val="24"/>
        </w:rPr>
        <w:t xml:space="preserve">Additions appear as Bold+Dbl Underline text </w:t>
      </w:r>
    </w:p>
    <w:p>
      <w:pPr>
        <w:pStyle w:val="BodyText"/>
        <w:spacing w:before="0" w:after="240"/>
        <w:rPr>
          <w:szCs w:val="24"/>
        </w:rPr>
      </w:pPr>
      <w:r>
        <w:rPr>
          <w:szCs w:val="24"/>
        </w:rPr>
      </w:r>
    </w:p>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p>
  <w:p>
    <w:pPr>
      <w:pStyle w:val="Normal"/>
      <w:jc w:val="both"/>
      <w:rPr>
        <w:sz w:val="14"/>
        <w:szCs w:val="14"/>
      </w:rPr>
    </w:pPr>
    <w:r>
      <w:rPr>
        <w:sz w:val="14"/>
        <w:szCs w:val="14"/>
      </w:rPr>
      <w:t>DAL:265273.6</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5">
              <wp:simplePos x="0" y="0"/>
              <wp:positionH relativeFrom="column">
                <wp:align>center</wp:align>
              </wp:positionH>
              <wp:positionV relativeFrom="paragraph">
                <wp:posOffset>635</wp:posOffset>
              </wp:positionV>
              <wp:extent cx="76835" cy="175260"/>
              <wp:effectExtent l="0" t="0" r="0" b="0"/>
              <wp:wrapTopAndBottom/>
              <wp:docPr id="8" name="Frame9"/>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7</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7</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6">
              <wp:simplePos x="0" y="0"/>
              <wp:positionH relativeFrom="column">
                <wp:align>center</wp:align>
              </wp:positionH>
              <wp:positionV relativeFrom="paragraph">
                <wp:posOffset>635</wp:posOffset>
              </wp:positionV>
              <wp:extent cx="885190" cy="175260"/>
              <wp:effectExtent l="0" t="0" r="0" b="0"/>
              <wp:wrapTopAndBottom/>
              <wp:docPr id="9" name="Frame11"/>
              <a:graphic xmlns:a="http://schemas.openxmlformats.org/drawingml/2006/main">
                <a:graphicData uri="http://schemas.microsoft.com/office/word/2010/wordprocessingShape">
                  <wps:wsp>
                    <wps:cNvSpPr txBox="1"/>
                    <wps:spPr>
                      <a:xfrm>
                        <a:off x="0" y="0"/>
                        <a:ext cx="885190" cy="175260"/>
                      </a:xfrm>
                      <a:prstGeom prst="rect"/>
                      <a:solidFill>
                        <a:srgbClr val="FFFFFF">
                          <a:alpha val="0"/>
                        </a:srgbClr>
                      </a:solidFill>
                    </wps:spPr>
                    <wps:txbx>
                      <w:txbxContent>
                        <w:p>
                          <w:pPr>
                            <w:pStyle w:val="Normal"/>
                            <w:rPr>
                              <w:szCs w:val="24"/>
                            </w:rPr>
                          </w:pPr>
                          <w:r>
                            <w:rPr>
                              <w:szCs w:val="24"/>
                            </w:rPr>
                            <w:t>SCHEDULE I</w:t>
                          </w:r>
                        </w:p>
                      </w:txbxContent>
                    </wps:txbx>
                    <wps:bodyPr anchor="t" lIns="0" tIns="0" rIns="0" bIns="0">
                      <a:noAutofit/>
                    </wps:bodyPr>
                  </wps:wsp>
                </a:graphicData>
              </a:graphic>
            </wp:anchor>
          </w:drawing>
        </mc:Choice>
        <mc:Fallback>
          <w:pict>
            <v:rect fillcolor="#FFFFFF" style="position:absolute;rotation:-0;width:69.7pt;height:13.8pt;mso-wrap-distance-left:0pt;mso-wrap-distance-right:0pt;mso-wrap-distance-top:0pt;mso-wrap-distance-bottom:0pt;margin-top:0pt;mso-position-vertical-relative:text;margin-left:199.15pt;mso-position-horizontal:center;mso-position-horizontal-relative:text">
              <v:fill opacity="0f"/>
              <v:textbox inset="0in,0in,0in,0in">
                <w:txbxContent>
                  <w:p>
                    <w:pPr>
                      <w:pStyle w:val="Normal"/>
                      <w:rPr>
                        <w:szCs w:val="24"/>
                      </w:rPr>
                    </w:pPr>
                    <w:r>
                      <w:rPr>
                        <w:szCs w:val="24"/>
                      </w:rPr>
                      <w:t>SCHEDULE I</w:t>
                    </w:r>
                  </w:p>
                </w:txbxContent>
              </v:textbox>
              <w10:wrap type="topAndBottom"/>
            </v:rect>
          </w:pict>
        </mc:Fallback>
      </mc:AlternateContent>
    </w:r>
  </w:p>
  <w:p>
    <w:pPr>
      <w:pStyle w:val="Normal"/>
      <w:jc w:val="both"/>
      <w:rPr>
        <w:sz w:val="14"/>
        <w:szCs w:val="14"/>
      </w:rPr>
    </w:pPr>
    <w:r>
      <w:rPr>
        <w:sz w:val="14"/>
        <w:szCs w:val="14"/>
      </w:rPr>
      <w:t>DAL:265273.6</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9">
              <wp:simplePos x="0" y="0"/>
              <wp:positionH relativeFrom="column">
                <wp:align>center</wp:align>
              </wp:positionH>
              <wp:positionV relativeFrom="paragraph">
                <wp:posOffset>635</wp:posOffset>
              </wp:positionV>
              <wp:extent cx="444500" cy="175260"/>
              <wp:effectExtent l="0" t="0" r="0" b="0"/>
              <wp:wrapTopAndBottom/>
              <wp:docPr id="10" name="Frame12"/>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rPr>
                              <w:szCs w:val="24"/>
                            </w:rPr>
                          </w:pPr>
                          <w:r>
                            <w:rPr>
                              <w:szCs w:val="24"/>
                            </w:rPr>
                            <w:t>Ex A-</w:t>
                          </w:r>
                          <w:r>
                            <w:rPr>
                              <w:szCs w:val="24"/>
                            </w:rPr>
                            <w:fldChar w:fldCharType="begin"/>
                          </w:r>
                          <w:r>
                            <w:rPr>
                              <w:szCs w:val="24"/>
                            </w:rPr>
                            <w:instrText xml:space="preserve"> PAGE </w:instrText>
                          </w:r>
                          <w:r>
                            <w:rPr>
                              <w:szCs w:val="24"/>
                            </w:rPr>
                            <w:fldChar w:fldCharType="separate"/>
                          </w:r>
                          <w:r>
                            <w:rPr>
                              <w:szCs w:val="24"/>
                            </w:rPr>
                            <w:t>3</w:t>
                          </w:r>
                          <w:r>
                            <w:rPr>
                              <w:szCs w:val="24"/>
                            </w:rPr>
                            <w:fldChar w:fldCharType="end"/>
                          </w:r>
                        </w:p>
                      </w:txbxContent>
                    </wps:txbx>
                    <wps:bodyPr anchor="t" lIns="0" tIns="0" rIns="0" bIns="0">
                      <a:no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text;margin-left:216.5pt;mso-position-horizontal:center;mso-position-horizontal-relative:text">
              <v:fill opacity="0f"/>
              <v:textbox inset="0in,0in,0in,0in">
                <w:txbxContent>
                  <w:p>
                    <w:pPr>
                      <w:pStyle w:val="Normal"/>
                      <w:rPr>
                        <w:szCs w:val="24"/>
                      </w:rPr>
                    </w:pPr>
                    <w:r>
                      <w:rPr>
                        <w:szCs w:val="24"/>
                      </w:rPr>
                      <w:t>Ex A-</w:t>
                    </w:r>
                    <w:r>
                      <w:rPr>
                        <w:szCs w:val="24"/>
                      </w:rPr>
                      <w:fldChar w:fldCharType="begin"/>
                    </w:r>
                    <w:r>
                      <w:rPr>
                        <w:szCs w:val="24"/>
                      </w:rPr>
                      <w:instrText xml:space="preserve"> PAGE </w:instrText>
                    </w:r>
                    <w:r>
                      <w:rPr>
                        <w:szCs w:val="24"/>
                      </w:rPr>
                      <w:fldChar w:fldCharType="separate"/>
                    </w:r>
                    <w:r>
                      <w:rPr>
                        <w:szCs w:val="24"/>
                      </w:rPr>
                      <w:t>3</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83">
              <wp:simplePos x="0" y="0"/>
              <wp:positionH relativeFrom="column">
                <wp:align>center</wp:align>
              </wp:positionH>
              <wp:positionV relativeFrom="paragraph">
                <wp:posOffset>635</wp:posOffset>
              </wp:positionV>
              <wp:extent cx="436245" cy="175260"/>
              <wp:effectExtent l="0" t="0" r="0" b="0"/>
              <wp:wrapTopAndBottom/>
              <wp:docPr id="11" name="Frame14"/>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rPr>
                              <w:szCs w:val="24"/>
                            </w:rPr>
                          </w:pPr>
                          <w:r>
                            <w:rPr>
                              <w:szCs w:val="24"/>
                            </w:rPr>
                            <w:t>Ex B-</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wps:txbx>
                    <wps:bodyPr anchor="t" lIns="0" tIns="0" rIns="0" bIns="0">
                      <a:no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text;margin-left:216.85pt;mso-position-horizontal:center;mso-position-horizontal-relative:text">
              <v:fill opacity="0f"/>
              <v:textbox inset="0in,0in,0in,0in">
                <w:txbxContent>
                  <w:p>
                    <w:pPr>
                      <w:pStyle w:val="Normal"/>
                      <w:rPr>
                        <w:szCs w:val="24"/>
                      </w:rPr>
                    </w:pPr>
                    <w:r>
                      <w:rPr>
                        <w:szCs w:val="24"/>
                      </w:rPr>
                      <w:t>Ex B-</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87">
              <wp:simplePos x="0" y="0"/>
              <wp:positionH relativeFrom="column">
                <wp:align>center</wp:align>
              </wp:positionH>
              <wp:positionV relativeFrom="paragraph">
                <wp:posOffset>635</wp:posOffset>
              </wp:positionV>
              <wp:extent cx="436245" cy="175260"/>
              <wp:effectExtent l="0" t="0" r="0" b="0"/>
              <wp:wrapTopAndBottom/>
              <wp:docPr id="12" name="Frame15"/>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rPr>
                              <w:szCs w:val="24"/>
                            </w:rPr>
                          </w:pPr>
                          <w:r>
                            <w:rPr>
                              <w:szCs w:val="24"/>
                            </w:rPr>
                            <w:t>Ex C-</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wps:txbx>
                    <wps:bodyPr anchor="t" lIns="0" tIns="0" rIns="0" bIns="0">
                      <a:no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text;margin-left:216.85pt;mso-position-horizontal:center;mso-position-horizontal-relative:text">
              <v:fill opacity="0f"/>
              <v:textbox inset="0in,0in,0in,0in">
                <w:txbxContent>
                  <w:p>
                    <w:pPr>
                      <w:pStyle w:val="Normal"/>
                      <w:rPr>
                        <w:szCs w:val="24"/>
                      </w:rPr>
                    </w:pPr>
                    <w:r>
                      <w:rPr>
                        <w:szCs w:val="24"/>
                      </w:rPr>
                      <w:t>Ex C-</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90">
              <wp:simplePos x="0" y="0"/>
              <wp:positionH relativeFrom="column">
                <wp:align>center</wp:align>
              </wp:positionH>
              <wp:positionV relativeFrom="paragraph">
                <wp:posOffset>635</wp:posOffset>
              </wp:positionV>
              <wp:extent cx="436245" cy="175260"/>
              <wp:effectExtent l="0" t="0" r="0" b="0"/>
              <wp:wrapTopAndBottom/>
              <wp:docPr id="13" name="Frame16"/>
              <a:graphic xmlns:a="http://schemas.openxmlformats.org/drawingml/2006/main">
                <a:graphicData uri="http://schemas.microsoft.com/office/word/2010/wordprocessingShape">
                  <wps:wsp>
                    <wps:cNvSpPr txBox="1"/>
                    <wps:spPr>
                      <a:xfrm>
                        <a:off x="0" y="0"/>
                        <a:ext cx="436245" cy="175260"/>
                      </a:xfrm>
                      <a:prstGeom prst="rect"/>
                      <a:solidFill>
                        <a:srgbClr val="FFFFFF">
                          <a:alpha val="0"/>
                        </a:srgbClr>
                      </a:solidFill>
                    </wps:spPr>
                    <wps:txbx>
                      <w:txbxContent>
                        <w:p>
                          <w:pPr>
                            <w:pStyle w:val="Normal"/>
                            <w:rPr>
                              <w:szCs w:val="24"/>
                            </w:rPr>
                          </w:pPr>
                          <w:r>
                            <w:rPr>
                              <w:szCs w:val="24"/>
                            </w:rPr>
                            <w:t>Ex C-</w:t>
                          </w:r>
                          <w:r>
                            <w:rPr>
                              <w:szCs w:val="24"/>
                            </w:rPr>
                            <w:fldChar w:fldCharType="begin"/>
                          </w:r>
                          <w:r>
                            <w:rPr>
                              <w:szCs w:val="24"/>
                            </w:rPr>
                            <w:instrText xml:space="preserve"> PAGE </w:instrText>
                          </w:r>
                          <w:r>
                            <w:rPr>
                              <w:szCs w:val="24"/>
                            </w:rPr>
                            <w:fldChar w:fldCharType="separate"/>
                          </w:r>
                          <w:r>
                            <w:rPr>
                              <w:szCs w:val="24"/>
                            </w:rPr>
                            <w:t>7</w:t>
                          </w:r>
                          <w:r>
                            <w:rPr>
                              <w:szCs w:val="24"/>
                            </w:rPr>
                            <w:fldChar w:fldCharType="end"/>
                          </w:r>
                        </w:p>
                      </w:txbxContent>
                    </wps:txbx>
                    <wps:bodyPr anchor="t" lIns="0" tIns="0" rIns="0" bIns="0">
                      <a:noAutofit/>
                    </wps:bodyPr>
                  </wps:wsp>
                </a:graphicData>
              </a:graphic>
            </wp:anchor>
          </w:drawing>
        </mc:Choice>
        <mc:Fallback>
          <w:pict>
            <v:rect fillcolor="#FFFFFF" style="position:absolute;rotation:-0;width:34.35pt;height:13.8pt;mso-wrap-distance-left:0pt;mso-wrap-distance-right:0pt;mso-wrap-distance-top:0pt;mso-wrap-distance-bottom:0pt;margin-top:0pt;mso-position-vertical-relative:text;margin-left:216.85pt;mso-position-horizontal:center;mso-position-horizontal-relative:text">
              <v:fill opacity="0f"/>
              <v:textbox inset="0in,0in,0in,0in">
                <w:txbxContent>
                  <w:p>
                    <w:pPr>
                      <w:pStyle w:val="Normal"/>
                      <w:rPr>
                        <w:szCs w:val="24"/>
                      </w:rPr>
                    </w:pPr>
                    <w:r>
                      <w:rPr>
                        <w:szCs w:val="24"/>
                      </w:rPr>
                      <w:t>Ex C-</w:t>
                    </w:r>
                    <w:r>
                      <w:rPr>
                        <w:szCs w:val="24"/>
                      </w:rPr>
                      <w:fldChar w:fldCharType="begin"/>
                    </w:r>
                    <w:r>
                      <w:rPr>
                        <w:szCs w:val="24"/>
                      </w:rPr>
                      <w:instrText xml:space="preserve"> PAGE </w:instrText>
                    </w:r>
                    <w:r>
                      <w:rPr>
                        <w:szCs w:val="24"/>
                      </w:rPr>
                      <w:fldChar w:fldCharType="separate"/>
                    </w:r>
                    <w:r>
                      <w:rPr>
                        <w:szCs w:val="24"/>
                      </w:rPr>
                      <w:t>7</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95">
              <wp:simplePos x="0" y="0"/>
              <wp:positionH relativeFrom="column">
                <wp:align>center</wp:align>
              </wp:positionH>
              <wp:positionV relativeFrom="paragraph">
                <wp:posOffset>635</wp:posOffset>
              </wp:positionV>
              <wp:extent cx="427990" cy="175260"/>
              <wp:effectExtent l="0" t="0" r="0" b="0"/>
              <wp:wrapTopAndBottom/>
              <wp:docPr id="14" name="Frame18"/>
              <a:graphic xmlns:a="http://schemas.openxmlformats.org/drawingml/2006/main">
                <a:graphicData uri="http://schemas.microsoft.com/office/word/2010/wordprocessingShape">
                  <wps:wsp>
                    <wps:cNvSpPr txBox="1"/>
                    <wps:spPr>
                      <a:xfrm>
                        <a:off x="0" y="0"/>
                        <a:ext cx="427990" cy="175260"/>
                      </a:xfrm>
                      <a:prstGeom prst="rect"/>
                      <a:solidFill>
                        <a:srgbClr val="FFFFFF">
                          <a:alpha val="0"/>
                        </a:srgbClr>
                      </a:solidFill>
                    </wps:spPr>
                    <wps:txbx>
                      <w:txbxContent>
                        <w:p>
                          <w:pPr>
                            <w:pStyle w:val="Normal"/>
                            <w:rPr>
                              <w:szCs w:val="24"/>
                            </w:rPr>
                          </w:pPr>
                          <w:r>
                            <w:rPr>
                              <w:szCs w:val="24"/>
                            </w:rPr>
                            <w:t>Ex E-</w:t>
                          </w: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wps:txbx>
                    <wps:bodyPr anchor="t" lIns="0" tIns="0" rIns="0" bIns="0">
                      <a:noAutofit/>
                    </wps:bodyPr>
                  </wps:wsp>
                </a:graphicData>
              </a:graphic>
            </wp:anchor>
          </w:drawing>
        </mc:Choice>
        <mc:Fallback>
          <w:pict>
            <v:rect fillcolor="#FFFFFF" style="position:absolute;rotation:-0;width:33.7pt;height:13.8pt;mso-wrap-distance-left:0pt;mso-wrap-distance-right:0pt;mso-wrap-distance-top:0pt;mso-wrap-distance-bottom:0pt;margin-top:0pt;mso-position-vertical-relative:text;margin-left:217.15pt;mso-position-horizontal:center;mso-position-horizontal-relative:text">
              <v:fill opacity="0f"/>
              <v:textbox inset="0in,0in,0in,0in">
                <w:txbxContent>
                  <w:p>
                    <w:pPr>
                      <w:pStyle w:val="Normal"/>
                      <w:rPr>
                        <w:szCs w:val="24"/>
                      </w:rPr>
                    </w:pPr>
                    <w:r>
                      <w:rPr>
                        <w:szCs w:val="24"/>
                      </w:rPr>
                      <w:t>Ex E-</w:t>
                    </w: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96">
              <wp:simplePos x="0" y="0"/>
              <wp:positionH relativeFrom="column">
                <wp:align>center</wp:align>
              </wp:positionH>
              <wp:positionV relativeFrom="paragraph">
                <wp:posOffset>635</wp:posOffset>
              </wp:positionV>
              <wp:extent cx="444500" cy="175260"/>
              <wp:effectExtent l="0" t="0" r="0" b="0"/>
              <wp:wrapTopAndBottom/>
              <wp:docPr id="15" name="Frame20"/>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rPr>
                              <w:szCs w:val="24"/>
                            </w:rPr>
                          </w:pPr>
                          <w:r>
                            <w:rPr>
                              <w:szCs w:val="24"/>
                            </w:rPr>
                            <w:t>Ex G-</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wps:txbx>
                    <wps:bodyPr anchor="t" lIns="0" tIns="0" rIns="0" bIns="0">
                      <a:no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text;margin-left:216.5pt;mso-position-horizontal:center;mso-position-horizontal-relative:text">
              <v:fill opacity="0f"/>
              <v:textbox inset="0in,0in,0in,0in">
                <w:txbxContent>
                  <w:p>
                    <w:pPr>
                      <w:pStyle w:val="Normal"/>
                      <w:rPr>
                        <w:szCs w:val="24"/>
                      </w:rPr>
                    </w:pPr>
                    <w:r>
                      <w:rPr>
                        <w:szCs w:val="24"/>
                      </w:rPr>
                      <w:t>Ex G-</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97">
              <wp:simplePos x="0" y="0"/>
              <wp:positionH relativeFrom="column">
                <wp:align>center</wp:align>
              </wp:positionH>
              <wp:positionV relativeFrom="paragraph">
                <wp:posOffset>635</wp:posOffset>
              </wp:positionV>
              <wp:extent cx="444500" cy="175260"/>
              <wp:effectExtent l="0" t="0" r="0" b="0"/>
              <wp:wrapTopAndBottom/>
              <wp:docPr id="16" name="Frame21"/>
              <a:graphic xmlns:a="http://schemas.openxmlformats.org/drawingml/2006/main">
                <a:graphicData uri="http://schemas.microsoft.com/office/word/2010/wordprocessingShape">
                  <wps:wsp>
                    <wps:cNvSpPr txBox="1"/>
                    <wps:spPr>
                      <a:xfrm>
                        <a:off x="0" y="0"/>
                        <a:ext cx="444500" cy="175260"/>
                      </a:xfrm>
                      <a:prstGeom prst="rect"/>
                      <a:solidFill>
                        <a:srgbClr val="FFFFFF">
                          <a:alpha val="0"/>
                        </a:srgbClr>
                      </a:solidFill>
                    </wps:spPr>
                    <wps:txbx>
                      <w:txbxContent>
                        <w:p>
                          <w:pPr>
                            <w:pStyle w:val="Normal"/>
                            <w:rPr>
                              <w:szCs w:val="24"/>
                            </w:rPr>
                          </w:pPr>
                          <w:r>
                            <w:rPr>
                              <w:szCs w:val="24"/>
                            </w:rPr>
                            <w:t>Ex H-</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wps:txbx>
                    <wps:bodyPr anchor="t" lIns="0" tIns="0" rIns="0" bIns="0">
                      <a:noAutofit/>
                    </wps:bodyPr>
                  </wps:wsp>
                </a:graphicData>
              </a:graphic>
            </wp:anchor>
          </w:drawing>
        </mc:Choice>
        <mc:Fallback>
          <w:pict>
            <v:rect fillcolor="#FFFFFF" style="position:absolute;rotation:-0;width:35pt;height:13.8pt;mso-wrap-distance-left:0pt;mso-wrap-distance-right:0pt;mso-wrap-distance-top:0pt;mso-wrap-distance-bottom:0pt;margin-top:0pt;mso-position-vertical-relative:text;margin-left:216.5pt;mso-position-horizontal:center;mso-position-horizontal-relative:text">
              <v:fill opacity="0f"/>
              <v:textbox inset="0in,0in,0in,0in">
                <w:txbxContent>
                  <w:p>
                    <w:pPr>
                      <w:pStyle w:val="Normal"/>
                      <w:rPr>
                        <w:szCs w:val="24"/>
                      </w:rPr>
                    </w:pPr>
                    <w:r>
                      <w:rPr>
                        <w:szCs w:val="24"/>
                      </w:rPr>
                      <w:t>Ex H-</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99">
              <wp:simplePos x="0" y="0"/>
              <wp:positionH relativeFrom="column">
                <wp:align>center</wp:align>
              </wp:positionH>
              <wp:positionV relativeFrom="paragraph">
                <wp:posOffset>635</wp:posOffset>
              </wp:positionV>
              <wp:extent cx="385445" cy="175260"/>
              <wp:effectExtent l="0" t="0" r="0" b="0"/>
              <wp:wrapTopAndBottom/>
              <wp:docPr id="17" name="Frame22"/>
              <a:graphic xmlns:a="http://schemas.openxmlformats.org/drawingml/2006/main">
                <a:graphicData uri="http://schemas.microsoft.com/office/word/2010/wordprocessingShape">
                  <wps:wsp>
                    <wps:cNvSpPr txBox="1"/>
                    <wps:spPr>
                      <a:xfrm>
                        <a:off x="0" y="0"/>
                        <a:ext cx="385445" cy="175260"/>
                      </a:xfrm>
                      <a:prstGeom prst="rect"/>
                      <a:solidFill>
                        <a:srgbClr val="FFFFFF">
                          <a:alpha val="0"/>
                        </a:srgbClr>
                      </a:solidFill>
                    </wps:spPr>
                    <wps:txbx>
                      <w:txbxContent>
                        <w:p>
                          <w:pPr>
                            <w:pStyle w:val="Normal"/>
                            <w:rPr>
                              <w:szCs w:val="24"/>
                            </w:rPr>
                          </w:pPr>
                          <w:r>
                            <w:rPr>
                              <w:szCs w:val="24"/>
                            </w:rPr>
                            <w:t>Ex I-</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wps:txbx>
                    <wps:bodyPr anchor="t" lIns="0" tIns="0" rIns="0" bIns="0">
                      <a:noAutofit/>
                    </wps:bodyPr>
                  </wps:wsp>
                </a:graphicData>
              </a:graphic>
            </wp:anchor>
          </w:drawing>
        </mc:Choice>
        <mc:Fallback>
          <w:pict>
            <v:rect fillcolor="#FFFFFF" style="position:absolute;rotation:-0;width:30.35pt;height:13.8pt;mso-wrap-distance-left:0pt;mso-wrap-distance-right:0pt;mso-wrap-distance-top:0pt;mso-wrap-distance-bottom:0pt;margin-top:0pt;mso-position-vertical-relative:text;margin-left:218.85pt;mso-position-horizontal:center;mso-position-horizontal-relative:text">
              <v:fill opacity="0f"/>
              <v:textbox inset="0in,0in,0in,0in">
                <w:txbxContent>
                  <w:p>
                    <w:pPr>
                      <w:pStyle w:val="Normal"/>
                      <w:rPr>
                        <w:szCs w:val="24"/>
                      </w:rPr>
                    </w:pPr>
                    <w:r>
                      <w:rPr>
                        <w:szCs w:val="24"/>
                      </w:rPr>
                      <w:t>Ex I-</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100">
              <wp:simplePos x="0" y="0"/>
              <wp:positionH relativeFrom="column">
                <wp:align>center</wp:align>
              </wp:positionH>
              <wp:positionV relativeFrom="paragraph">
                <wp:posOffset>635</wp:posOffset>
              </wp:positionV>
              <wp:extent cx="393700" cy="175260"/>
              <wp:effectExtent l="0" t="0" r="0" b="0"/>
              <wp:wrapTopAndBottom/>
              <wp:docPr id="18" name="Frame23"/>
              <a:graphic xmlns:a="http://schemas.openxmlformats.org/drawingml/2006/main">
                <a:graphicData uri="http://schemas.microsoft.com/office/word/2010/wordprocessingShape">
                  <wps:wsp>
                    <wps:cNvSpPr txBox="1"/>
                    <wps:spPr>
                      <a:xfrm>
                        <a:off x="0" y="0"/>
                        <a:ext cx="393700" cy="175260"/>
                      </a:xfrm>
                      <a:prstGeom prst="rect"/>
                      <a:solidFill>
                        <a:srgbClr val="FFFFFF">
                          <a:alpha val="0"/>
                        </a:srgbClr>
                      </a:solidFill>
                    </wps:spPr>
                    <wps:txbx>
                      <w:txbxContent>
                        <w:p>
                          <w:pPr>
                            <w:pStyle w:val="Normal"/>
                            <w:rPr>
                              <w:szCs w:val="24"/>
                            </w:rPr>
                          </w:pPr>
                          <w:r>
                            <w:rPr>
                              <w:szCs w:val="24"/>
                            </w:rPr>
                            <w:t>Ex J-</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wps:txbx>
                    <wps:bodyPr anchor="t" lIns="0" tIns="0" rIns="0" bIns="0">
                      <a:noAutofit/>
                    </wps:bodyPr>
                  </wps:wsp>
                </a:graphicData>
              </a:graphic>
            </wp:anchor>
          </w:drawing>
        </mc:Choice>
        <mc:Fallback>
          <w:pict>
            <v:rect fillcolor="#FFFFFF" style="position:absolute;rotation:-0;width:31pt;height:13.8pt;mso-wrap-distance-left:0pt;mso-wrap-distance-right:0pt;mso-wrap-distance-top:0pt;mso-wrap-distance-bottom:0pt;margin-top:0pt;mso-position-vertical-relative:text;margin-left:218.5pt;mso-position-horizontal:center;mso-position-horizontal-relative:text">
              <v:fill opacity="0f"/>
              <v:textbox inset="0in,0in,0in,0in">
                <w:txbxContent>
                  <w:p>
                    <w:pPr>
                      <w:pStyle w:val="Normal"/>
                      <w:rPr>
                        <w:szCs w:val="24"/>
                      </w:rPr>
                    </w:pPr>
                    <w:r>
                      <w:rPr>
                        <w:szCs w:val="24"/>
                      </w:rPr>
                      <w:t>Ex J-</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104">
              <wp:simplePos x="0" y="0"/>
              <wp:positionH relativeFrom="column">
                <wp:align>center</wp:align>
              </wp:positionH>
              <wp:positionV relativeFrom="paragraph">
                <wp:posOffset>635</wp:posOffset>
              </wp:positionV>
              <wp:extent cx="741045" cy="175260"/>
              <wp:effectExtent l="0" t="0" r="0" b="0"/>
              <wp:wrapTopAndBottom/>
              <wp:docPr id="19" name="Frame24"/>
              <a:graphic xmlns:a="http://schemas.openxmlformats.org/drawingml/2006/main">
                <a:graphicData uri="http://schemas.microsoft.com/office/word/2010/wordprocessingShape">
                  <wps:wsp>
                    <wps:cNvSpPr txBox="1"/>
                    <wps:spPr>
                      <a:xfrm>
                        <a:off x="0" y="0"/>
                        <a:ext cx="741045" cy="175260"/>
                      </a:xfrm>
                      <a:prstGeom prst="rect"/>
                      <a:solidFill>
                        <a:srgbClr val="FFFFFF">
                          <a:alpha val="0"/>
                        </a:srgbClr>
                      </a:solidFill>
                    </wps:spPr>
                    <wps:txbx>
                      <w:txbxContent>
                        <w:p>
                          <w:pPr>
                            <w:pStyle w:val="Normal"/>
                            <w:rPr>
                              <w:szCs w:val="24"/>
                            </w:rPr>
                          </w:pPr>
                          <w:r>
                            <w:rPr>
                              <w:szCs w:val="24"/>
                            </w:rPr>
                            <w:t xml:space="preserve">EXH K1 - </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wps:txbx>
                    <wps:bodyPr anchor="t" lIns="0" tIns="0" rIns="0" bIns="0">
                      <a:noAutofit/>
                    </wps:bodyPr>
                  </wps:wsp>
                </a:graphicData>
              </a:graphic>
            </wp:anchor>
          </w:drawing>
        </mc:Choice>
        <mc:Fallback>
          <w:pict>
            <v:rect fillcolor="#FFFFFF" style="position:absolute;rotation:-0;width:58.35pt;height:13.8pt;mso-wrap-distance-left:0pt;mso-wrap-distance-right:0pt;mso-wrap-distance-top:0pt;mso-wrap-distance-bottom:0pt;margin-top:0pt;mso-position-vertical-relative:text;margin-left:204.85pt;mso-position-horizontal:center;mso-position-horizontal-relative:text">
              <v:fill opacity="0f"/>
              <v:textbox inset="0in,0in,0in,0in">
                <w:txbxContent>
                  <w:p>
                    <w:pPr>
                      <w:pStyle w:val="Normal"/>
                      <w:rPr>
                        <w:szCs w:val="24"/>
                      </w:rPr>
                    </w:pPr>
                    <w:r>
                      <w:rPr>
                        <w:szCs w:val="24"/>
                      </w:rPr>
                      <w:t xml:space="preserve">EXH K1 - </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105">
              <wp:simplePos x="0" y="0"/>
              <wp:positionH relativeFrom="column">
                <wp:align>center</wp:align>
              </wp:positionH>
              <wp:positionV relativeFrom="paragraph">
                <wp:posOffset>635</wp:posOffset>
              </wp:positionV>
              <wp:extent cx="537845" cy="175260"/>
              <wp:effectExtent l="0" t="0" r="0" b="0"/>
              <wp:wrapTopAndBottom/>
              <wp:docPr id="20" name="Frame25"/>
              <a:graphic xmlns:a="http://schemas.openxmlformats.org/drawingml/2006/main">
                <a:graphicData uri="http://schemas.microsoft.com/office/word/2010/wordprocessingShape">
                  <wps:wsp>
                    <wps:cNvSpPr txBox="1"/>
                    <wps:spPr>
                      <a:xfrm>
                        <a:off x="0" y="0"/>
                        <a:ext cx="537845" cy="175260"/>
                      </a:xfrm>
                      <a:prstGeom prst="rect"/>
                      <a:solidFill>
                        <a:srgbClr val="FFFFFF">
                          <a:alpha val="0"/>
                        </a:srgbClr>
                      </a:solidFill>
                    </wps:spPr>
                    <wps:txbx>
                      <w:txbxContent>
                        <w:p>
                          <w:pPr>
                            <w:pStyle w:val="Normal"/>
                            <w:rPr>
                              <w:szCs w:val="24"/>
                            </w:rPr>
                          </w:pPr>
                          <w:r>
                            <w:rPr>
                              <w:szCs w:val="24"/>
                            </w:rPr>
                            <w:t>EXH K2</w:t>
                          </w:r>
                        </w:p>
                      </w:txbxContent>
                    </wps:txbx>
                    <wps:bodyPr anchor="t" lIns="0" tIns="0" rIns="0" bIns="0">
                      <a:noAutofit/>
                    </wps:bodyPr>
                  </wps:wsp>
                </a:graphicData>
              </a:graphic>
            </wp:anchor>
          </w:drawing>
        </mc:Choice>
        <mc:Fallback>
          <w:pict>
            <v:rect fillcolor="#FFFFFF" style="position:absolute;rotation:-0;width:42.35pt;height:13.8pt;mso-wrap-distance-left:0pt;mso-wrap-distance-right:0pt;mso-wrap-distance-top:0pt;mso-wrap-distance-bottom:0pt;margin-top:0pt;mso-position-vertical-relative:text;margin-left:212.85pt;mso-position-horizontal:center;mso-position-horizontal-relative:text">
              <v:fill opacity="0f"/>
              <v:textbox inset="0in,0in,0in,0in">
                <w:txbxContent>
                  <w:p>
                    <w:pPr>
                      <w:pStyle w:val="Normal"/>
                      <w:rPr>
                        <w:szCs w:val="24"/>
                      </w:rPr>
                    </w:pPr>
                    <w:r>
                      <w:rPr>
                        <w:szCs w:val="24"/>
                      </w:rPr>
                      <w:t>EXH K2</w:t>
                    </w:r>
                  </w:p>
                </w:txbxContent>
              </v:textbox>
              <w10:wrap type="topAndBottom"/>
            </v:rect>
          </w:pict>
        </mc:Fallback>
      </mc:AlternateContent>
    </w:r>
  </w:p>
  <w:p>
    <w:pPr>
      <w:pStyle w:val="Normal"/>
      <w:jc w:val="both"/>
      <w:rPr>
        <w:sz w:val="14"/>
        <w:szCs w:val="14"/>
      </w:rPr>
    </w:pPr>
    <w:r>
      <w:rPr>
        <w:sz w:val="14"/>
        <w:szCs w:val="14"/>
      </w:rPr>
      <w:t>DAL:265273.6</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68">
              <wp:simplePos x="0" y="0"/>
              <wp:positionH relativeFrom="column">
                <wp:align>center</wp:align>
              </wp:positionH>
              <wp:positionV relativeFrom="paragraph">
                <wp:posOffset>635</wp:posOffset>
              </wp:positionV>
              <wp:extent cx="280035" cy="175260"/>
              <wp:effectExtent l="0" t="0" r="0" b="0"/>
              <wp:wrapTopAndBottom/>
              <wp:docPr id="1" name="Frame2"/>
              <a:graphic xmlns:a="http://schemas.openxmlformats.org/drawingml/2006/main">
                <a:graphicData uri="http://schemas.microsoft.com/office/word/2010/wordprocessingShape">
                  <wps:wsp>
                    <wps:cNvSpPr txBox="1"/>
                    <wps:spPr>
                      <a:xfrm>
                        <a:off x="0" y="0"/>
                        <a:ext cx="2800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lxvii</w:t>
                          </w:r>
                          <w:r>
                            <w:rPr>
                              <w:szCs w:val="24"/>
                            </w:rPr>
                            <w:fldChar w:fldCharType="end"/>
                          </w:r>
                        </w:p>
                      </w:txbxContent>
                    </wps:txbx>
                    <wps:bodyPr anchor="t" lIns="0" tIns="0" rIns="0" bIns="0">
                      <a:noAutofit/>
                    </wps:bodyPr>
                  </wps:wsp>
                </a:graphicData>
              </a:graphic>
            </wp:anchor>
          </w:drawing>
        </mc:Choice>
        <mc:Fallback>
          <w:pict>
            <v:rect fillcolor="#FFFFFF" style="position:absolute;rotation:-0;width:22.05pt;height:13.8pt;mso-wrap-distance-left:0pt;mso-wrap-distance-right:0pt;mso-wrap-distance-top:0pt;mso-wrap-distance-bottom:0pt;margin-top:0pt;mso-position-vertical-relative:text;margin-left:223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lxvii</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107">
              <wp:simplePos x="0" y="0"/>
              <wp:positionH relativeFrom="column">
                <wp:align>center</wp:align>
              </wp:positionH>
              <wp:positionV relativeFrom="paragraph">
                <wp:posOffset>635</wp:posOffset>
              </wp:positionV>
              <wp:extent cx="504190" cy="175260"/>
              <wp:effectExtent l="0" t="0" r="0" b="0"/>
              <wp:wrapTopAndBottom/>
              <wp:docPr id="21" name="Frame26"/>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rPr>
                              <w:szCs w:val="24"/>
                            </w:rPr>
                          </w:pPr>
                          <w:r>
                            <w:rPr>
                              <w:szCs w:val="24"/>
                            </w:rPr>
                            <w:t>Ex L1-</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wps:txbx>
                    <wps:bodyPr anchor="t" lIns="0" tIns="0" rIns="0" bIns="0">
                      <a:no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text;margin-left:214.15pt;mso-position-horizontal:center;mso-position-horizontal-relative:text">
              <v:fill opacity="0f"/>
              <v:textbox inset="0in,0in,0in,0in">
                <w:txbxContent>
                  <w:p>
                    <w:pPr>
                      <w:pStyle w:val="Normal"/>
                      <w:rPr>
                        <w:szCs w:val="24"/>
                      </w:rPr>
                    </w:pPr>
                    <w:r>
                      <w:rPr>
                        <w:szCs w:val="24"/>
                      </w:rPr>
                      <w:t>Ex L1-</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108">
              <wp:simplePos x="0" y="0"/>
              <wp:positionH relativeFrom="column">
                <wp:align>center</wp:align>
              </wp:positionH>
              <wp:positionV relativeFrom="paragraph">
                <wp:posOffset>635</wp:posOffset>
              </wp:positionV>
              <wp:extent cx="774700" cy="175260"/>
              <wp:effectExtent l="0" t="0" r="0" b="0"/>
              <wp:wrapTopAndBottom/>
              <wp:docPr id="22" name="Frame27"/>
              <a:graphic xmlns:a="http://schemas.openxmlformats.org/drawingml/2006/main">
                <a:graphicData uri="http://schemas.microsoft.com/office/word/2010/wordprocessingShape">
                  <wps:wsp>
                    <wps:cNvSpPr txBox="1"/>
                    <wps:spPr>
                      <a:xfrm>
                        <a:off x="0" y="0"/>
                        <a:ext cx="774700" cy="175260"/>
                      </a:xfrm>
                      <a:prstGeom prst="rect"/>
                      <a:solidFill>
                        <a:srgbClr val="FFFFFF">
                          <a:alpha val="0"/>
                        </a:srgbClr>
                      </a:solidFill>
                    </wps:spPr>
                    <wps:txbx>
                      <w:txbxContent>
                        <w:p>
                          <w:pPr>
                            <w:pStyle w:val="Normal"/>
                            <w:rPr>
                              <w:szCs w:val="24"/>
                            </w:rPr>
                          </w:pPr>
                          <w:r>
                            <w:rPr>
                              <w:szCs w:val="24"/>
                            </w:rPr>
                            <w:t>Schedule I-</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wps:txbx>
                    <wps:bodyPr anchor="t" lIns="0" tIns="0" rIns="0" bIns="0">
                      <a:noAutofit/>
                    </wps:bodyPr>
                  </wps:wsp>
                </a:graphicData>
              </a:graphic>
            </wp:anchor>
          </w:drawing>
        </mc:Choice>
        <mc:Fallback>
          <w:pict>
            <v:rect fillcolor="#FFFFFF" style="position:absolute;rotation:-0;width:61pt;height:13.8pt;mso-wrap-distance-left:0pt;mso-wrap-distance-right:0pt;mso-wrap-distance-top:0pt;mso-wrap-distance-bottom:0pt;margin-top:0pt;mso-position-vertical-relative:text;margin-left:203.5pt;mso-position-horizontal:center;mso-position-horizontal-relative:text">
              <v:fill opacity="0f"/>
              <v:textbox inset="0in,0in,0in,0in">
                <w:txbxContent>
                  <w:p>
                    <w:pPr>
                      <w:pStyle w:val="Normal"/>
                      <w:rPr>
                        <w:szCs w:val="24"/>
                      </w:rPr>
                    </w:pPr>
                    <w:r>
                      <w:rPr>
                        <w:szCs w:val="24"/>
                      </w:rPr>
                      <w:t>Schedule I-</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109">
              <wp:simplePos x="0" y="0"/>
              <wp:positionH relativeFrom="column">
                <wp:align>center</wp:align>
              </wp:positionH>
              <wp:positionV relativeFrom="paragraph">
                <wp:posOffset>635</wp:posOffset>
              </wp:positionV>
              <wp:extent cx="504190" cy="175260"/>
              <wp:effectExtent l="0" t="0" r="0" b="0"/>
              <wp:wrapTopAndBottom/>
              <wp:docPr id="23" name="Frame28"/>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rPr>
                              <w:szCs w:val="24"/>
                            </w:rPr>
                          </w:pPr>
                          <w:r>
                            <w:rPr>
                              <w:szCs w:val="24"/>
                            </w:rPr>
                            <w:t>Ex L2-</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wps:txbx>
                    <wps:bodyPr anchor="t" lIns="0" tIns="0" rIns="0" bIns="0">
                      <a:no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text;margin-left:214.15pt;mso-position-horizontal:center;mso-position-horizontal-relative:text">
              <v:fill opacity="0f"/>
              <v:textbox inset="0in,0in,0in,0in">
                <w:txbxContent>
                  <w:p>
                    <w:pPr>
                      <w:pStyle w:val="Normal"/>
                      <w:rPr>
                        <w:szCs w:val="24"/>
                      </w:rPr>
                    </w:pPr>
                    <w:r>
                      <w:rPr>
                        <w:szCs w:val="24"/>
                      </w:rPr>
                      <w:t>Ex L2-</w:t>
                    </w: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112">
              <wp:simplePos x="0" y="0"/>
              <wp:positionH relativeFrom="column">
                <wp:align>center</wp:align>
              </wp:positionH>
              <wp:positionV relativeFrom="paragraph">
                <wp:posOffset>635</wp:posOffset>
              </wp:positionV>
              <wp:extent cx="504190" cy="175260"/>
              <wp:effectExtent l="0" t="0" r="0" b="0"/>
              <wp:wrapTopAndBottom/>
              <wp:docPr id="24" name="Frame29"/>
              <a:graphic xmlns:a="http://schemas.openxmlformats.org/drawingml/2006/main">
                <a:graphicData uri="http://schemas.microsoft.com/office/word/2010/wordprocessingShape">
                  <wps:wsp>
                    <wps:cNvSpPr txBox="1"/>
                    <wps:spPr>
                      <a:xfrm>
                        <a:off x="0" y="0"/>
                        <a:ext cx="504190" cy="175260"/>
                      </a:xfrm>
                      <a:prstGeom prst="rect"/>
                      <a:solidFill>
                        <a:srgbClr val="FFFFFF">
                          <a:alpha val="0"/>
                        </a:srgbClr>
                      </a:solidFill>
                    </wps:spPr>
                    <wps:txbx>
                      <w:txbxContent>
                        <w:p>
                          <w:pPr>
                            <w:pStyle w:val="Normal"/>
                            <w:rPr/>
                          </w:pPr>
                          <w:r>
                            <w:rPr>
                              <w:szCs w:val="24"/>
                            </w:rPr>
                            <w:t>Ex L2-</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wps:txbx>
                    <wps:bodyPr anchor="t" lIns="0" tIns="0" rIns="0" bIns="0">
                      <a:noAutofit/>
                    </wps:bodyPr>
                  </wps:wsp>
                </a:graphicData>
              </a:graphic>
            </wp:anchor>
          </w:drawing>
        </mc:Choice>
        <mc:Fallback>
          <w:pict>
            <v:rect fillcolor="#FFFFFF" style="position:absolute;rotation:-0;width:39.7pt;height:13.8pt;mso-wrap-distance-left:0pt;mso-wrap-distance-right:0pt;mso-wrap-distance-top:0pt;mso-wrap-distance-bottom:0pt;margin-top:0pt;mso-position-vertical-relative:text;margin-left:214.15pt;mso-position-horizontal:center;mso-position-horizontal-relative:text">
              <v:fill opacity="0f"/>
              <v:textbox inset="0in,0in,0in,0in">
                <w:txbxContent>
                  <w:p>
                    <w:pPr>
                      <w:pStyle w:val="Normal"/>
                      <w:rPr/>
                    </w:pPr>
                    <w:r>
                      <w:rPr>
                        <w:szCs w:val="24"/>
                      </w:rPr>
                      <w:t>Ex L2-</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69">
              <wp:simplePos x="0" y="0"/>
              <wp:positionH relativeFrom="column">
                <wp:align>center</wp:align>
              </wp:positionH>
              <wp:positionV relativeFrom="paragraph">
                <wp:posOffset>635</wp:posOffset>
              </wp:positionV>
              <wp:extent cx="76835" cy="175260"/>
              <wp:effectExtent l="0" t="0" r="0" b="0"/>
              <wp:wrapTopAndBottom/>
              <wp:docPr id="2"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0">
              <wp:simplePos x="0" y="0"/>
              <wp:positionH relativeFrom="column">
                <wp:align>center</wp:align>
              </wp:positionH>
              <wp:positionV relativeFrom="paragraph">
                <wp:posOffset>635</wp:posOffset>
              </wp:positionV>
              <wp:extent cx="76835" cy="175260"/>
              <wp:effectExtent l="0" t="0" r="0" b="0"/>
              <wp:wrapTopAndBottom/>
              <wp:docPr id="3"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1">
              <wp:simplePos x="0" y="0"/>
              <wp:positionH relativeFrom="column">
                <wp:align>center</wp:align>
              </wp:positionH>
              <wp:positionV relativeFrom="paragraph">
                <wp:posOffset>635</wp:posOffset>
              </wp:positionV>
              <wp:extent cx="76835" cy="175260"/>
              <wp:effectExtent l="0" t="0" r="0" b="0"/>
              <wp:wrapTopAndBottom/>
              <wp:docPr id="4"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3</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3</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2">
              <wp:simplePos x="0" y="0"/>
              <wp:positionH relativeFrom="column">
                <wp:align>center</wp:align>
              </wp:positionH>
              <wp:positionV relativeFrom="paragraph">
                <wp:posOffset>635</wp:posOffset>
              </wp:positionV>
              <wp:extent cx="76835" cy="175260"/>
              <wp:effectExtent l="0" t="0" r="0" b="0"/>
              <wp:wrapTopAndBottom/>
              <wp:docPr id="5" name="Frame6"/>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3">
              <wp:simplePos x="0" y="0"/>
              <wp:positionH relativeFrom="column">
                <wp:align>center</wp:align>
              </wp:positionH>
              <wp:positionV relativeFrom="paragraph">
                <wp:posOffset>635</wp:posOffset>
              </wp:positionV>
              <wp:extent cx="76835" cy="175260"/>
              <wp:effectExtent l="0" t="0" r="0" b="0"/>
              <wp:wrapTopAndBottom/>
              <wp:docPr id="6" name="Frame7"/>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Cs w:val="24"/>
      </w:rPr>
    </w:pPr>
    <w:r>
      <w:rPr>
        <w:szCs w:val="24"/>
      </w:rPr>
    </w:r>
    <w:r>
      <mc:AlternateContent>
        <mc:Choice Requires="wps">
          <w:drawing>
            <wp:anchor behindDoc="0" distT="0" distB="0" distL="0" distR="0" simplePos="0" locked="0" layoutInCell="0" allowOverlap="1" relativeHeight="74">
              <wp:simplePos x="0" y="0"/>
              <wp:positionH relativeFrom="column">
                <wp:align>center</wp:align>
              </wp:positionH>
              <wp:positionV relativeFrom="paragraph">
                <wp:posOffset>635</wp:posOffset>
              </wp:positionV>
              <wp:extent cx="76835" cy="175260"/>
              <wp:effectExtent l="0" t="0" r="0" b="0"/>
              <wp:wrapTopAndBottom/>
              <wp:docPr id="7" name="Frame8"/>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6</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6</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DAL:265273.6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szCs w:val="24"/>
      </w:rPr>
    </w:pPr>
    <w:r>
      <w:rPr>
        <w:szCs w:val="24"/>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footer" Target="footer24.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numbering" Target="numbering.xml"/><Relationship Id="rId77" Type="http://schemas.openxmlformats.org/officeDocument/2006/relationships/fontTable" Target="fontTable.xml"/><Relationship Id="rId78" Type="http://schemas.openxmlformats.org/officeDocument/2006/relationships/settings" Target="settings.xml"/><Relationship Id="rId7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2000-11-15T18:14:00Z</dcterms:created>
  <dc:creator>A&amp;K</dc:creator>
  <dc:description/>
  <dc:language>en-CA</dc:language>
  <cp:lastModifiedBy>A&amp;K</cp:lastModifiedBy>
  <dcterms:modified xsi:type="dcterms:W3CDTF">2000-11-15T18:15:00Z</dcterms:modified>
  <cp:revision>1</cp:revision>
  <dc:subject/>
  <dc:title/>
</cp:coreProperties>
</file>