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68.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header69.xml" ContentType="application/vnd.openxmlformats-officedocument.wordprocessingml.header+xml"/>
  <Override PartName="/word/footer32.xml" ContentType="application/vnd.openxmlformats-officedocument.wordprocessingml.footer+xml"/>
  <Override PartName="/word/footer63.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header72.xml" ContentType="application/vnd.openxmlformats-officedocument.wordprocessingml.header+xml"/>
  <Override PartName="/word/header15.xml" ContentType="application/vnd.openxmlformats-officedocument.wordprocessingml.header+xml"/>
  <Override PartName="/word/footer64.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3.xml" ContentType="application/vnd.openxmlformats-officedocument.wordprocessingml.footer+xml"/>
  <Override PartName="/word/footer67.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footer24.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header71.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Dated as of November [17],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b/>
        </w:rPr>
      </w:pPr>
      <w:r>
        <w:rPr>
          <w:b/>
        </w:rPr>
        <w:tab/>
        <w:t>HAWAII II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First Union National Bank and San Paolo IMI S.p.A.</w:t>
      </w:r>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BNP Paribas</w:t>
      </w:r>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Bayerische Landesbank</w:t>
      </w:r>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b/>
        </w:rPr>
      </w:pPr>
      <w:r>
        <w:rPr>
          <w:b/>
        </w:rPr>
        <w:tab/>
        <w:t>[$385,000,000]</w:t>
      </w:r>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rPr/>
          </w:pPr>
          <w:r>
            <w:rPr/>
            <w:t xml:space="preserve">ARTICLE I </w:t>
            <w:noBreakHyphen/>
            <w:t xml:space="preserve"> DEFINITIONS AND INTERPRETATION</w:t>
            <w:tab/>
            <w:t>1</w:t>
          </w:r>
        </w:p>
        <w:p>
          <w:pPr>
            <w:pStyle w:val="Normal"/>
            <w:widowControl/>
            <w:tabs>
              <w:tab w:val="clear" w:pos="720"/>
              <w:tab w:val="right" w:pos="9360" w:leader="dot"/>
            </w:tabs>
            <w:ind w:hanging="360" w:start="1080" w:end="0"/>
            <w:rPr/>
          </w:pPr>
          <w:r>
            <w:rPr/>
            <w:t>Section  1.1   Definitions</w:t>
            <w:tab/>
            <w:t>1</w:t>
          </w:r>
        </w:p>
        <w:p>
          <w:pPr>
            <w:pStyle w:val="Normal"/>
            <w:widowControl/>
            <w:tabs>
              <w:tab w:val="clear" w:pos="720"/>
              <w:tab w:val="right" w:pos="9360" w:leader="dot"/>
            </w:tabs>
            <w:ind w:hanging="360" w:start="1080" w:end="0"/>
            <w:rPr/>
          </w:pPr>
          <w:r>
            <w:rPr/>
            <w:t>Section  1.2   Interpretation</w:t>
            <w:tab/>
            <w:t>14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II </w:t>
            <w:noBreakHyphen/>
            <w:t xml:space="preserve"> TRANCHES AND ADVANCES</w:t>
            <w:tab/>
            <w:t>15</w:t>
          </w:r>
        </w:p>
        <w:p>
          <w:pPr>
            <w:pStyle w:val="Normal"/>
            <w:widowControl/>
            <w:tabs>
              <w:tab w:val="clear" w:pos="720"/>
              <w:tab w:val="right" w:pos="9360" w:leader="dot"/>
            </w:tabs>
            <w:ind w:hanging="360" w:start="1080" w:end="0"/>
            <w:rPr/>
          </w:pPr>
          <w:r>
            <w:rPr/>
            <w:t>Section  2.1   Tranches</w:t>
            <w:tab/>
            <w:t>15</w:t>
          </w:r>
        </w:p>
        <w:p>
          <w:pPr>
            <w:pStyle w:val="Normal"/>
            <w:widowControl/>
            <w:tabs>
              <w:tab w:val="clear" w:pos="720"/>
              <w:tab w:val="right" w:pos="9360" w:leader="dot"/>
            </w:tabs>
            <w:ind w:hanging="360" w:start="1080" w:end="0"/>
            <w:rPr/>
          </w:pPr>
          <w:r>
            <w:rPr/>
            <w:t>Section  2.2   Advances</w:t>
            <w:tab/>
            <w:t>15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III </w:t>
            <w:noBreakHyphen/>
            <w:t xml:space="preserve"> PARTICIPATION OF LENDERS</w:t>
            <w:tab/>
            <w:t>16</w:t>
          </w:r>
        </w:p>
        <w:p>
          <w:pPr>
            <w:pStyle w:val="Normal"/>
            <w:widowControl/>
            <w:tabs>
              <w:tab w:val="clear" w:pos="720"/>
              <w:tab w:val="right" w:pos="9360" w:leader="dot"/>
            </w:tabs>
            <w:ind w:hanging="360" w:start="1080" w:end="0"/>
            <w:rPr/>
          </w:pPr>
          <w:r>
            <w:rPr/>
            <w:t>Section  3.1   Funding Office</w:t>
            <w:tab/>
            <w:t>16</w:t>
          </w:r>
        </w:p>
        <w:p>
          <w:pPr>
            <w:pStyle w:val="Normal"/>
            <w:widowControl/>
            <w:tabs>
              <w:tab w:val="clear" w:pos="720"/>
              <w:tab w:val="right" w:pos="9360" w:leader="dot"/>
            </w:tabs>
            <w:ind w:hanging="360" w:start="1080" w:end="0"/>
            <w:rPr/>
          </w:pPr>
          <w:r>
            <w:rPr/>
            <w:t>Section  3.2   Rights and Obligations of Finance Parties</w:t>
            <w:tab/>
            <w:t>16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3.3   Second Closing Date; Addition of Lenders and Increase in </w:t>
          </w:r>
        </w:p>
        <w:p>
          <w:pPr>
            <w:pStyle w:val="Normal"/>
            <w:widowControl/>
            <w:tabs>
              <w:tab w:val="clear" w:pos="720"/>
              <w:tab w:val="right" w:pos="9360" w:leader="dot"/>
            </w:tabs>
            <w:ind w:start="2160" w:end="0"/>
            <w:rPr/>
          </w:pPr>
          <w:r>
            <w:rPr/>
            <w:t>Commitments</w:t>
            <w:tab/>
            <w:t>17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IV </w:t>
            <w:noBreakHyphen/>
            <w:t xml:space="preserve"> CONDITIONS PRECEDENT</w:t>
            <w:tab/>
            <w:t>19</w:t>
          </w:r>
        </w:p>
        <w:p>
          <w:pPr>
            <w:pStyle w:val="Normal"/>
            <w:widowControl/>
            <w:tabs>
              <w:tab w:val="clear" w:pos="720"/>
              <w:tab w:val="right" w:pos="9360" w:leader="dot"/>
            </w:tabs>
            <w:ind w:hanging="360" w:start="1080" w:end="0"/>
            <w:rPr/>
          </w:pPr>
          <w:r>
            <w:rPr/>
            <w:t>Section  4.1   Conditions Precedent to Lenders</w:t>
          </w:r>
          <w:r>
            <w:rPr>
              <w:rFonts w:cs="WP TypographicSymbols" w:ascii="WP TypographicSymbols" w:hAnsi="WP TypographicSymbols"/>
            </w:rPr>
            <w:t>=</w:t>
          </w:r>
          <w:r>
            <w:rPr/>
            <w:t xml:space="preserve"> Obligations under this Agreement.  </w:t>
            <w:tab/>
            <w:t>19</w:t>
          </w:r>
        </w:p>
        <w:p>
          <w:pPr>
            <w:pStyle w:val="Normal"/>
            <w:widowControl/>
            <w:tabs>
              <w:tab w:val="clear" w:pos="720"/>
              <w:tab w:val="right" w:pos="9360" w:leader="dot"/>
            </w:tabs>
            <w:ind w:hanging="360" w:start="1080" w:end="0"/>
            <w:rPr/>
          </w:pPr>
          <w:r>
            <w:rPr/>
            <w:t>Section  4.2   Conditions Precedent to Lenders</w:t>
          </w:r>
          <w:r>
            <w:rPr>
              <w:rFonts w:cs="WP TypographicSymbols" w:ascii="WP TypographicSymbols" w:hAnsi="WP TypographicSymbols"/>
            </w:rPr>
            <w:t>=</w:t>
          </w:r>
          <w:r>
            <w:rPr/>
            <w:t xml:space="preserve"> Obligations to Make Advances.  </w:t>
            <w:tab/>
            <w:t>20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4.3   Conditions Precedent to Lenders</w:t>
          </w:r>
          <w:r>
            <w:rPr>
              <w:rFonts w:cs="WP TypographicSymbols" w:ascii="WP TypographicSymbols" w:hAnsi="WP TypographicSymbols"/>
            </w:rPr>
            <w:t>=</w:t>
          </w:r>
          <w:r>
            <w:rPr/>
            <w:t xml:space="preserve"> Obligations to Make Advances with</w:t>
          </w:r>
        </w:p>
        <w:p>
          <w:pPr>
            <w:pStyle w:val="Normal"/>
            <w:widowControl/>
            <w:tabs>
              <w:tab w:val="clear" w:pos="720"/>
              <w:tab w:val="right" w:pos="9360" w:leader="dot"/>
            </w:tabs>
            <w:ind w:start="2160" w:end="0"/>
            <w:rPr/>
          </w:pPr>
          <w:r>
            <w:rPr/>
            <w:t xml:space="preserve"> </w:t>
          </w:r>
          <w:r>
            <w:rPr/>
            <w:t xml:space="preserve">Respect to the Hawaii Tranches.  </w:t>
            <w:tab/>
            <w:t>22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4.4   Conditions Precedent to Lenders</w:t>
          </w:r>
          <w:r>
            <w:rPr>
              <w:rFonts w:cs="WP TypographicSymbols" w:ascii="WP TypographicSymbols" w:hAnsi="WP TypographicSymbols"/>
            </w:rPr>
            <w:t>=</w:t>
          </w:r>
          <w:r>
            <w:rPr/>
            <w:t xml:space="preserve"> Obligations to Make Advances with</w:t>
          </w:r>
        </w:p>
        <w:p>
          <w:pPr>
            <w:pStyle w:val="Normal"/>
            <w:widowControl/>
            <w:tabs>
              <w:tab w:val="clear" w:pos="720"/>
              <w:tab w:val="right" w:pos="9360" w:leader="dot"/>
            </w:tabs>
            <w:ind w:start="2160" w:end="0"/>
            <w:rPr/>
          </w:pPr>
          <w:r>
            <w:rPr/>
            <w:t xml:space="preserve"> </w:t>
          </w:r>
          <w:r>
            <w:rPr/>
            <w:t xml:space="preserve">Respect to the Hawaii I Tranches.  </w:t>
            <w:tab/>
            <w:t>24</w:t>
          </w:r>
        </w:p>
        <w:p>
          <w:pPr>
            <w:pStyle w:val="Normal"/>
            <w:widowControl/>
            <w:tabs>
              <w:tab w:val="clear" w:pos="720"/>
              <w:tab w:val="right" w:pos="9360" w:leader="dot"/>
            </w:tabs>
            <w:ind w:hanging="360" w:start="1080" w:end="0"/>
            <w:rPr/>
          </w:pPr>
          <w:r>
            <w:rPr/>
            <w:t xml:space="preserve">Section  4.5   Commitments Not Drawn.  </w:t>
            <w:tab/>
            <w:t>26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 </w:t>
            <w:noBreakHyphen/>
            <w:t xml:space="preserve"> DRAWDOWN CERTIFICATION AND DRAWDOWN PROCEDURES</w:t>
            <w:tab/>
            <w:t>26</w:t>
          </w:r>
        </w:p>
        <w:p>
          <w:pPr>
            <w:pStyle w:val="Normal"/>
            <w:widowControl/>
            <w:tabs>
              <w:tab w:val="clear" w:pos="720"/>
              <w:tab w:val="right" w:pos="9360" w:leader="dot"/>
            </w:tabs>
            <w:ind w:hanging="360" w:start="1080" w:end="0"/>
            <w:rPr/>
          </w:pPr>
          <w:r>
            <w:rPr/>
            <w:t>Section  5.1   Certification Procedure.</w:t>
            <w:tab/>
            <w:t>26</w:t>
          </w:r>
        </w:p>
        <w:p>
          <w:pPr>
            <w:pStyle w:val="Normal"/>
            <w:widowControl/>
            <w:tabs>
              <w:tab w:val="clear" w:pos="720"/>
              <w:tab w:val="right" w:pos="9360" w:leader="dot"/>
            </w:tabs>
            <w:ind w:hanging="360" w:start="1080" w:end="0"/>
            <w:rPr/>
          </w:pPr>
          <w:r>
            <w:rPr/>
            <w:t>Section  5.2   Drawdown of the Advances</w:t>
            <w:tab/>
            <w:t>28</w:t>
          </w:r>
        </w:p>
        <w:p>
          <w:pPr>
            <w:pStyle w:val="Normal"/>
            <w:widowControl/>
            <w:tabs>
              <w:tab w:val="clear" w:pos="720"/>
              <w:tab w:val="right" w:pos="9360" w:leader="dot"/>
            </w:tabs>
            <w:ind w:hanging="360" w:start="1080" w:end="0"/>
            <w:rPr/>
          </w:pPr>
          <w:r>
            <w:rPr/>
            <w:t>Section  5.3   Advances</w:t>
            <w:tab/>
            <w:t>29</w:t>
          </w:r>
        </w:p>
        <w:p>
          <w:pPr>
            <w:pStyle w:val="Normal"/>
            <w:widowControl/>
            <w:tabs>
              <w:tab w:val="clear" w:pos="720"/>
              <w:tab w:val="right" w:pos="9360" w:leader="dot"/>
            </w:tabs>
            <w:ind w:hanging="360" w:start="1080" w:end="0"/>
            <w:rPr/>
          </w:pPr>
          <w:r>
            <w:rPr/>
            <w:t>Section  5.4   Notice to Lenders of a Proposed Drawdown</w:t>
            <w:tab/>
            <w:t>29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 </w:t>
            <w:noBreakHyphen/>
            <w:t xml:space="preserve"> REPAYMENT OF ADVANCES</w:t>
            <w:tab/>
            <w:t>30</w:t>
          </w:r>
        </w:p>
        <w:p>
          <w:pPr>
            <w:pStyle w:val="Normal"/>
            <w:widowControl/>
            <w:tabs>
              <w:tab w:val="clear" w:pos="720"/>
              <w:tab w:val="right" w:pos="9360" w:leader="dot"/>
            </w:tabs>
            <w:ind w:hanging="360" w:start="1080" w:end="0"/>
            <w:rPr/>
          </w:pPr>
          <w:r>
            <w:rPr/>
            <w:t>Section  6.1   Obligation to Repay</w:t>
            <w:tab/>
            <w:t>30</w:t>
          </w:r>
        </w:p>
        <w:p>
          <w:pPr>
            <w:pStyle w:val="Normal"/>
            <w:widowControl/>
            <w:tabs>
              <w:tab w:val="clear" w:pos="720"/>
              <w:tab w:val="right" w:pos="9360" w:leader="dot"/>
            </w:tabs>
            <w:ind w:hanging="360" w:start="1080" w:end="0"/>
            <w:rPr/>
          </w:pPr>
          <w:r>
            <w:rPr/>
            <w:t>Section  6.2   Date of Repayment</w:t>
            <w:tab/>
            <w:t>30</w:t>
          </w:r>
        </w:p>
        <w:p>
          <w:pPr>
            <w:pStyle w:val="Normal"/>
            <w:widowControl/>
            <w:tabs>
              <w:tab w:val="clear" w:pos="720"/>
              <w:tab w:val="right" w:pos="9360" w:leader="dot"/>
            </w:tabs>
            <w:ind w:hanging="360" w:start="1080" w:end="0"/>
            <w:rPr/>
          </w:pPr>
          <w:r>
            <w:rPr/>
            <w:t>Section  6.3   Repayment Pursuant to Total Return Swap</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VII </w:t>
            <w:noBreakHyphen/>
            <w:t xml:space="preserve"> PREPAYMENT</w:t>
            <w:tab/>
            <w:t>30</w:t>
          </w:r>
        </w:p>
        <w:p>
          <w:pPr>
            <w:pStyle w:val="Normal"/>
            <w:widowControl/>
            <w:tabs>
              <w:tab w:val="clear" w:pos="720"/>
              <w:tab w:val="right" w:pos="9360" w:leader="dot"/>
            </w:tabs>
            <w:ind w:hanging="360" w:start="1080" w:end="0"/>
            <w:rPr/>
          </w:pPr>
          <w:r>
            <w:rPr/>
            <w:t>Section  7.1   Mandatory Prepayments</w:t>
            <w:tab/>
            <w:t>30</w:t>
          </w:r>
        </w:p>
        <w:p>
          <w:pPr>
            <w:pStyle w:val="Normal"/>
            <w:widowControl/>
            <w:tabs>
              <w:tab w:val="clear" w:pos="720"/>
              <w:tab w:val="right" w:pos="9360" w:leader="dot"/>
            </w:tabs>
            <w:ind w:hanging="360" w:start="1080" w:end="0"/>
            <w:rPr/>
          </w:pPr>
          <w:r>
            <w:rPr/>
            <w:t>Section  7.2   Optional Prepayments</w:t>
            <w:tab/>
            <w:t>30</w:t>
          </w:r>
        </w:p>
        <w:p>
          <w:pPr>
            <w:pStyle w:val="Normal"/>
            <w:widowControl/>
            <w:tabs>
              <w:tab w:val="clear" w:pos="720"/>
              <w:tab w:val="right" w:pos="9360" w:leader="dot"/>
            </w:tabs>
            <w:ind w:hanging="360" w:start="1080" w:end="0"/>
            <w:rPr/>
          </w:pPr>
          <w:r>
            <w:rPr/>
            <w:t>Section  7.3   General</w:t>
            <w:tab/>
            <w:t>31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VIII </w:t>
            <w:noBreakHyphen/>
            <w:t xml:space="preserve"> INTEREST; INCREASED COSTS; TAXES</w:t>
            <w:tab/>
            <w:t>31</w:t>
          </w:r>
        </w:p>
        <w:p>
          <w:pPr>
            <w:pStyle w:val="Normal"/>
            <w:widowControl/>
            <w:tabs>
              <w:tab w:val="clear" w:pos="720"/>
              <w:tab w:val="right" w:pos="9360" w:leader="dot"/>
            </w:tabs>
            <w:ind w:hanging="360" w:start="1080" w:end="0"/>
            <w:rPr/>
          </w:pPr>
          <w:r>
            <w:rPr/>
            <w:t>Section  8.1   Interest Rates</w:t>
            <w:tab/>
            <w:t>31</w:t>
          </w:r>
        </w:p>
        <w:p>
          <w:pPr>
            <w:pStyle w:val="Normal"/>
            <w:keepNext w:val="true"/>
            <w:keepLines/>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8.2   Duration of Interest Periods; Conversion and Continuation of </w:t>
          </w:r>
        </w:p>
        <w:p>
          <w:pPr>
            <w:pStyle w:val="Normal"/>
            <w:keepLines/>
            <w:widowControl/>
            <w:tabs>
              <w:tab w:val="clear" w:pos="720"/>
              <w:tab w:val="right" w:pos="9360" w:leader="dot"/>
            </w:tabs>
            <w:ind w:start="2160" w:end="0"/>
            <w:rPr/>
          </w:pPr>
          <w:r>
            <w:rPr/>
            <w:t>Advances</w:t>
            <w:tab/>
            <w:t>32</w:t>
          </w:r>
        </w:p>
        <w:p>
          <w:pPr>
            <w:pStyle w:val="Normal"/>
            <w:widowControl/>
            <w:tabs>
              <w:tab w:val="clear" w:pos="720"/>
              <w:tab w:val="right" w:pos="9360" w:leader="dot"/>
            </w:tabs>
            <w:ind w:hanging="360" w:start="1080" w:end="0"/>
            <w:rPr/>
          </w:pPr>
          <w:r>
            <w:rPr/>
            <w:t>Section  8.3   Interest on Unpaid Sums</w:t>
            <w:tab/>
            <w:t>33</w:t>
          </w:r>
        </w:p>
        <w:p>
          <w:pPr>
            <w:pStyle w:val="Normal"/>
            <w:widowControl/>
            <w:tabs>
              <w:tab w:val="clear" w:pos="720"/>
              <w:tab w:val="right" w:pos="9360" w:leader="dot"/>
            </w:tabs>
            <w:ind w:hanging="360" w:start="1080" w:end="0"/>
            <w:rPr/>
          </w:pPr>
          <w:r>
            <w:rPr/>
            <w:t>Section  8.4   Additional Interest on LIBOR Advances</w:t>
            <w:tab/>
            <w:t>33</w:t>
          </w:r>
        </w:p>
        <w:p>
          <w:pPr>
            <w:pStyle w:val="Normal"/>
            <w:widowControl/>
            <w:tabs>
              <w:tab w:val="clear" w:pos="720"/>
              <w:tab w:val="right" w:pos="9360" w:leader="dot"/>
            </w:tabs>
            <w:ind w:hanging="360" w:start="1080" w:end="0"/>
            <w:rPr/>
          </w:pPr>
          <w:r>
            <w:rPr/>
            <w:t>Section  8.5   Interest Rate Determination and Protection</w:t>
            <w:tab/>
            <w:t>34</w:t>
          </w:r>
        </w:p>
        <w:p>
          <w:pPr>
            <w:pStyle w:val="Normal"/>
            <w:widowControl/>
            <w:tabs>
              <w:tab w:val="clear" w:pos="720"/>
              <w:tab w:val="right" w:pos="9360" w:leader="dot"/>
            </w:tabs>
            <w:ind w:hanging="360" w:start="1080" w:end="0"/>
            <w:rPr/>
          </w:pPr>
          <w:r>
            <w:rPr/>
            <w:t>Section  8.6   Increased Costs; Capital Adequacy, Etc.</w:t>
            <w:tab/>
            <w:t>34</w:t>
          </w:r>
        </w:p>
        <w:p>
          <w:pPr>
            <w:pStyle w:val="Normal"/>
            <w:widowControl/>
            <w:tabs>
              <w:tab w:val="clear" w:pos="720"/>
              <w:tab w:val="right" w:pos="9360" w:leader="dot"/>
            </w:tabs>
            <w:ind w:hanging="360" w:start="1080" w:end="0"/>
            <w:rPr/>
          </w:pPr>
          <w:r>
            <w:rPr/>
            <w:t>Section  8.7   Illegality</w:t>
            <w:tab/>
            <w:t>35</w:t>
          </w:r>
        </w:p>
        <w:p>
          <w:pPr>
            <w:pStyle w:val="Normal"/>
            <w:widowControl/>
            <w:tabs>
              <w:tab w:val="clear" w:pos="720"/>
              <w:tab w:val="right" w:pos="9360" w:leader="dot"/>
            </w:tabs>
            <w:ind w:hanging="360" w:start="1080" w:end="0"/>
            <w:rPr/>
          </w:pPr>
          <w:r>
            <w:rPr/>
            <w:t>Section  8.8   Taxes</w:t>
            <w:tab/>
            <w:t>36</w:t>
          </w:r>
        </w:p>
        <w:p>
          <w:pPr>
            <w:pStyle w:val="Normal"/>
            <w:widowControl/>
            <w:tabs>
              <w:tab w:val="clear" w:pos="720"/>
              <w:tab w:val="right" w:pos="9360" w:leader="dot"/>
            </w:tabs>
            <w:ind w:hanging="360" w:start="1080" w:end="0"/>
            <w:rPr/>
          </w:pPr>
          <w:r>
            <w:rPr/>
            <w:t>Section  8.9   Replacement of Lender</w:t>
            <w:tab/>
            <w:t>37</w:t>
          </w:r>
        </w:p>
        <w:p>
          <w:pPr>
            <w:pStyle w:val="Normal"/>
            <w:widowControl/>
            <w:tabs>
              <w:tab w:val="clear" w:pos="720"/>
              <w:tab w:val="right" w:pos="9360" w:leader="dot"/>
            </w:tabs>
            <w:ind w:hanging="360" w:start="1080" w:end="0"/>
            <w:rPr/>
          </w:pPr>
          <w:r>
            <w:rPr/>
            <w:t>Section 8.10  Tax Characterization; Construction</w:t>
            <w:tab/>
            <w:t>38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IX </w:t>
            <w:noBreakHyphen/>
            <w:t xml:space="preserve"> PAYMENTS</w:t>
            <w:tab/>
            <w:t>38</w:t>
          </w:r>
        </w:p>
        <w:p>
          <w:pPr>
            <w:pStyle w:val="Normal"/>
            <w:widowControl/>
            <w:tabs>
              <w:tab w:val="clear" w:pos="720"/>
              <w:tab w:val="right" w:pos="9360" w:leader="dot"/>
            </w:tabs>
            <w:ind w:hanging="360" w:start="1080" w:end="0"/>
            <w:rPr/>
          </w:pPr>
          <w:r>
            <w:rPr/>
            <w:t>Section  9.1   Place and Time</w:t>
            <w:tab/>
            <w:t>38</w:t>
          </w:r>
        </w:p>
        <w:p>
          <w:pPr>
            <w:pStyle w:val="Normal"/>
            <w:widowControl/>
            <w:tabs>
              <w:tab w:val="clear" w:pos="720"/>
              <w:tab w:val="right" w:pos="9360" w:leader="dot"/>
            </w:tabs>
            <w:ind w:hanging="360" w:start="1080" w:end="0"/>
            <w:rPr/>
          </w:pPr>
          <w:r>
            <w:rPr/>
            <w:t>Section  9.2   No Deductions</w:t>
            <w:tab/>
            <w:t>39</w:t>
          </w:r>
        </w:p>
        <w:p>
          <w:pPr>
            <w:pStyle w:val="Normal"/>
            <w:widowControl/>
            <w:tabs>
              <w:tab w:val="clear" w:pos="720"/>
              <w:tab w:val="right" w:pos="9360" w:leader="dot"/>
            </w:tabs>
            <w:ind w:hanging="360" w:start="1080" w:end="0"/>
            <w:rPr/>
          </w:pPr>
          <w:r>
            <w:rPr/>
            <w:t>Section  9.3   Payments on Business Days</w:t>
            <w:tab/>
            <w:t>39</w:t>
          </w:r>
        </w:p>
        <w:p>
          <w:pPr>
            <w:pStyle w:val="Normal"/>
            <w:widowControl/>
            <w:tabs>
              <w:tab w:val="clear" w:pos="720"/>
              <w:tab w:val="right" w:pos="9360" w:leader="dot"/>
            </w:tabs>
            <w:ind w:hanging="360" w:start="1080" w:end="0"/>
            <w:rPr/>
          </w:pPr>
          <w:r>
            <w:rPr/>
            <w:t>Section  9.4   Accounts</w:t>
            <w:tab/>
            <w:t>39</w:t>
          </w:r>
        </w:p>
        <w:p>
          <w:pPr>
            <w:pStyle w:val="Normal"/>
            <w:widowControl/>
            <w:tabs>
              <w:tab w:val="clear" w:pos="720"/>
              <w:tab w:val="right" w:pos="9360" w:leader="dot"/>
            </w:tabs>
            <w:ind w:hanging="360" w:start="1080" w:end="0"/>
            <w:rPr/>
          </w:pPr>
          <w:r>
            <w:rPr/>
            <w:t>Section  9.5   Currency</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 </w:t>
            <w:noBreakHyphen/>
            <w:t xml:space="preserve"> CERTIFICATES CONCLUSIVE</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 </w:t>
            <w:noBreakHyphen/>
            <w:t xml:space="preserve"> REPRESENTATIONS AND WARRANTIES</w:t>
            <w:tab/>
            <w:t>40</w:t>
          </w:r>
        </w:p>
        <w:p>
          <w:pPr>
            <w:pStyle w:val="Normal"/>
            <w:widowControl/>
            <w:tabs>
              <w:tab w:val="clear" w:pos="720"/>
              <w:tab w:val="right" w:pos="9360" w:leader="dot"/>
            </w:tabs>
            <w:ind w:hanging="360" w:start="1080" w:end="0"/>
            <w:rPr/>
          </w:pPr>
          <w:r>
            <w:rPr/>
            <w:t>Section  11.1   Reliance and Effective Time</w:t>
            <w:tab/>
            <w:t>40</w:t>
          </w:r>
        </w:p>
        <w:p>
          <w:pPr>
            <w:pStyle w:val="Normal"/>
            <w:widowControl/>
            <w:tabs>
              <w:tab w:val="clear" w:pos="720"/>
              <w:tab w:val="right" w:pos="9360" w:leader="dot"/>
            </w:tabs>
            <w:ind w:hanging="360" w:start="1080" w:end="0"/>
            <w:rPr/>
          </w:pPr>
          <w:r>
            <w:rPr/>
            <w:t>Section  11.2   Organization</w:t>
            <w:tab/>
            <w:t>40</w:t>
          </w:r>
        </w:p>
        <w:p>
          <w:pPr>
            <w:pStyle w:val="Normal"/>
            <w:widowControl/>
            <w:tabs>
              <w:tab w:val="clear" w:pos="720"/>
              <w:tab w:val="right" w:pos="9360" w:leader="dot"/>
            </w:tabs>
            <w:ind w:hanging="360" w:start="1080" w:end="0"/>
            <w:rPr/>
          </w:pPr>
          <w:r>
            <w:rPr/>
            <w:t>Section  11.3   Power and Authority</w:t>
            <w:tab/>
            <w:t>41</w:t>
          </w:r>
        </w:p>
        <w:p>
          <w:pPr>
            <w:pStyle w:val="Normal"/>
            <w:widowControl/>
            <w:tabs>
              <w:tab w:val="clear" w:pos="720"/>
              <w:tab w:val="right" w:pos="9360" w:leader="dot"/>
            </w:tabs>
            <w:ind w:hanging="360" w:start="1080" w:end="0"/>
            <w:rPr/>
          </w:pPr>
          <w:r>
            <w:rPr/>
            <w:t>Section  11.4   No Contravention</w:t>
            <w:tab/>
            <w:t>41</w:t>
          </w:r>
        </w:p>
        <w:p>
          <w:pPr>
            <w:pStyle w:val="Normal"/>
            <w:widowControl/>
            <w:tabs>
              <w:tab w:val="clear" w:pos="720"/>
              <w:tab w:val="right" w:pos="9360" w:leader="dot"/>
            </w:tabs>
            <w:ind w:hanging="360" w:start="1080" w:end="0"/>
            <w:rPr/>
          </w:pPr>
          <w:r>
            <w:rPr/>
            <w:t>Section  11.5   Authorizations and Consents</w:t>
            <w:tab/>
            <w:t>41</w:t>
          </w:r>
        </w:p>
        <w:p>
          <w:pPr>
            <w:pStyle w:val="Normal"/>
            <w:widowControl/>
            <w:tabs>
              <w:tab w:val="clear" w:pos="720"/>
              <w:tab w:val="right" w:pos="9360" w:leader="dot"/>
            </w:tabs>
            <w:ind w:hanging="360" w:start="1080" w:end="0"/>
            <w:rPr/>
          </w:pPr>
          <w:r>
            <w:rPr/>
            <w:t>Section  11.6   Enforceability; Ranking</w:t>
            <w:tab/>
            <w:t>41</w:t>
          </w:r>
        </w:p>
        <w:p>
          <w:pPr>
            <w:pStyle w:val="Normal"/>
            <w:widowControl/>
            <w:tabs>
              <w:tab w:val="clear" w:pos="720"/>
              <w:tab w:val="right" w:pos="9360" w:leader="dot"/>
            </w:tabs>
            <w:ind w:hanging="360" w:start="1080" w:end="0"/>
            <w:rPr/>
          </w:pPr>
          <w:r>
            <w:rPr/>
            <w:t>Section  11.7   Litigation</w:t>
            <w:tab/>
            <w:t>42</w:t>
          </w:r>
        </w:p>
        <w:p>
          <w:pPr>
            <w:pStyle w:val="Normal"/>
            <w:widowControl/>
            <w:tabs>
              <w:tab w:val="clear" w:pos="720"/>
              <w:tab w:val="right" w:pos="9360" w:leader="dot"/>
            </w:tabs>
            <w:ind w:hanging="360" w:start="1080" w:end="0"/>
            <w:rPr/>
          </w:pPr>
          <w:r>
            <w:rPr/>
            <w:t>Section  11.8   No Material Adverse Effect</w:t>
            <w:tab/>
            <w:t>42</w:t>
          </w:r>
        </w:p>
        <w:p>
          <w:pPr>
            <w:pStyle w:val="Normal"/>
            <w:widowControl/>
            <w:tabs>
              <w:tab w:val="clear" w:pos="720"/>
              <w:tab w:val="right" w:pos="9360" w:leader="dot"/>
            </w:tabs>
            <w:ind w:hanging="360" w:start="1080" w:end="0"/>
            <w:rPr/>
          </w:pPr>
          <w:r>
            <w:rPr/>
            <w:t>Section  11.9   Liens</w:t>
            <w:tab/>
            <w:t>42</w:t>
          </w:r>
        </w:p>
        <w:p>
          <w:pPr>
            <w:pStyle w:val="Normal"/>
            <w:widowControl/>
            <w:tabs>
              <w:tab w:val="clear" w:pos="720"/>
              <w:tab w:val="right" w:pos="9360" w:leader="dot"/>
            </w:tabs>
            <w:ind w:hanging="360" w:start="1080" w:end="0"/>
            <w:rPr/>
          </w:pPr>
          <w:r>
            <w:rPr/>
            <w:t>Section  11.10   No Defaults</w:t>
            <w:tab/>
            <w:t>42</w:t>
          </w:r>
        </w:p>
        <w:p>
          <w:pPr>
            <w:pStyle w:val="Normal"/>
            <w:widowControl/>
            <w:tabs>
              <w:tab w:val="clear" w:pos="720"/>
              <w:tab w:val="right" w:pos="9360" w:leader="dot"/>
            </w:tabs>
            <w:ind w:hanging="360" w:start="1080" w:end="0"/>
            <w:rPr/>
          </w:pPr>
          <w:r>
            <w:rPr/>
            <w:t>Section  11.11   Compliance with Laws</w:t>
            <w:tab/>
            <w:t>42</w:t>
          </w:r>
        </w:p>
        <w:p>
          <w:pPr>
            <w:pStyle w:val="Normal"/>
            <w:widowControl/>
            <w:tabs>
              <w:tab w:val="clear" w:pos="720"/>
              <w:tab w:val="right" w:pos="9360" w:leader="dot"/>
            </w:tabs>
            <w:ind w:hanging="360" w:start="1080" w:end="0"/>
            <w:rPr/>
          </w:pPr>
          <w:r>
            <w:rPr/>
            <w:t>Section  11.12   Business:  Ownership of Assets for Business Operations</w:t>
            <w:tab/>
            <w:t>42</w:t>
          </w:r>
        </w:p>
        <w:p>
          <w:pPr>
            <w:pStyle w:val="Normal"/>
            <w:widowControl/>
            <w:tabs>
              <w:tab w:val="clear" w:pos="720"/>
              <w:tab w:val="right" w:pos="9360" w:leader="dot"/>
            </w:tabs>
            <w:ind w:hanging="360" w:start="1080" w:end="0"/>
            <w:rPr/>
          </w:pPr>
          <w:r>
            <w:rPr/>
            <w:t>Section  11.13   Tax Liabilities</w:t>
            <w:tab/>
            <w:t>43</w:t>
          </w:r>
        </w:p>
        <w:p>
          <w:pPr>
            <w:pStyle w:val="Normal"/>
            <w:widowControl/>
            <w:tabs>
              <w:tab w:val="clear" w:pos="720"/>
              <w:tab w:val="right" w:pos="9360" w:leader="dot"/>
            </w:tabs>
            <w:ind w:hanging="360" w:start="1080" w:end="0"/>
            <w:rPr/>
          </w:pPr>
          <w:r>
            <w:rPr/>
            <w:t>Section  11.14   Solvency</w:t>
            <w:tab/>
            <w:t>43</w:t>
          </w:r>
        </w:p>
        <w:p>
          <w:pPr>
            <w:pStyle w:val="Normal"/>
            <w:widowControl/>
            <w:tabs>
              <w:tab w:val="clear" w:pos="720"/>
              <w:tab w:val="right" w:pos="9360" w:leader="dot"/>
            </w:tabs>
            <w:ind w:hanging="360" w:start="1080" w:end="0"/>
            <w:rPr/>
          </w:pPr>
          <w:r>
            <w:rPr/>
            <w:t>Section  11.15   Indebtedness</w:t>
            <w:tab/>
            <w:t>43</w:t>
          </w:r>
        </w:p>
        <w:p>
          <w:pPr>
            <w:pStyle w:val="Normal"/>
            <w:widowControl/>
            <w:tabs>
              <w:tab w:val="clear" w:pos="720"/>
              <w:tab w:val="right" w:pos="9360" w:leader="dot"/>
            </w:tabs>
            <w:ind w:hanging="360" w:start="1080" w:end="0"/>
            <w:rPr/>
          </w:pPr>
          <w:r>
            <w:rPr/>
            <w:t>Section  11.16   Margin Stock</w:t>
            <w:tab/>
            <w:t>43</w:t>
          </w:r>
        </w:p>
        <w:p>
          <w:pPr>
            <w:pStyle w:val="Normal"/>
            <w:widowControl/>
            <w:tabs>
              <w:tab w:val="clear" w:pos="720"/>
              <w:tab w:val="right" w:pos="9360" w:leader="dot"/>
            </w:tabs>
            <w:ind w:hanging="360" w:start="1080" w:end="0"/>
            <w:rPr/>
          </w:pPr>
          <w:r>
            <w:rPr/>
            <w:t>Section  11.17   Investment Company Act and PUHCA</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XII </w:t>
            <w:noBreakHyphen/>
            <w:t xml:space="preserve"> COVENANTS</w:t>
            <w:tab/>
            <w:t>43</w:t>
          </w:r>
        </w:p>
        <w:p>
          <w:pPr>
            <w:pStyle w:val="Normal"/>
            <w:widowControl/>
            <w:tabs>
              <w:tab w:val="clear" w:pos="720"/>
              <w:tab w:val="right" w:pos="9360" w:leader="dot"/>
            </w:tabs>
            <w:ind w:hanging="360" w:start="1080" w:end="0"/>
            <w:rPr/>
          </w:pPr>
          <w:r>
            <w:rPr/>
            <w:t>Section  12.1   Duration</w:t>
            <w:tab/>
            <w:t>43</w:t>
          </w:r>
        </w:p>
        <w:p>
          <w:pPr>
            <w:pStyle w:val="Normal"/>
            <w:widowControl/>
            <w:tabs>
              <w:tab w:val="clear" w:pos="720"/>
              <w:tab w:val="right" w:pos="9360" w:leader="dot"/>
            </w:tabs>
            <w:ind w:hanging="360" w:start="1080" w:end="0"/>
            <w:rPr/>
          </w:pPr>
          <w:r>
            <w:rPr/>
            <w:t>Section  12.2   General Covenants</w:t>
            <w:tab/>
            <w:t>44</w:t>
          </w:r>
        </w:p>
        <w:p>
          <w:pPr>
            <w:pStyle w:val="Normal"/>
            <w:widowControl/>
            <w:tabs>
              <w:tab w:val="clear" w:pos="720"/>
              <w:tab w:val="right" w:pos="9360" w:leader="dot"/>
            </w:tabs>
            <w:ind w:hanging="360" w:start="1080" w:end="0"/>
            <w:rPr/>
          </w:pPr>
          <w:r>
            <w:rPr/>
            <w:t>Section  12.3   Information Covenants</w:t>
            <w:tab/>
            <w:t>46</w:t>
          </w:r>
        </w:p>
        <w:p>
          <w:pPr>
            <w:pStyle w:val="Normal"/>
            <w:widowControl/>
            <w:tabs>
              <w:tab w:val="clear" w:pos="720"/>
              <w:tab w:val="right" w:pos="9360" w:leader="dot"/>
            </w:tabs>
            <w:ind w:hanging="360" w:start="1080" w:end="0"/>
            <w:rPr/>
          </w:pPr>
          <w:r>
            <w:rPr/>
            <w:t>Section  12.4   Separateness</w:t>
            <w:tab/>
            <w:t>46</w:t>
          </w:r>
        </w:p>
        <w:p>
          <w:pPr>
            <w:pStyle w:val="Normal"/>
            <w:widowControl/>
            <w:tabs>
              <w:tab w:val="clear" w:pos="720"/>
              <w:tab w:val="right" w:pos="9360" w:leader="dot"/>
            </w:tabs>
            <w:ind w:hanging="360" w:start="1080" w:end="0"/>
            <w:rPr/>
          </w:pPr>
          <w:r>
            <w:rPr/>
            <w:t>Section  12.5   Exercise of Put Options; Demand Note</w:t>
            <w:tab/>
            <w:t>47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XIII </w:t>
            <w:noBreakHyphen/>
            <w:t xml:space="preserve"> EVENTS OF DEFAULT</w:t>
            <w:tab/>
            <w:t>47</w:t>
          </w:r>
        </w:p>
        <w:p>
          <w:pPr>
            <w:pStyle w:val="Normal"/>
            <w:widowControl/>
            <w:tabs>
              <w:tab w:val="clear" w:pos="720"/>
              <w:tab w:val="right" w:pos="9360" w:leader="dot"/>
            </w:tabs>
            <w:ind w:hanging="360" w:start="1080" w:end="0"/>
            <w:rPr/>
          </w:pPr>
          <w:r>
            <w:rPr/>
            <w:t>Section  13.1   List of Events</w:t>
            <w:tab/>
            <w:t>47</w:t>
          </w:r>
        </w:p>
        <w:p>
          <w:pPr>
            <w:pStyle w:val="Normal"/>
            <w:widowControl/>
            <w:tabs>
              <w:tab w:val="clear" w:pos="720"/>
              <w:tab w:val="right" w:pos="9360" w:leader="dot"/>
            </w:tabs>
            <w:ind w:hanging="360" w:start="1080" w:end="0"/>
            <w:rPr/>
          </w:pPr>
          <w:r>
            <w:rPr/>
            <w:t>Section  13.2   Cancellation and Repayment</w:t>
            <w:tab/>
            <w:t>49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XIV </w:t>
            <w:noBreakHyphen/>
            <w:t xml:space="preserve"> THE AGENT AND THE OTHER FINANCE PARTIES</w:t>
            <w:tab/>
            <w:t>49</w:t>
          </w:r>
        </w:p>
        <w:p>
          <w:pPr>
            <w:pStyle w:val="Normal"/>
            <w:widowControl/>
            <w:tabs>
              <w:tab w:val="clear" w:pos="720"/>
              <w:tab w:val="right" w:pos="9360" w:leader="dot"/>
            </w:tabs>
            <w:ind w:hanging="360" w:start="1080" w:end="0"/>
            <w:rPr/>
          </w:pPr>
          <w:r>
            <w:rPr/>
            <w:t>Section  14.1   Appointment and Duties of the Agent</w:t>
            <w:tab/>
            <w:t>49</w:t>
          </w:r>
        </w:p>
        <w:p>
          <w:pPr>
            <w:pStyle w:val="Normal"/>
            <w:widowControl/>
            <w:tabs>
              <w:tab w:val="clear" w:pos="720"/>
              <w:tab w:val="right" w:pos="9360" w:leader="dot"/>
            </w:tabs>
            <w:ind w:hanging="360" w:start="1080" w:end="0"/>
            <w:rPr/>
          </w:pPr>
          <w:r>
            <w:rPr/>
            <w:t>Section  14.2   Agent</w:t>
          </w:r>
          <w:r>
            <w:rPr>
              <w:rFonts w:cs="WP TypographicSymbols" w:ascii="WP TypographicSymbols" w:hAnsi="WP TypographicSymbols"/>
            </w:rPr>
            <w:t>=</w:t>
          </w:r>
          <w:r>
            <w:rPr/>
            <w:t>s Duties</w:t>
            <w:tab/>
            <w:t>50</w:t>
          </w:r>
        </w:p>
        <w:p>
          <w:pPr>
            <w:pStyle w:val="Normal"/>
            <w:widowControl/>
            <w:tabs>
              <w:tab w:val="clear" w:pos="720"/>
              <w:tab w:val="right" w:pos="9360" w:leader="dot"/>
            </w:tabs>
            <w:ind w:hanging="360" w:start="1080" w:end="0"/>
            <w:rPr/>
          </w:pPr>
          <w:r>
            <w:rPr/>
            <w:t>Section  14.3   Agent</w:t>
          </w:r>
          <w:r>
            <w:rPr>
              <w:rFonts w:cs="WP TypographicSymbols" w:ascii="WP TypographicSymbols" w:hAnsi="WP TypographicSymbols"/>
            </w:rPr>
            <w:t>=</w:t>
          </w:r>
          <w:r>
            <w:rPr/>
            <w:t>s Rights</w:t>
            <w:tab/>
            <w:t>50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14.4   Exoneration of Agent, Syndication Agent, Documentation Agent, </w:t>
          </w:r>
        </w:p>
        <w:p>
          <w:pPr>
            <w:pStyle w:val="Normal"/>
            <w:widowControl/>
            <w:tabs>
              <w:tab w:val="clear" w:pos="720"/>
              <w:tab w:val="right" w:pos="9360" w:leader="dot"/>
            </w:tabs>
            <w:ind w:start="2160" w:end="0"/>
            <w:rPr/>
          </w:pPr>
          <w:r>
            <w:rPr/>
            <w:t>Arranger and Co</w:t>
            <w:noBreakHyphen/>
            <w:t>Arrangers</w:t>
            <w:tab/>
            <w:t>51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14.5   The Agent, the Co</w:t>
            <w:noBreakHyphen/>
            <w:t xml:space="preserve">Arrangers, the Syndication Agent, the Arranger </w:t>
          </w:r>
        </w:p>
        <w:p>
          <w:pPr>
            <w:pStyle w:val="Normal"/>
            <w:widowControl/>
            <w:tabs>
              <w:tab w:val="clear" w:pos="720"/>
              <w:tab w:val="right" w:pos="9360" w:leader="dot"/>
            </w:tabs>
            <w:ind w:start="2160" w:end="0"/>
            <w:rPr/>
          </w:pPr>
          <w:r>
            <w:rPr/>
            <w:t>and the Documentation Agent Individually</w:t>
            <w:tab/>
            <w:t>52</w:t>
          </w:r>
        </w:p>
        <w:p>
          <w:pPr>
            <w:pStyle w:val="Normal"/>
            <w:widowControl/>
            <w:tabs>
              <w:tab w:val="clear" w:pos="720"/>
              <w:tab w:val="right" w:pos="9360" w:leader="dot"/>
            </w:tabs>
            <w:ind w:hanging="360" w:start="1080" w:end="0"/>
            <w:rPr/>
          </w:pPr>
          <w:r>
            <w:rPr/>
            <w:t>Section  14.6   Communications and Information</w:t>
            <w:tab/>
            <w:t>52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14.7   Non</w:t>
            <w:noBreakHyphen/>
            <w:t>Reliance on Agent, Co</w:t>
            <w:noBreakHyphen/>
            <w:t xml:space="preserve">Arrangers, Syndication Agent, Arranger </w:t>
          </w:r>
        </w:p>
        <w:p>
          <w:pPr>
            <w:pStyle w:val="Normal"/>
            <w:widowControl/>
            <w:tabs>
              <w:tab w:val="clear" w:pos="720"/>
              <w:tab w:val="right" w:pos="9360" w:leader="dot"/>
            </w:tabs>
            <w:ind w:start="2160" w:end="0"/>
            <w:rPr/>
          </w:pPr>
          <w:r>
            <w:rPr/>
            <w:t>or Documentation Agent</w:t>
            <w:tab/>
            <w:t>53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14.8   Indemnity to Agent, Syndication Agent, Arranger, Co</w:t>
            <w:noBreakHyphen/>
            <w:t xml:space="preserve">Arrangers </w:t>
          </w:r>
        </w:p>
        <w:p>
          <w:pPr>
            <w:pStyle w:val="Normal"/>
            <w:widowControl/>
            <w:tabs>
              <w:tab w:val="clear" w:pos="720"/>
              <w:tab w:val="right" w:pos="9360" w:leader="dot"/>
            </w:tabs>
            <w:ind w:start="2160" w:end="0"/>
            <w:rPr/>
          </w:pPr>
          <w:r>
            <w:rPr/>
            <w:t>and Documentation Agent</w:t>
            <w:tab/>
            <w:t>53</w:t>
          </w:r>
        </w:p>
        <w:p>
          <w:pPr>
            <w:pStyle w:val="Normal"/>
            <w:widowControl/>
            <w:tabs>
              <w:tab w:val="clear" w:pos="720"/>
              <w:tab w:val="right" w:pos="9360" w:leader="dot"/>
            </w:tabs>
            <w:ind w:hanging="360" w:start="1080" w:end="0"/>
            <w:rPr/>
          </w:pPr>
          <w:r>
            <w:rPr/>
            <w:t>Section  14.9   Termination and Resignation of Agency; Appointment of Successor</w:t>
            <w:tab/>
            <w:t>54</w:t>
          </w:r>
        </w:p>
        <w:p>
          <w:pPr>
            <w:pStyle w:val="Normal"/>
            <w:widowControl/>
            <w:tabs>
              <w:tab w:val="clear" w:pos="720"/>
              <w:tab w:val="right" w:pos="9360" w:leader="dot"/>
            </w:tabs>
            <w:ind w:hanging="360" w:start="1080" w:end="0"/>
            <w:rPr/>
          </w:pPr>
          <w:r>
            <w:rPr/>
            <w:t>Section  14.10   Payments to Finance Parties</w:t>
            <w:tab/>
            <w:t>55</w:t>
          </w:r>
        </w:p>
        <w:p>
          <w:pPr>
            <w:pStyle w:val="Normal"/>
            <w:widowControl/>
            <w:tabs>
              <w:tab w:val="clear" w:pos="720"/>
              <w:tab w:val="right" w:pos="9360" w:leader="dot"/>
            </w:tabs>
            <w:ind w:hanging="360" w:start="1080" w:end="0"/>
            <w:rPr/>
          </w:pPr>
          <w:r>
            <w:rPr/>
            <w:t>Section  14.11   Change of Office of Agent or Arranger</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14.12   The Co</w:t>
            <w:noBreakHyphen/>
            <w:t>Arrangers, Syndication Agent, Arranger and Documentation</w:t>
          </w:r>
        </w:p>
        <w:p>
          <w:pPr>
            <w:pStyle w:val="Normal"/>
            <w:widowControl/>
            <w:tabs>
              <w:tab w:val="clear" w:pos="720"/>
              <w:tab w:val="right" w:pos="9360" w:leader="dot"/>
            </w:tabs>
            <w:ind w:start="2160" w:end="0"/>
            <w:rPr/>
          </w:pPr>
          <w:r>
            <w:rPr/>
            <w:t xml:space="preserve"> </w:t>
          </w:r>
          <w:r>
            <w:rPr/>
            <w:t>Agent</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 </w:t>
            <w:noBreakHyphen/>
            <w:t xml:space="preserve"> EVIDENCE OF INDEBTEDNESS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 </w:t>
            <w:noBreakHyphen/>
            <w:t xml:space="preserve"> APPLICATION OF MONEYS</w:t>
            <w:tab/>
            <w:t>55</w:t>
          </w:r>
        </w:p>
        <w:p>
          <w:pPr>
            <w:pStyle w:val="Normal"/>
            <w:widowControl/>
            <w:tabs>
              <w:tab w:val="clear" w:pos="720"/>
              <w:tab w:val="right" w:pos="9360" w:leader="dot"/>
            </w:tabs>
            <w:ind w:hanging="360" w:start="1080" w:end="0"/>
            <w:rPr/>
          </w:pPr>
          <w:r>
            <w:rPr/>
            <w:t>Section  16.1   Priority of Payments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XVII </w:t>
            <w:noBreakHyphen/>
            <w:t xml:space="preserve"> PRO RATA PAYMENTS</w:t>
            <w:tab/>
            <w:t>56</w:t>
          </w:r>
        </w:p>
        <w:p>
          <w:pPr>
            <w:pStyle w:val="Normal"/>
            <w:widowControl/>
            <w:tabs>
              <w:tab w:val="clear" w:pos="720"/>
              <w:tab w:val="right" w:pos="9360" w:leader="dot"/>
            </w:tabs>
            <w:ind w:hanging="360" w:start="1080" w:end="0"/>
            <w:rPr/>
          </w:pPr>
          <w:r>
            <w:rPr/>
            <w:t>Section  17.1   Recoveries by Lenders</w:t>
            <w:tab/>
            <w:t>56</w:t>
          </w:r>
        </w:p>
        <w:p>
          <w:pPr>
            <w:pStyle w:val="Normal"/>
            <w:widowControl/>
            <w:tabs>
              <w:tab w:val="clear" w:pos="720"/>
              <w:tab w:val="right" w:pos="9360" w:leader="dot"/>
            </w:tabs>
            <w:ind w:hanging="360" w:start="1080" w:end="0"/>
            <w:rPr/>
          </w:pPr>
          <w:r>
            <w:rPr/>
            <w:t>Section  17.2   Notification to Agent of Recoveries to Lender</w:t>
            <w:tab/>
            <w:t>56</w:t>
          </w:r>
        </w:p>
        <w:p>
          <w:pPr>
            <w:pStyle w:val="Normal"/>
            <w:widowControl/>
            <w:tabs>
              <w:tab w:val="clear" w:pos="720"/>
              <w:tab w:val="right" w:pos="9360" w:leader="dot"/>
            </w:tabs>
            <w:ind w:hanging="360" w:start="1080" w:end="0"/>
            <w:rPr/>
          </w:pPr>
          <w:r>
            <w:rPr/>
            <w:t>Section  17.3   Lender to Supply Agent with Specified Information</w:t>
            <w:tab/>
            <w:t>56</w:t>
          </w:r>
        </w:p>
        <w:p>
          <w:pPr>
            <w:pStyle w:val="Normal"/>
            <w:widowControl/>
            <w:tabs>
              <w:tab w:val="clear" w:pos="720"/>
              <w:tab w:val="right" w:pos="9360" w:leader="dot"/>
            </w:tabs>
            <w:ind w:hanging="360" w:start="1080" w:end="0"/>
            <w:rPr/>
          </w:pPr>
          <w:r>
            <w:rPr/>
            <w:t>Section  17.4   Agreement to Use Reasonable Efforts</w:t>
            <w:tab/>
            <w:t>57</w:t>
          </w:r>
        </w:p>
        <w:p>
          <w:pPr>
            <w:pStyle w:val="Normal"/>
            <w:widowControl/>
            <w:tabs>
              <w:tab w:val="clear" w:pos="720"/>
              <w:tab w:val="right" w:pos="9360" w:leader="dot"/>
            </w:tabs>
            <w:ind w:hanging="360" w:start="1080" w:end="0"/>
            <w:rPr/>
          </w:pPr>
          <w:r>
            <w:rPr/>
            <w:t>Section  17.5   No Lien Against Lender</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XVIII </w:t>
            <w:noBreakHyphen/>
            <w:t xml:space="preserve"> SET</w:t>
            <w:noBreakHyphen/>
            <w:t>OFF</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XIX </w:t>
            <w:noBreakHyphen/>
            <w:t xml:space="preserve"> NOTICES</w:t>
            <w:tab/>
            <w:t>57</w:t>
          </w:r>
        </w:p>
        <w:p>
          <w:pPr>
            <w:pStyle w:val="Normal"/>
            <w:widowControl/>
            <w:tabs>
              <w:tab w:val="clear" w:pos="720"/>
              <w:tab w:val="right" w:pos="9360" w:leader="dot"/>
            </w:tabs>
            <w:ind w:hanging="360" w:start="1080" w:end="0"/>
            <w:rPr/>
          </w:pPr>
          <w:r>
            <w:rPr/>
            <w:t>Section  19.1   Addresses and Method of Notice</w:t>
            <w:tab/>
            <w:t>57</w:t>
          </w:r>
        </w:p>
        <w:p>
          <w:pPr>
            <w:pStyle w:val="Normal"/>
            <w:widowControl/>
            <w:tabs>
              <w:tab w:val="clear" w:pos="720"/>
              <w:tab w:val="right" w:pos="9360" w:leader="dot"/>
            </w:tabs>
            <w:ind w:hanging="360" w:start="1080" w:end="0"/>
            <w:rPr/>
          </w:pPr>
          <w:r>
            <w:rPr/>
            <w:t>Section  19.2   Timing of Notice</w:t>
            <w:tab/>
            <w:t>57</w:t>
          </w:r>
        </w:p>
        <w:p>
          <w:pPr>
            <w:pStyle w:val="Normal"/>
            <w:widowControl/>
            <w:tabs>
              <w:tab w:val="clear" w:pos="720"/>
              <w:tab w:val="right" w:pos="9360" w:leader="dot"/>
            </w:tabs>
            <w:ind w:hanging="360" w:start="1080" w:end="0"/>
            <w:rPr/>
          </w:pPr>
          <w:r>
            <w:rPr/>
            <w:t>Section  19.3   Proving Service of Notice</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 </w:t>
            <w:noBreakHyphen/>
            <w:t xml:space="preserve"> NO IMPLIED WAIVERS</w:t>
            <w:tab/>
            <w:t>58</w:t>
          </w:r>
        </w:p>
        <w:p>
          <w:pPr>
            <w:pStyle w:val="Normal"/>
            <w:widowControl/>
            <w:tabs>
              <w:tab w:val="clear" w:pos="720"/>
              <w:tab w:val="right" w:pos="9360" w:leader="dot"/>
            </w:tabs>
            <w:ind w:hanging="360" w:start="1080" w:end="0"/>
            <w:rPr/>
          </w:pPr>
          <w:r>
            <w:rPr/>
            <w:t>Section  20.1   No Waiver</w:t>
            <w:tab/>
            <w:t>58</w:t>
          </w:r>
        </w:p>
        <w:p>
          <w:pPr>
            <w:pStyle w:val="Normal"/>
            <w:widowControl/>
            <w:tabs>
              <w:tab w:val="clear" w:pos="720"/>
              <w:tab w:val="right" w:pos="9360" w:leader="dot"/>
            </w:tabs>
            <w:ind w:hanging="360" w:start="1080" w:end="0"/>
            <w:rPr/>
          </w:pPr>
          <w:r>
            <w:rPr/>
            <w:t>Section  20.2   Rights and Remedies Cumulative</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 </w:t>
            <w:noBreakHyphen/>
            <w:t xml:space="preserve"> INVALIDITY OF ANY PROVISION</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XXII </w:t>
            <w:noBreakHyphen/>
            <w:t xml:space="preserve"> CONFIDENTIALITY</w:t>
            <w:tab/>
            <w:t>58</w:t>
          </w:r>
        </w:p>
        <w:p>
          <w:pPr>
            <w:pStyle w:val="Normal"/>
            <w:widowControl/>
            <w:tabs>
              <w:tab w:val="clear" w:pos="720"/>
              <w:tab w:val="right" w:pos="9360" w:leader="dot"/>
            </w:tabs>
            <w:ind w:hanging="360" w:start="1080" w:end="0"/>
            <w:rPr/>
          </w:pPr>
          <w:r>
            <w:rPr/>
            <w:t>Section  22.1   Confidential Information</w:t>
            <w:tab/>
            <w:t>58</w:t>
          </w:r>
        </w:p>
        <w:p>
          <w:pPr>
            <w:pStyle w:val="Normal"/>
            <w:widowControl/>
            <w:tabs>
              <w:tab w:val="clear" w:pos="720"/>
              <w:tab w:val="right" w:pos="9360" w:leader="dot"/>
            </w:tabs>
            <w:ind w:hanging="360" w:start="1080" w:end="0"/>
            <w:rPr/>
          </w:pPr>
          <w:r>
            <w:rPr/>
            <w:t>Section  22.2   Public Announcements</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XXIII </w:t>
            <w:noBreakHyphen/>
            <w:t xml:space="preserve"> CHANGES TO PARTIES</w:t>
            <w:tab/>
            <w:t>59</w:t>
          </w:r>
        </w:p>
        <w:p>
          <w:pPr>
            <w:pStyle w:val="Normal"/>
            <w:widowControl/>
            <w:tabs>
              <w:tab w:val="clear" w:pos="720"/>
              <w:tab w:val="right" w:pos="9360" w:leader="dot"/>
            </w:tabs>
            <w:ind w:hanging="360" w:start="1080" w:end="0"/>
            <w:rPr/>
          </w:pPr>
          <w:r>
            <w:rPr/>
            <w:t>Section  23.1   Assignment by the Trust</w:t>
            <w:tab/>
            <w:t>59</w:t>
          </w:r>
        </w:p>
        <w:p>
          <w:pPr>
            <w:pStyle w:val="Normal"/>
            <w:widowControl/>
            <w:tabs>
              <w:tab w:val="clear" w:pos="720"/>
              <w:tab w:val="right" w:pos="9360" w:leader="dot"/>
            </w:tabs>
            <w:ind w:hanging="360" w:start="1080" w:end="0"/>
            <w:rPr/>
          </w:pPr>
          <w:r>
            <w:rPr/>
            <w:t>Section  23.2   Transfers and Assignment of Notes</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XXIV </w:t>
            <w:noBreakHyphen/>
            <w:t xml:space="preserve"> LENDER DECISIONS</w:t>
            <w:tab/>
            <w:t>62</w:t>
          </w:r>
        </w:p>
        <w:p>
          <w:pPr>
            <w:pStyle w:val="Normal"/>
            <w:widowControl/>
            <w:tabs>
              <w:tab w:val="clear" w:pos="720"/>
              <w:tab w:val="right" w:pos="9360" w:leader="dot"/>
            </w:tabs>
            <w:ind w:hanging="360" w:start="1080" w:end="0"/>
            <w:rPr/>
          </w:pPr>
          <w:r>
            <w:rPr/>
            <w:t>Section  24.1   Lender Decisions</w:t>
            <w:tab/>
            <w:t>62</w:t>
          </w:r>
        </w:p>
        <w:p>
          <w:pPr>
            <w:pStyle w:val="Normal"/>
            <w:widowControl/>
            <w:tabs>
              <w:tab w:val="clear" w:pos="720"/>
              <w:tab w:val="right" w:pos="9360" w:leader="dot"/>
            </w:tabs>
            <w:ind w:hanging="360" w:start="1080" w:end="0"/>
            <w:rPr/>
          </w:pPr>
          <w:r>
            <w:rPr/>
            <w:t>Section  24.2   Other Unanimous Actions</w:t>
            <w:tab/>
            <w:t>62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 </w:t>
            <w:noBreakHyphen/>
            <w:t xml:space="preserve"> INDEMNITIES</w:t>
            <w:tab/>
            <w:t>63</w:t>
          </w:r>
        </w:p>
        <w:p>
          <w:pPr>
            <w:pStyle w:val="Normal"/>
            <w:widowControl/>
            <w:tabs>
              <w:tab w:val="clear" w:pos="720"/>
              <w:tab w:val="right" w:pos="9360" w:leader="dot"/>
            </w:tabs>
            <w:ind w:hanging="360" w:start="1080" w:end="0"/>
            <w:rPr/>
          </w:pPr>
          <w:r>
            <w:rPr/>
            <w:t>Section  25.1   General Indemnity and Breakage Costs</w:t>
            <w:tab/>
            <w:t>63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XXVI </w:t>
            <w:noBreakHyphen/>
            <w:t xml:space="preserve"> GOVERNING LAW</w:t>
            <w:tab/>
            <w:t>64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XXVII </w:t>
            <w:noBreakHyphen/>
            <w:t xml:space="preserve"> COUNTERPARTS</w:t>
            <w:tab/>
            <w:t>64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XXVIII </w:t>
            <w:noBreakHyphen/>
            <w:t xml:space="preserve"> THE TRUST INSTITUTION</w:t>
            <w:tab/>
            <w:t>64</w:t>
          </w:r>
        </w:p>
        <w:p>
          <w:pPr>
            <w:pStyle w:val="Normal"/>
            <w:widowControl/>
            <w:tabs>
              <w:tab w:val="clear" w:pos="720"/>
              <w:tab w:val="right" w:pos="9360" w:leader="dot"/>
            </w:tabs>
            <w:ind w:hanging="360" w:start="1080" w:end="0"/>
            <w:rPr/>
          </w:pPr>
          <w:r>
            <w:rPr/>
            <w:t>Part</w:t>
            <w:tab/>
            <w:t>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fmt="lowerRoman"/>
          <w:formProt w:val="false"/>
          <w:textDirection w:val="lrTb"/>
          <w:docGrid w:type="default" w:linePitch="360" w:charSpace="0"/>
        </w:sectPr>
        <w:pStyle w:val="Normal"/>
        <w:numPr>
          <w:ilvl w:val="0"/>
          <w:numId w:val="0"/>
        </w:numPr>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u w:val="single"/>
        </w:rPr>
        <w:t>SCHEDULES AND EXHIBITS</w:t>
      </w:r>
      <w:r>
        <w:rPr>
          <w:b/>
        </w:rPr>
        <w:t>:</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SCHEDULE 1</w:t>
        <w:tab/>
        <w:noBreakHyphen/>
        <w:tab/>
        <w:t xml:space="preserve">Commitments and Funding Offices </w:t>
        <w:tab/>
        <w:t>S1</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EXHIBIT A</w:t>
        <w:tab/>
        <w:noBreakHyphen/>
        <w:tab/>
        <w:t xml:space="preserve">Form of Drawdown Request </w:t>
        <w:tab/>
        <w:t>Ex A</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B</w:t>
        <w:tab/>
        <w:noBreakHyphen/>
        <w:tab/>
        <w:t xml:space="preserve">Form of Note </w:t>
        <w:tab/>
        <w:t>Ex B</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C</w:t>
        <w:tab/>
        <w:noBreakHyphen/>
        <w:tab/>
        <w:t xml:space="preserve">Form of Instrument of Assignment </w:t>
        <w:tab/>
        <w:t>Ex C</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firstLine="360" w:start="1080" w:end="0"/>
        <w:rPr/>
      </w:pPr>
      <w:r>
        <w:rPr/>
        <w:noBreakHyphen/>
      </w:r>
      <w:r>
        <w:rPr/>
        <w:tab/>
        <w:t xml:space="preserve">Schedule 1 to Instrument of Assignment </w:t>
        <w:tab/>
        <w:t>Ex C</w:t>
        <w:noBreakHyphen/>
        <w:t>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firstLine="360" w:start="1080" w:end="0"/>
        <w:rPr/>
      </w:pPr>
      <w:r>
        <w:rPr/>
        <w:noBreakHyphen/>
      </w:r>
      <w:r>
        <w:rPr/>
        <w:tab/>
        <w:t xml:space="preserve">Schedule 2 to Instrument of Assignment </w:t>
        <w:tab/>
        <w:t>Ex C</w:t>
        <w:noBreakHyphen/>
        <w:t>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D</w:t>
        <w:tab/>
        <w:noBreakHyphen/>
        <w:tab/>
        <w:t xml:space="preserve">Payment Instructions </w:t>
        <w:tab/>
        <w:t>Ex D</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E</w:t>
        <w:tab/>
        <w:noBreakHyphen/>
        <w:tab/>
        <w:t xml:space="preserve">Part A </w:t>
        <w:noBreakHyphen/>
        <w:t xml:space="preserve"> Methodology for Asset Valuation</w:t>
        <w:tab/>
        <w:t>Ex. E</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firstLine="360" w:start="1080" w:end="0"/>
        <w:rPr/>
      </w:pPr>
      <w:r>
        <w:rPr/>
        <w:noBreakHyphen/>
      </w:r>
      <w:r>
        <w:rPr/>
        <w:tab/>
        <w:t xml:space="preserve">Part B </w:t>
        <w:noBreakHyphen/>
        <w:t xml:space="preserve"> Model Structure </w:t>
        <w:tab/>
        <w:t>Ex. E</w:t>
        <w:noBreakHyphen/>
        <w:t>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F</w:t>
        <w:tab/>
        <w:noBreakHyphen/>
        <w:t xml:space="preserve"> </w:t>
        <w:tab/>
        <w:t>Form of Independent Auctioneer Letter</w:t>
        <w:tab/>
        <w:t>Ex. F</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EXHIBIT G1</w:t>
        <w:tab/>
        <w:noBreakHyphen/>
        <w:tab/>
        <w:t>Form of Swap Confirmation</w:t>
        <w:tab/>
        <w:t>Ex. G1</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 xml:space="preserve">EXHIBIT G2 </w:t>
        <w:tab/>
        <w:noBreakHyphen/>
        <w:tab/>
        <w:t>Form of Swap Schedule (Permitted Swap Party)</w:t>
        <w:tab/>
        <w:t>Ex. G2</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 xml:space="preserve">EXHIBIT G3 </w:t>
        <w:tab/>
        <w:noBreakHyphen/>
        <w:tab/>
        <w:t>Form of Swap Schedule (Enron)</w:t>
        <w:tab/>
        <w:t>Ex. G3</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 xml:space="preserve">EXHIBIT G4 </w:t>
        <w:tab/>
        <w:noBreakHyphen/>
        <w:tab/>
        <w:t>Form of Enron Guaranty</w:t>
        <w:tab/>
        <w:t>Ex. G4</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H</w:t>
        <w:tab/>
        <w:noBreakHyphen/>
        <w:tab/>
        <w:t>Form of Transfer and Auction Agreement</w:t>
        <w:tab/>
        <w:t>Ex. H</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I</w:t>
        <w:tab/>
        <w:noBreakHyphen/>
        <w:tab/>
        <w:t xml:space="preserve">Part A </w:t>
        <w:noBreakHyphen/>
        <w:t xml:space="preserve"> Form of Asset LLC Agreement</w:t>
        <w:tab/>
        <w:t>Ex. I</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720" w:start="2160" w:end="0"/>
        <w:rPr/>
      </w:pPr>
      <w:r>
        <w:rPr/>
        <w:noBreakHyphen/>
      </w:r>
      <w:r>
        <w:rPr/>
        <w:tab/>
        <w:t xml:space="preserve">Part B  </w:t>
        <w:noBreakHyphen/>
        <w:t xml:space="preserve"> Form of Transferor LLC Agreement</w:t>
        <w:tab/>
        <w:t>Ex. I</w:t>
        <w:noBreakHyphen/>
        <w:t>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 xml:space="preserve">EXHIBIT J </w:t>
        <w:tab/>
        <w:noBreakHyphen/>
        <w:t xml:space="preserve"> </w:t>
        <w:tab/>
        <w:t>Form of Legal Opinions</w:t>
        <w:tab/>
        <w:t>Ex. J</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1440" w:start="1440" w:end="0"/>
        <w:rPr/>
      </w:pPr>
      <w:r>
        <w:rPr/>
        <w:t>EXHIBIT Kl</w:t>
        <w:tab/>
        <w:noBreakHyphen/>
        <w:tab/>
        <w:t>Form of Asset Notice</w:t>
        <w:tab/>
        <w:t>Ex. K1</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 xml:space="preserve">EXHIBIT K2   </w:t>
        <w:noBreakHyphen/>
        <w:t xml:space="preserve">   </w:t>
        <w:tab/>
        <w:t xml:space="preserve">Form of Asset Summary </w:t>
        <w:tab/>
        <w:t>Ex. K2</w:t>
        <w:noBreakHyphen/>
        <w:t>1</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576" w:bottom="632"/>
          <w:pgNumType w:fmt="lowerRoman"/>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EXHIBIT L1</w:t>
        <w:tab/>
        <w:noBreakHyphen/>
        <w:tab/>
        <w:t>Form of Additional Lender Certificate</w:t>
        <w:tab/>
        <w:t>Ex. L1</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EXHIBIT L2</w:t>
        <w:tab/>
        <w:noBreakHyphen/>
        <w:tab/>
        <w:t>Form of Increased Commitment Certificate</w:t>
        <w:tab/>
        <w:t>Ex. L2</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pPr>
      <w:r>
        <w:rPr/>
        <w:t xml:space="preserve">EXHIBIT M    </w:t>
        <w:noBreakHyphen/>
        <w:t xml:space="preserve">     </w:t>
        <w:tab/>
        <w:t>Form of Omnibus Amendment</w:t>
        <w:tab/>
        <w:t>Ex. M</w:t>
        <w:noBreakHyphen/>
        <w:t>1</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xml:space="preserve">), dated as of November </w:t>
      </w:r>
      <w:r>
        <w:rPr>
          <w:b/>
        </w:rPr>
        <w:t>[</w:t>
      </w:r>
      <w:r>
        <w:rPr/>
        <w:t>17</w:t>
      </w:r>
      <w:r>
        <w:rPr>
          <w:b/>
        </w:rPr>
        <w:t>]</w:t>
      </w:r>
      <w:r>
        <w:rPr/>
        <w:t>, 2000, is entered into by and between Hawaii II 125</w:t>
        <w:noBreakHyphen/>
        <w:t xml:space="preserve">0 Trust, a Delaware business trust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  First Union National Bank and San Paolo IMI S.p.A.,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 xml:space="preserve">); BNP Paribas,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Bayerische Landesbank,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Trust wishes to obtain funds from the Lenders in order to acquire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w:t>
      </w:r>
      <w:bookmarkStart w:id="2" w:name="QuickMark"/>
      <w:bookmarkEnd w:id="2"/>
      <w:r>
        <w:rPr/>
        <w:t>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Additional Lender Certificate</w:t>
      </w:r>
      <w:r>
        <w:rPr>
          <w:rFonts w:cs="WP TypographicSymbols" w:ascii="WP TypographicSymbols" w:hAnsi="WP TypographicSymbols"/>
          <w:b/>
        </w:rPr>
        <w:t>@</w:t>
      </w:r>
      <w:r>
        <w:rPr/>
        <w:t xml:space="preserve"> has the meaning given to such term in Section 3.3(a).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sectPr>
          <w:headerReference w:type="default" r:id="rId20"/>
          <w:footerReference w:type="default" r:id="rId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means 0.80%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other than the Hawaii Tranches and the Hawaii I Tranches, a notice duly executed by Enron substantially in the form of Exhibit K1 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means 100% of the Class B membership interest issued by an Asset LLC and transferred by the applicable Transferor to the Trust pursuant to a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Closing Date</w:t>
      </w:r>
      <w:r>
        <w:rPr>
          <w:rFonts w:cs="WP TypographicSymbols" w:ascii="WP TypographicSymbols" w:hAnsi="WP TypographicSymbols"/>
          <w:b/>
        </w:rPr>
        <w:t>@</w:t>
      </w:r>
      <w:r>
        <w:rPr/>
        <w:t xml:space="preserve"> means November </w:t>
      </w:r>
      <w:r>
        <w:rPr>
          <w:b/>
        </w:rPr>
        <w:t>[</w:t>
      </w:r>
      <w:r>
        <w:rPr/>
        <w:t>17</w:t>
      </w:r>
      <w:r>
        <w:rPr>
          <w:b/>
        </w:rPr>
        <w:t>]</w:t>
      </w:r>
      <w:r>
        <w:rPr/>
        <w:t>, 2000.</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 xml:space="preserve">s obligation to make an Advance hereunder, the amount stated opposite its name in Schedule 1, as the same may be transferred (in whole or in part), canceled, reduced, varied or terminated in accordance with the terms of this Agreement; </w:t>
      </w:r>
      <w:r>
        <w:rPr>
          <w:u w:val="single"/>
        </w:rPr>
        <w:t>provided</w:t>
      </w:r>
      <w:r>
        <w:rPr/>
        <w:t xml:space="preserve"> that the aggregate Commitments of all of the Lenders shall not be less than $</w:t>
      </w:r>
      <w:r>
        <w:rPr>
          <w:b/>
        </w:rPr>
        <w:t>[</w:t>
      </w:r>
      <w:r>
        <w:rPr/>
        <w:t>385,000,000</w:t>
      </w:r>
      <w:r>
        <w:rPr>
          <w:b/>
        </w:rPr>
        <w:t>]</w:t>
      </w:r>
      <w:r>
        <w:rPr/>
        <w:t xml:space="preserve"> (or such other lesser amount as may be agreed by the Agent and the Trust) for the period from the Closing Date to the day prior to the Second Closing Date, nor greater than $</w:t>
      </w:r>
      <w:r>
        <w:rPr>
          <w:b/>
        </w:rPr>
        <w:t>[</w:t>
      </w:r>
      <w:r>
        <w:rPr/>
        <w:t>462,000,000</w:t>
      </w:r>
      <w:r>
        <w:rPr>
          <w:b/>
        </w:rPr>
        <w:t>]</w:t>
      </w:r>
      <w:r>
        <w:rPr/>
        <w:t xml:space="preserve"> thereafter or such greater amount as may be agreed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 Amount</w:t>
      </w:r>
      <w:r>
        <w:rPr>
          <w:rFonts w:cs="WP TypographicSymbols" w:ascii="WP TypographicSymbols" w:hAnsi="WP TypographicSymbols"/>
          <w:b/>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 Guaranty</w:t>
      </w:r>
      <w:r>
        <w:rPr>
          <w:rFonts w:cs="WP TypographicSymbols" w:ascii="WP TypographicSymbols" w:hAnsi="WP TypographicSymbols"/>
          <w:b/>
        </w:rPr>
        <w:t>@</w:t>
      </w:r>
      <w:r>
        <w:rPr/>
        <w:t xml:space="preserve"> means a guaranty from Enron to the Trust in substantially the form of Exhibit G4, together with such amendments as the Agent may approve in its sole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Existing Advances</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Fee Letters</w:t>
      </w:r>
      <w:r>
        <w:rPr>
          <w:rFonts w:cs="WP TypographicSymbols" w:ascii="WP TypographicSymbols" w:hAnsi="WP TypographicSymbols"/>
          <w:b/>
        </w:rPr>
        <w:t>@</w:t>
      </w:r>
      <w:r>
        <w:rPr/>
        <w:t xml:space="preserve"> means collectively, (i) the fee letter, dated as of the date hereof between Enron and the Agent relating to the facility fee and (ii) the fee letter dated October 13, 2000 among the Agent, the Arranger and Enron.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Final Advance Date</w:t>
      </w:r>
      <w:r>
        <w:rPr>
          <w:rFonts w:cs="WP TypographicSymbols" w:ascii="WP TypographicSymbols" w:hAnsi="WP TypographicSymbols"/>
          <w:b/>
        </w:rPr>
        <w:t>@</w:t>
      </w:r>
      <w:r>
        <w:rPr/>
        <w:t xml:space="preserve"> means October </w:t>
      </w:r>
      <w:r>
        <w:rPr>
          <w:b/>
        </w:rPr>
        <w:t>[</w:t>
      </w:r>
      <w:r>
        <w:rPr/>
        <w:t>17</w:t>
      </w:r>
      <w:r>
        <w:rPr>
          <w:b/>
        </w:rPr>
        <w:t>]</w:t>
      </w:r>
      <w:r>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means this Agreement, the Notes, the Fee Letters, the Total Return Swap Agreements, the Enron Guaranty, the Reimbursement and Disclosure Agreement, the Put Option Agreements (if applicable) and the Demand Notes (if applicable).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Indemnity Agreement</w:t>
      </w:r>
      <w:r>
        <w:rPr>
          <w:rFonts w:cs="WP TypographicSymbols" w:ascii="WP TypographicSymbols" w:hAnsi="WP TypographicSymbols"/>
          <w:b/>
        </w:rPr>
        <w:t>@</w:t>
      </w:r>
      <w:r>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Facility Agreement</w:t>
      </w:r>
      <w:r>
        <w:rPr>
          <w:rFonts w:cs="WP TypographicSymbols" w:ascii="WP TypographicSymbols" w:hAnsi="WP TypographicSymbols"/>
        </w:rPr>
        <w:t>@</w:t>
      </w:r>
      <w:r>
        <w:rPr/>
        <w:t xml:space="preserve">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Total Return Swap Agreement</w:t>
      </w:r>
      <w:r>
        <w:rPr>
          <w:rFonts w:cs="WP TypographicSymbols" w:ascii="WP TypographicSymbols" w:hAnsi="WP TypographicSymbols"/>
        </w:rPr>
        <w:t>@</w:t>
      </w:r>
      <w:r>
        <w:rPr/>
        <w:t xml:space="preserve">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Tranches</w:t>
      </w:r>
      <w:r>
        <w:rPr>
          <w:rFonts w:cs="WP TypographicSymbols" w:ascii="WP TypographicSymbols" w:hAnsi="WP TypographicSymbols"/>
        </w:rPr>
        <w:t>@</w:t>
      </w:r>
      <w:r>
        <w:rPr/>
        <w:t xml:space="preserve"> shall mean the Tranches drawn down on the date hereof with respect to Series McGarret A, Series McGarret C and Series McGarret D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Hawaii I Facility Agreement</w:t>
      </w:r>
      <w:r>
        <w:rPr>
          <w:rFonts w:cs="WP TypographicSymbols" w:ascii="WP TypographicSymbols" w:hAnsi="WP TypographicSymbols"/>
          <w:b/>
        </w:rPr>
        <w:t>@</w:t>
      </w:r>
      <w:r>
        <w:rPr/>
        <w:t xml:space="preserve"> means that certain Facility Agreement dated November </w:t>
      </w:r>
      <w:r>
        <w:rPr>
          <w:b/>
        </w:rPr>
        <w:t>[</w:t>
      </w:r>
      <w:r>
        <w:rPr/>
        <w:t>17</w:t>
      </w:r>
      <w:r>
        <w:rPr>
          <w:b/>
        </w:rPr>
        <w:t>]</w:t>
      </w:r>
      <w:r>
        <w:rPr/>
        <w:t>,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I Tranches</w:t>
      </w:r>
      <w:r>
        <w:rPr>
          <w:rFonts w:cs="WP TypographicSymbols" w:ascii="WP TypographicSymbols" w:hAnsi="WP TypographicSymbols"/>
        </w:rPr>
        <w:t>@</w:t>
      </w:r>
      <w:r>
        <w:rPr/>
        <w:t xml:space="preserve"> has the meaning given to such term in Section 2.2(b).</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Increased Commitment Certificate</w:t>
      </w:r>
      <w:r>
        <w:rPr>
          <w:rFonts w:cs="WP TypographicSymbols" w:ascii="WP TypographicSymbols" w:hAnsi="WP TypographicSymbols"/>
          <w:b/>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Increased Commitment Lender</w:t>
      </w:r>
      <w:r>
        <w:rPr>
          <w:rFonts w:cs="WP TypographicSymbols" w:ascii="WP TypographicSymbols" w:hAnsi="WP TypographicSymbols"/>
          <w:b/>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Omnibus Amendment</w:t>
      </w:r>
      <w:r>
        <w:rPr>
          <w:rFonts w:cs="WP TypographicSymbols" w:ascii="WP TypographicSymbols" w:hAnsi="WP TypographicSymbols"/>
          <w:b/>
        </w:rPr>
        <w:t>@</w:t>
      </w:r>
      <w:r>
        <w:rPr/>
        <w:t xml:space="preserve"> means, with respect to each of the Hawaii Tranches, that certain Omnibus Amendment, dated the date hereof, substantially in the form of Exhibit M.</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Swap Party</w:t>
      </w:r>
      <w:r>
        <w:rPr>
          <w:rFonts w:cs="WP TypographicSymbols" w:ascii="WP TypographicSymbols" w:hAnsi="WP TypographicSymbols"/>
          <w:b/>
        </w:rPr>
        <w:t>@</w:t>
      </w:r>
      <w:r>
        <w:rPr/>
        <w:t xml:space="preserve"> means a </w:t>
      </w:r>
      <w:ins w:id="0" w:author="Unknown Author" w:date="0-00-00T00:00:00Z">
        <w:r>
          <w:rPr>
            <w:b/>
            <w:u w:val="double"/>
          </w:rPr>
          <w:t>Sponsor which is a</w:t>
        </w:r>
      </w:ins>
      <w:r>
        <w:rPr/>
        <w:t xml:space="preserve"> Person that is consolidated with Enron in accordance with generally accepted accounting principles, of which 100% of the outstanding capital stock or other equity interests having ordinary voting power is at the time owned, directly or indirectly, by Enron </w:t>
      </w:r>
      <w:ins w:id="1" w:author="Unknown Author" w:date="0-00-00T00:00:00Z">
        <w:r>
          <w:rPr>
            <w:strike/>
          </w:rPr>
          <w:t>or another Person controlled by Enron by contract, proxy or otherwise</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November</w:t>
      </w:r>
      <w:r>
        <w:rPr>
          <w:b/>
        </w:rPr>
        <w:t xml:space="preserve"> [</w:t>
      </w:r>
      <w:r>
        <w:rPr/>
        <w:t>17</w:t>
      </w:r>
      <w:r>
        <w:rPr>
          <w:b/>
        </w:rPr>
        <w:t>]</w:t>
      </w:r>
      <w:r>
        <w:rPr/>
        <w:t>, 2000 among Enron, the Trust and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each Tranche, the date specified in the applicable Drawdown Request, but in no event earlier than one month after the applicable Drawdown Date, nor later than November</w:t>
      </w:r>
      <w:r>
        <w:rPr>
          <w:b/>
        </w:rPr>
        <w:t xml:space="preserve"> [</w:t>
      </w:r>
      <w:r>
        <w:rPr/>
        <w:t>16</w:t>
      </w:r>
      <w:r>
        <w:rPr>
          <w:b/>
        </w:rPr>
        <w:t>],</w:t>
      </w:r>
      <w:r>
        <w:rPr/>
        <w:t xml:space="preserve"> 2002.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Replacement Funds</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Schedule</w:t>
      </w:r>
      <w:r>
        <w:rPr>
          <w:rFonts w:cs="WP TypographicSymbols" w:ascii="WP TypographicSymbols" w:hAnsi="WP TypographicSymbols"/>
          <w:b/>
        </w:rPr>
        <w:t>@</w:t>
      </w:r>
      <w:r>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Second Closing Date</w:t>
      </w:r>
      <w:r>
        <w:rPr>
          <w:rFonts w:cs="WP TypographicSymbols" w:ascii="WP TypographicSymbols" w:hAnsi="WP TypographicSymbols"/>
          <w:b/>
        </w:rPr>
        <w:t>@</w:t>
      </w:r>
      <w:r>
        <w:rPr/>
        <w:t xml:space="preserve"> means any Interest Payment Date which the Trust, the Agent and the Subscriber may agree in writing, provided that (i) not less than 30 days notice thereof shall be given to each Lender in writing by </w:t>
      </w:r>
      <w:ins w:id="2" w:author="Unknown Author" w:date="0-00-00T00:00:00Z">
        <w:r>
          <w:rPr>
            <w:strike/>
          </w:rPr>
          <w:t>[</w:t>
        </w:r>
      </w:ins>
      <w:r>
        <w:rPr/>
        <w:t xml:space="preserve">the Agent </w:t>
      </w:r>
      <w:ins w:id="3" w:author="Unknown Author" w:date="0-00-00T00:00:00Z">
        <w:r>
          <w:rPr>
            <w:strike/>
          </w:rPr>
          <w:t>]</w:t>
        </w:r>
      </w:ins>
      <w:r>
        <w:rPr/>
        <w:t xml:space="preserve"> and (ii) the Second Closing Date shall not be after  October</w:t>
      </w:r>
      <w:r>
        <w:rPr>
          <w:b/>
        </w:rPr>
        <w:t xml:space="preserve"> [</w:t>
      </w:r>
      <w:ins w:id="4" w:author="Unknown Author" w:date="0-00-00T00:00:00Z">
        <w:r>
          <w:rPr>
            <w:strike/>
          </w:rPr>
          <w:t>17]</w:t>
        </w:r>
      </w:ins>
      <w:r>
        <w:rPr/>
        <w:t xml:space="preserve"> </w:t>
      </w:r>
      <w:ins w:id="5" w:author="Unknown Author" w:date="0-00-00T00:00:00Z">
        <w:r>
          <w:rPr>
            <w:b/>
            <w:u w:val="double"/>
          </w:rPr>
          <w:t>9]</w:t>
        </w:r>
      </w:ins>
      <w:r>
        <w:rPr/>
        <w:t>, 2001.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Second Drawdown Date</w:t>
      </w:r>
      <w:r>
        <w:rPr>
          <w:rFonts w:cs="WP TypographicSymbols" w:ascii="WP TypographicSymbols" w:hAnsi="WP TypographicSymbols"/>
          <w:b/>
        </w:rPr>
        <w:t>@</w:t>
      </w:r>
      <w:r>
        <w:rPr/>
        <w:t xml:space="preserve"> means the Drawdown Date first occurring on or after the Second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November</w:t>
      </w:r>
      <w:r>
        <w:rPr>
          <w:b/>
        </w:rPr>
        <w:t> [</w:t>
      </w:r>
      <w:r>
        <w:rPr/>
        <w:t>17</w:t>
      </w:r>
      <w:r>
        <w:rPr>
          <w:b/>
        </w:rPr>
        <w:t>]</w:t>
      </w:r>
      <w:r>
        <w:rPr/>
        <w:t>, 2000 and executed by the Trust and the Subscriber, as amended or restated after such date.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Termination of Hawaii Facility Agreement</w:t>
      </w:r>
      <w:r>
        <w:rPr>
          <w:rFonts w:cs="WP TypographicSymbols" w:ascii="WP TypographicSymbols" w:hAnsi="WP TypographicSymbols"/>
          <w:b/>
        </w:rPr>
        <w:t>@</w:t>
      </w:r>
      <w:r>
        <w:rPr/>
        <w:t xml:space="preserve"> means that certain Termination of </w:t>
      </w:r>
      <w:ins w:id="6" w:author="Unknown Author" w:date="0-00-00T00:00:00Z">
        <w:r>
          <w:rPr>
            <w:strike/>
          </w:rPr>
          <w:t>Hawii</w:t>
        </w:r>
      </w:ins>
      <w:r>
        <w:rPr/>
        <w:t xml:space="preserve"> </w:t>
      </w:r>
      <w:ins w:id="7" w:author="Unknown Author" w:date="0-00-00T00:00:00Z">
        <w:r>
          <w:rPr>
            <w:b/>
            <w:u w:val="double"/>
          </w:rPr>
          <w:t>Hawaii</w:t>
        </w:r>
      </w:ins>
      <w:r>
        <w:rPr/>
        <w:t xml:space="preserve"> Facility Agreement, dated the date hereof, between the Trust, the Agent and Enron, terminating all obligations of all parties to the Hawaii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(i) that certain ISDA Master Agreement dated November </w:t>
      </w:r>
      <w:r>
        <w:rPr>
          <w:b/>
        </w:rPr>
        <w:t>[</w:t>
      </w:r>
      <w:r>
        <w:rPr/>
        <w:t>17</w:t>
      </w:r>
      <w:r>
        <w:rPr>
          <w:b/>
        </w:rPr>
        <w:t>]</w:t>
      </w:r>
      <w:r>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Transfer and Auction Agreement</w:t>
      </w:r>
      <w:r>
        <w:rPr>
          <w:rFonts w:cs="WP TypographicSymbols" w:ascii="WP TypographicSymbols" w:hAnsi="WP TypographicSymbols"/>
        </w:rPr>
        <w:t>@</w:t>
      </w:r>
      <w:r>
        <w:rPr/>
        <w:t xml:space="preserve">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Second Amended and Restated Trust Agreement of Hawaii II 125</w:t>
        <w:noBreakHyphen/>
        <w:t>0 Trust, dated as of November</w:t>
      </w:r>
      <w:r>
        <w:rPr>
          <w:b/>
        </w:rPr>
        <w:t> [</w:t>
      </w:r>
      <w:r>
        <w:rPr/>
        <w:t>17</w:t>
      </w:r>
      <w:r>
        <w:rPr>
          <w:b/>
        </w:rPr>
        <w:t>]</w:t>
      </w:r>
      <w:r>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pStyle w:val="Normal"/>
        <w:widowControl/>
        <w:tabs>
          <w:tab w:val="clear" w:pos="720"/>
          <w:tab w:val="left" w:pos="-1440" w:leader="none"/>
        </w:tabs>
        <w:spacing w:before="0" w:after="240"/>
        <w:ind w:firstLine="720" w:end="0"/>
        <w:jc w:val="both"/>
        <w:rPr/>
      </w:pPr>
      <w:r>
        <w:rPr/>
        <w:t>(b)</w:t>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 xml:space="preserve">0 Trust, a Delaware business trust, (such Tranches being referred to herein as the </w:t>
      </w:r>
      <w:r>
        <w:rPr>
          <w:rFonts w:cs="WP TypographicSymbols" w:ascii="WP TypographicSymbols" w:hAnsi="WP TypographicSymbols"/>
        </w:rPr>
        <w:t>A</w:t>
      </w:r>
      <w:r>
        <w:rPr>
          <w:b/>
          <w:u w:val="single"/>
        </w:rPr>
        <w:t>Hawaii I Tranches</w:t>
      </w:r>
      <w:r>
        <w:rPr>
          <w:rFonts w:cs="WP TypographicSymbols" w:ascii="WP TypographicSymbols" w:hAnsi="WP TypographicSymbols"/>
        </w:rPr>
        <w:t>@</w:t>
      </w:r>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s obligation to make Advances shall terminate at [</w:t>
      </w:r>
      <w:ins w:id="8" w:author="Unknown Author" w:date="0-00-00T00:00:00Z">
        <w:r>
          <w:rPr>
            <w:strike/>
          </w:rPr>
          <w:t>3</w:t>
        </w:r>
      </w:ins>
      <w:r>
        <w:rPr/>
        <w:t xml:space="preserve"> </w:t>
      </w:r>
      <w:ins w:id="9" w:author="Unknown Author" w:date="0-00-00T00:00:00Z">
        <w:r>
          <w:rPr>
            <w:b/>
            <w:u w:val="double"/>
          </w:rPr>
          <w:t>2</w:t>
        </w:r>
      </w:ins>
      <w:r>
        <w:rPr/>
        <w:t>:00 p.m.</w:t>
      </w:r>
      <w:r>
        <w:rPr>
          <w:b/>
        </w:rPr>
        <w:t>]</w:t>
      </w:r>
      <w:r>
        <w:rPr/>
        <w:t xml:space="preserve"> on the Final Advance Date and the Commitments shall reduce to zero at </w:t>
      </w:r>
      <w:r>
        <w:rPr>
          <w:b/>
        </w:rPr>
        <w:t>[</w:t>
      </w:r>
      <w:ins w:id="10" w:author="Unknown Author" w:date="0-00-00T00:00:00Z">
        <w:r>
          <w:rPr>
            <w:strike/>
          </w:rPr>
          <w:t>3</w:t>
        </w:r>
      </w:ins>
      <w:r>
        <w:rPr/>
        <w:t xml:space="preserve"> </w:t>
      </w:r>
      <w:ins w:id="11" w:author="Unknown Author" w:date="0-00-00T00:00:00Z">
        <w:r>
          <w:rPr>
            <w:b/>
            <w:u w:val="double"/>
          </w:rPr>
          <w:t>2</w:t>
        </w:r>
      </w:ins>
      <w:r>
        <w:rPr/>
        <w:t>:00 p.m.</w:t>
      </w:r>
      <w:r>
        <w:rPr>
          <w:b/>
        </w:rPr>
        <w:t>]</w:t>
      </w:r>
      <w:r>
        <w:rPr/>
        <w:t xml:space="preserve"> on the Final Advance Date.</w:t>
      </w: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3.3   Second Closing Date; Addition of Lenders and Increase in Commitments</w:t>
      </w:r>
      <w:r>
        <w:fldChar w:fldCharType="begin"/>
      </w:r>
      <w:r>
        <w:rPr/>
        <w:instrText xml:space="preserve"> TC "Section  3.3   Second Closing Date; Addition of Lenders and Increase in Commitments"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On the Second Closing Date, each financial institution which shall have executed and delivered to the Trust and the Agent a certificate (the </w:t>
      </w:r>
      <w:r>
        <w:rPr>
          <w:rFonts w:cs="WP TypographicSymbols" w:ascii="WP TypographicSymbols" w:hAnsi="WP TypographicSymbols"/>
          <w:b/>
        </w:rPr>
        <w:t>A</w:t>
      </w:r>
      <w:r>
        <w:rPr>
          <w:b/>
          <w:u w:val="single"/>
        </w:rPr>
        <w:t>Additional Lender Certificate</w:t>
      </w:r>
      <w:r>
        <w:rPr>
          <w:rFonts w:cs="WP TypographicSymbols" w:ascii="WP TypographicSymbols" w:hAnsi="WP TypographicSymbols"/>
          <w:b/>
        </w:rPr>
        <w:t>@</w:t>
      </w:r>
      <w:r>
        <w:rPr/>
        <w:t xml:space="preserve">) substantially in the form of </w:t>
      </w:r>
      <w:r>
        <w:rPr>
          <w:u w:val="single"/>
        </w:rPr>
        <w:t>Exhibit L1</w:t>
      </w:r>
      <w:r>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widowControl/>
        <w:tabs>
          <w:tab w:val="clear" w:pos="720"/>
          <w:tab w:val="left" w:pos="-1440" w:leader="none"/>
        </w:tabs>
        <w:ind w:firstLine="720" w:end="0"/>
        <w:jc w:val="both"/>
        <w:rPr/>
      </w:pPr>
      <w:r>
        <w:rPr/>
        <w:t>(b)</w:t>
        <w:tab/>
        <w:t xml:space="preserve">On the Second Closing Date (i) the Commitments of each existing Lender (each, an </w:t>
      </w:r>
      <w:r>
        <w:rPr>
          <w:rFonts w:cs="WP TypographicSymbols" w:ascii="WP TypographicSymbols" w:hAnsi="WP TypographicSymbols"/>
        </w:rPr>
        <w:t>A</w:t>
      </w:r>
      <w:r>
        <w:rPr>
          <w:b/>
          <w:u w:val="single"/>
        </w:rPr>
        <w:t>Increased Commitment Lender</w:t>
      </w:r>
      <w:r>
        <w:rPr>
          <w:rFonts w:cs="WP TypographicSymbols" w:ascii="WP TypographicSymbols" w:hAnsi="WP TypographicSymbols"/>
        </w:rPr>
        <w:t>@</w:t>
      </w:r>
      <w:r>
        <w:rPr/>
        <w:t xml:space="preserve">) which has executed and delivered to the Trust and to the Agent a certificate (the </w:t>
      </w:r>
      <w:r>
        <w:rPr>
          <w:rFonts w:cs="WP TypographicSymbols" w:ascii="WP TypographicSymbols" w:hAnsi="WP TypographicSymbols"/>
        </w:rPr>
        <w:t>A</w:t>
      </w:r>
      <w:r>
        <w:rPr>
          <w:b/>
          <w:u w:val="single"/>
        </w:rPr>
        <w:t>Increased Commitment Certificate</w:t>
      </w:r>
      <w:r>
        <w:rPr>
          <w:rFonts w:cs="WP TypographicSymbols" w:ascii="WP TypographicSymbols" w:hAnsi="WP TypographicSymbols"/>
        </w:rPr>
        <w:t>@</w:t>
      </w:r>
      <w:r>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rPr>
        <w:t>$[462,000,000]</w:t>
      </w:r>
      <w:r>
        <w:rPr/>
        <w:t xml:space="preserve"> unless otherwise agreed by the Agent), and the definition of </w:t>
      </w:r>
      <w:r>
        <w:rPr>
          <w:rFonts w:cs="WP TypographicSymbols" w:ascii="WP TypographicSymbols" w:hAnsi="WP TypographicSymbols"/>
          <w:b/>
        </w:rPr>
        <w:t>A</w:t>
      </w:r>
      <w:r>
        <w:rPr>
          <w:b/>
          <w:u w:val="single"/>
        </w:rPr>
        <w:t>Commitment Amount</w:t>
      </w:r>
      <w:r>
        <w:rPr>
          <w:rFonts w:cs="WP TypographicSymbols" w:ascii="WP TypographicSymbols" w:hAnsi="WP TypographicSymbols"/>
          <w:b/>
        </w:rPr>
        <w:t>@</w:t>
      </w:r>
      <w:r>
        <w:rPr>
          <w:b/>
        </w:rPr>
        <w:t xml:space="preserve"> </w:t>
      </w:r>
      <w:r>
        <w:rPr/>
        <w:t xml:space="preserve">shall be deemed increased by such increase in the Commitments; (iii) </w:t>
      </w:r>
      <w:r>
        <w:rPr>
          <w:u w:val="single"/>
        </w:rPr>
        <w:t>Schedule I</w:t>
      </w:r>
      <w:r>
        <w:rPr/>
        <w:t xml:space="preserve"> shall be deemed amended to add the Commitment of such added Lender and the increased Commitments (if any) of the existing Lenders; and (iv)  the Trust shall duly execute and deliver a Note to each additional Lender.  No </w:t>
      </w:r>
      <w:ins w:id="12" w:author="Unknown Author" w:date="0-00-00T00:00:00Z">
        <w:r>
          <w:rPr>
            <w:strike/>
          </w:rPr>
          <w:t>lender</w:t>
        </w:r>
      </w:ins>
      <w:r>
        <w:rPr/>
        <w:t xml:space="preserve"> </w:t>
      </w:r>
      <w:ins w:id="13" w:author="Unknown Author" w:date="0-00-00T00:00:00Z">
        <w:r>
          <w:rPr>
            <w:b/>
            <w:u w:val="double"/>
          </w:rPr>
          <w:t>Lender</w:t>
        </w:r>
      </w:ins>
      <w:r>
        <w:rPr/>
        <w:t xml:space="preserve"> shall have any obligation to increase its Commitment hereunder.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 xml:space="preserve">For the purposes of this Section 3.3(c), </w:t>
      </w:r>
      <w:r>
        <w:rPr>
          <w:rFonts w:cs="WP TypographicSymbols" w:ascii="WP TypographicSymbols" w:hAnsi="WP TypographicSymbols"/>
          <w:b/>
        </w:rPr>
        <w:t>A</w:t>
      </w:r>
      <w:r>
        <w:rPr>
          <w:b/>
          <w:u w:val="single"/>
        </w:rPr>
        <w:t>Existing Advances</w:t>
      </w:r>
      <w:r>
        <w:rPr>
          <w:rFonts w:cs="WP TypographicSymbols" w:ascii="WP TypographicSymbols" w:hAnsi="WP TypographicSymbols"/>
          <w:b/>
        </w:rPr>
        <w:t>@</w:t>
      </w:r>
      <w:r>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rFonts w:cs="WP TypographicSymbols" w:ascii="WP TypographicSymbols" w:hAnsi="WP TypographicSymbols"/>
          <w:b/>
        </w:rPr>
        <w:t>A</w:t>
      </w:r>
      <w:r>
        <w:rPr>
          <w:b/>
          <w:u w:val="single"/>
        </w:rPr>
        <w:t>Replacement Funds</w:t>
      </w:r>
      <w:r>
        <w:rPr>
          <w:rFonts w:cs="WP TypographicSymbols" w:ascii="WP TypographicSymbols" w:hAnsi="WP TypographicSymbols"/>
          <w:b/>
        </w:rPr>
        <w:t>@</w:t>
      </w:r>
      <w:r>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b/>
        </w:rPr>
        <w:t>)</w:t>
      </w:r>
      <w:r>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under this Agreement.  </w:t>
      </w:r>
      <w:r>
        <w:fldChar w:fldCharType="begin"/>
      </w:r>
      <w:r>
        <w:rPr/>
        <w:instrText xml:space="preserve"> TC "Section  4.1   Conditions Precedent to Lenders= Obligations under this Agreement.  " \l 2 </w:instrText>
      </w:r>
      <w:r>
        <w:rPr/>
        <w:fldChar w:fldCharType="separate"/>
      </w:r>
      <w:r>
        <w:rPr/>
      </w:r>
      <w:r>
        <w:rPr/>
        <w:fldChar w:fldCharType="end"/>
      </w:r>
      <w:r>
        <w:rPr/>
        <w:t>The obligations of the Lenders under this Agreement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a copy, certified as of the applicable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on the Closing Date, and in the case of clause (E), on the Second Closing Date, 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the Total Return Swap Agreement described in clause (i) of the definition of Total Return Swap Agreement (not including the Swap Confirmations);</w:t>
      </w: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pPr>
      <w:r>
        <w:rPr/>
        <w:t>(E)</w:t>
        <w:tab/>
        <w:t>the replacement Beneficial Interest Certificate and the Notes including on the Second Closing Date any Notes required to be issued to additional Lenders under Section 3.3;</w:t>
      </w:r>
    </w:p>
    <w:p>
      <w:pPr>
        <w:pStyle w:val="Normal"/>
        <w:widowControl/>
        <w:tabs>
          <w:tab w:val="clear" w:pos="720"/>
          <w:tab w:val="left" w:pos="-1440" w:leader="none"/>
        </w:tabs>
        <w:spacing w:before="0" w:after="240"/>
        <w:ind w:firstLine="720" w:start="1440" w:end="0"/>
        <w:jc w:val="both"/>
        <w:rPr/>
      </w:pPr>
      <w:r>
        <w:rPr/>
        <w:t>(F)</w:t>
        <w:tab/>
        <w:t>Termination of Facility Agreement;</w:t>
      </w:r>
    </w:p>
    <w:p>
      <w:pPr>
        <w:pStyle w:val="Normal"/>
        <w:widowControl/>
        <w:tabs>
          <w:tab w:val="clear" w:pos="720"/>
          <w:tab w:val="left" w:pos="-1440" w:leader="none"/>
        </w:tabs>
        <w:spacing w:before="0" w:after="240"/>
        <w:ind w:firstLine="720" w:start="1440" w:end="0"/>
        <w:jc w:val="both"/>
        <w:rPr/>
      </w:pPr>
      <w:r>
        <w:rPr/>
        <w:t>(G)</w:t>
        <w:tab/>
        <w:t>the fee letter referred to in clause (i) of the definition of Fee Letters;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(H)</w:t>
        <w:tab/>
        <w:t>the Enron Guaranty; and</w:t>
      </w:r>
    </w:p>
    <w:p>
      <w:pPr>
        <w:pStyle w:val="Normal"/>
        <w:widowControl/>
        <w:tabs>
          <w:tab w:val="clear" w:pos="720"/>
          <w:tab w:val="left" w:pos="-1440" w:leader="none"/>
        </w:tabs>
        <w:spacing w:before="0" w:after="240"/>
        <w:ind w:firstLine="720" w:start="1440" w:end="0"/>
        <w:jc w:val="both"/>
        <w:rPr/>
      </w:pPr>
      <w:r>
        <w:rPr/>
        <w:t>(I)</w:t>
        <w:tab/>
        <w:t>the Funding Indemnity Agreement.</w:t>
      </w:r>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pStyle w:val="Normal"/>
        <w:widowControl/>
        <w:tabs>
          <w:tab w:val="clear" w:pos="720"/>
          <w:tab w:val="left" w:pos="-1440" w:leader="none"/>
        </w:tabs>
        <w:spacing w:before="0" w:after="240"/>
        <w:ind w:firstLine="720" w:start="1440" w:end="0"/>
        <w:jc w:val="both"/>
        <w:rPr/>
      </w:pPr>
      <w:r>
        <w:rPr/>
        <w:t>(E)</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r>
        <w:rPr/>
        <w:t>(F)</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(G)</w:t>
        <w:tab/>
        <w:t>the applicable Independent Auctioneer Letter;</w:t>
      </w:r>
    </w:p>
    <w:p>
      <w:pPr>
        <w:pStyle w:val="Normal"/>
        <w:widowControl/>
        <w:tabs>
          <w:tab w:val="clear" w:pos="720"/>
          <w:tab w:val="left" w:pos="-1440" w:leader="none"/>
        </w:tabs>
        <w:spacing w:before="0" w:after="240"/>
        <w:ind w:firstLine="720" w:start="1440" w:end="0"/>
        <w:jc w:val="both"/>
        <w:rPr/>
      </w:pPr>
      <w:r>
        <w:rPr/>
        <w:t>(H)</w:t>
        <w:tab/>
        <w:t>the applicable Transfer and Auction Agreement;</w:t>
      </w:r>
    </w:p>
    <w:p>
      <w:pPr>
        <w:pStyle w:val="Normal"/>
        <w:widowControl/>
        <w:tabs>
          <w:tab w:val="clear" w:pos="720"/>
          <w:tab w:val="left" w:pos="-1440" w:leader="none"/>
        </w:tabs>
        <w:spacing w:before="0" w:after="240"/>
        <w:ind w:firstLine="720" w:start="1440" w:end="0"/>
        <w:jc w:val="both"/>
        <w:rPr/>
      </w:pPr>
      <w:r>
        <w:rPr/>
        <w:t>(I)</w:t>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r>
        <w:rPr/>
        <w:t>(J)</w:t>
        <w:tab/>
        <w:t>the applicable Asset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widowControl/>
        <w:tabs>
          <w:tab w:val="clear" w:pos="720"/>
          <w:tab w:val="left" w:pos="-1440" w:leader="none"/>
        </w:tabs>
        <w:spacing w:before="0" w:after="240"/>
        <w:ind w:firstLine="720" w:start="1440" w:end="0"/>
        <w:jc w:val="both"/>
        <w:rPr/>
      </w:pPr>
      <w:r>
        <w:rPr/>
        <w:t>(L)</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Enron and the applicable Permitted Swap Party (if any);</w:t>
      </w:r>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pStyle w:val="Normal"/>
        <w:widowControl/>
        <w:tabs>
          <w:tab w:val="clear" w:pos="720"/>
          <w:tab w:val="left" w:pos="-1440" w:leader="none"/>
        </w:tabs>
        <w:spacing w:before="0" w:after="240"/>
        <w:ind w:firstLine="720" w:start="1440" w:end="0"/>
        <w:jc w:val="both"/>
        <w:rPr/>
      </w:pPr>
      <w:r>
        <w:rPr/>
        <w:t>(C)</w:t>
        <w:tab/>
        <w:t>General counsel to Enron, the Sponsor and the applicable Permitted Swap Party (if any),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only on the Second Drawdown Date,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 xml:space="preserve">the organizational documents of the applicable Asset LLC, the applicable Transferor, the applicable Sponsor and the applicable Permitted Swap Party (if any)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I Facility Agreement),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Section  4.3   Conditions Precedent to Lenders</w:t>
      </w:r>
      <w:r>
        <w:rPr>
          <w:rFonts w:cs="WP TypographicSymbols" w:ascii="WP TypographicSymbols" w:hAnsi="WP TypographicSymbols"/>
        </w:rPr>
        <w:t>=</w:t>
      </w:r>
      <w:r>
        <w:rPr/>
        <w:t xml:space="preserve"> Obligations to Make Advances with Respect to the Hawaii Tranches.  </w:t>
      </w:r>
      <w:r>
        <w:fldChar w:fldCharType="begin"/>
      </w:r>
      <w:r>
        <w:rPr/>
        <w:instrText xml:space="preserve"> TC "Section  4.3   Conditions Precedent to Lenders= Obligations to Make Advances with Respect to the Hawaii Tranches.  " \l 2 </w:instrText>
      </w:r>
      <w:r>
        <w:rPr/>
        <w:fldChar w:fldCharType="separate"/>
      </w:r>
      <w:r>
        <w:rPr/>
      </w:r>
      <w:r>
        <w:rPr/>
        <w:fldChar w:fldCharType="end"/>
      </w:r>
      <w:r>
        <w:rPr/>
        <w:t>The obligations of the Lenders to make the Advances with respect to the Hawaii Tranches available to the Trust on the Closing Date under this Agreement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with respect to each Hawaii Tranche, in all respects (except where otherwise specified) in form and substance reasonably satisfactory to the Agent:</w:t>
      </w:r>
    </w:p>
    <w:p>
      <w:pPr>
        <w:pStyle w:val="Normal"/>
        <w:widowControl/>
        <w:tabs>
          <w:tab w:val="clear" w:pos="720"/>
          <w:tab w:val="left" w:pos="-1440" w:leader="none"/>
        </w:tabs>
        <w:spacing w:before="0" w:after="240"/>
        <w:ind w:firstLine="720" w:start="720" w:end="0"/>
        <w:jc w:val="both"/>
        <w:rPr/>
      </w:pPr>
      <w:r>
        <w:rPr/>
        <w:t>(i)</w:t>
        <w:tab/>
        <w:t>duly executed counterparts of:</w:t>
      </w:r>
    </w:p>
    <w:p>
      <w:pPr>
        <w:pStyle w:val="Normal"/>
        <w:widowControl/>
        <w:tabs>
          <w:tab w:val="clear" w:pos="720"/>
          <w:tab w:val="left" w:pos="-1440" w:leader="none"/>
        </w:tabs>
        <w:spacing w:before="0" w:after="240"/>
        <w:ind w:firstLine="720" w:start="1440" w:end="0"/>
        <w:jc w:val="both"/>
        <w:rPr/>
      </w:pPr>
      <w:r>
        <w:rPr/>
        <w:t>(A)</w:t>
        <w:tab/>
        <w:t>the applicable Drawdown Request with a copy of the Asset Notice executed and delivered in connection with the drawdown of the applicable Hawaii Tranche under the Hawaii Facility Agreement;</w:t>
      </w:r>
    </w:p>
    <w:p>
      <w:pPr>
        <w:pStyle w:val="Normal"/>
        <w:widowControl/>
        <w:tabs>
          <w:tab w:val="clear" w:pos="720"/>
          <w:tab w:val="left" w:pos="-1440" w:leader="none"/>
        </w:tabs>
        <w:spacing w:before="0" w:after="240"/>
        <w:ind w:firstLine="720" w:start="1440" w:end="0"/>
        <w:jc w:val="both"/>
        <w:rPr/>
      </w:pPr>
      <w:r>
        <w:rPr/>
        <w:t>(B)</w:t>
        <w:tab/>
        <w:t>the applicable replacement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(C)</w:t>
        <w:tab/>
        <w:t>the applicable Omnibus Amendment;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the Permitted Swap Party (if any) and Enron;</w:t>
      </w:r>
    </w:p>
    <w:p>
      <w:pPr>
        <w:pStyle w:val="Normal"/>
        <w:widowControl/>
        <w:tabs>
          <w:tab w:val="clear" w:pos="720"/>
          <w:tab w:val="left" w:pos="-1440" w:leader="none"/>
        </w:tabs>
        <w:spacing w:before="0" w:after="240"/>
        <w:ind w:firstLine="720" w:start="1440" w:end="0"/>
        <w:jc w:val="both"/>
        <w:rPr/>
      </w:pPr>
      <w:r>
        <w:rPr/>
        <w:t>(B)</w:t>
        <w:tab/>
        <w:t>Prickett, Jones &amp; Elliott, special counsel to the applicable Asset LLC;</w:t>
      </w:r>
    </w:p>
    <w:p>
      <w:pPr>
        <w:pStyle w:val="Normal"/>
        <w:widowControl/>
        <w:tabs>
          <w:tab w:val="clear" w:pos="720"/>
          <w:tab w:val="left" w:pos="-1440" w:leader="none"/>
        </w:tabs>
        <w:spacing w:before="0" w:after="240"/>
        <w:ind w:firstLine="720" w:start="1440" w:end="0"/>
        <w:jc w:val="both"/>
        <w:rPr/>
      </w:pPr>
      <w:r>
        <w:rPr/>
        <w:t>(C)</w:t>
        <w:tab/>
        <w:t xml:space="preserve">General counsel to Enron the Sponsor and the applicable Permitted Swap Party (if any), respectively; </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ins w:id="16" w:author="Unknown Author" w:date="0-00-00T00:00:00Z"/>
        </w:rPr>
      </w:pPr>
      <w:ins w:id="14" w:author="Unknown Author" w:date="0-00-00T00:00:00Z">
        <w:r>
          <w:rPr>
            <w:strike/>
          </w:rPr>
          <w:t>and</w:t>
        </w:r>
      </w:ins>
      <w:ins w:id="15" w:author="Unknown Author" w:date="0-00-00T00:00:00Z">
        <w:r>
          <w:rPr>
            <w:b/>
            <w:u w:val="double"/>
          </w:rPr>
          <w:t>(E)</w:t>
          <w:tab/>
          <w:t>only on the First Drawdown Date, an opinion of Mayer Brown &amp; Platt, counsel to the Agent; and</w:t>
        </w:r>
      </w:ins>
    </w:p>
    <w:p>
      <w:pPr>
        <w:pStyle w:val="Normal"/>
        <w:widowControl/>
        <w:tabs>
          <w:tab w:val="clear" w:pos="720"/>
          <w:tab w:val="left" w:pos="-1440" w:leader="none"/>
        </w:tabs>
        <w:spacing w:before="0" w:after="240"/>
        <w:ind w:firstLine="720" w:start="1440" w:end="0"/>
        <w:jc w:val="both"/>
        <w:rPr/>
      </w:pPr>
      <w:ins w:id="17" w:author="Unknown Author" w:date="0-00-00T00:00:00Z">
        <w:r>
          <w:rPr>
            <w:strike/>
          </w:rPr>
          <w:t>(E)</w:t>
        </w:r>
      </w:ins>
      <w:ins w:id="18" w:author="Unknown Author" w:date="0-00-00T00:00:00Z">
        <w:r>
          <w:rPr>
            <w:b/>
            <w:u w:val="double"/>
          </w:rPr>
          <w:t>(F)</w:t>
        </w:r>
      </w:ins>
      <w:r>
        <w:rPr/>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I Facility Agreement),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Section  4.4   Conditions Precedent to Lenders</w:t>
      </w:r>
      <w:r>
        <w:rPr>
          <w:rFonts w:cs="WP TypographicSymbols" w:ascii="WP TypographicSymbols" w:hAnsi="WP TypographicSymbols"/>
        </w:rPr>
        <w:t>=</w:t>
      </w:r>
      <w:r>
        <w:rPr/>
        <w:t xml:space="preserve"> Obligations to Make Advances with Respect to the Hawaii I Tranches.  </w:t>
      </w:r>
      <w:r>
        <w:fldChar w:fldCharType="begin"/>
      </w:r>
      <w:r>
        <w:rPr/>
        <w:instrText xml:space="preserve"> TC "Section  4.4   Conditions Precedent to Lenders= Obligations to Make Advances with Respect to the Hawaii I Tranches.  " \l 2 </w:instrText>
      </w:r>
      <w:r>
        <w:rPr/>
        <w:fldChar w:fldCharType="separate"/>
      </w:r>
      <w:r>
        <w:rPr/>
      </w:r>
      <w:r>
        <w:rPr/>
        <w:fldChar w:fldCharType="end"/>
      </w:r>
      <w:r>
        <w:rPr/>
        <w:t>The obligations of the Lenders to make the Advances available to the Trust under this Agreement comprising each Hawaii I Tranche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 with a copy of the Asset Notice executed and delivered in connection with the drawdown of the applicable Hawaii I Tranche under the Hawaii I Facility Agreement;</w:t>
      </w:r>
    </w:p>
    <w:p>
      <w:pPr>
        <w:pStyle w:val="Normal"/>
        <w:widowControl/>
        <w:tabs>
          <w:tab w:val="clear" w:pos="720"/>
          <w:tab w:val="left" w:pos="-1440" w:leader="none"/>
        </w:tabs>
        <w:spacing w:before="0" w:after="240"/>
        <w:ind w:firstLine="720" w:start="1440" w:end="0"/>
        <w:jc w:val="both"/>
        <w:rPr/>
      </w:pPr>
      <w:r>
        <w:rPr/>
        <w:t>(C)</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r>
        <w:rPr/>
        <w:t>(D)</w:t>
        <w:tab/>
        <w:t>if Enron is not a party to the Total Return Swap Agreement, the Enron Guaranty;</w:t>
      </w:r>
    </w:p>
    <w:p>
      <w:pPr>
        <w:pStyle w:val="Normal"/>
        <w:widowControl/>
        <w:tabs>
          <w:tab w:val="clear" w:pos="720"/>
          <w:tab w:val="left" w:pos="-1440" w:leader="none"/>
        </w:tabs>
        <w:spacing w:before="0" w:after="240"/>
        <w:ind w:firstLine="720" w:start="1440" w:end="0"/>
        <w:jc w:val="both"/>
        <w:rPr/>
      </w:pPr>
      <w:r>
        <w:rPr/>
        <w:t>(E)</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(F)</w:t>
        <w:tab/>
        <w:t xml:space="preserve">the applicable Transfer and Auction Agreement;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(G)</w:t>
        <w:tab/>
        <w:t>as applicable, either (i) the applicable Put Option Assignment and/or (ii) the applicable Demand Note Assignment;</w:t>
      </w:r>
    </w:p>
    <w:p>
      <w:pPr>
        <w:pStyle w:val="Normal"/>
        <w:widowControl/>
        <w:tabs>
          <w:tab w:val="clear" w:pos="720"/>
          <w:tab w:val="left" w:pos="-1440" w:leader="none"/>
        </w:tabs>
        <w:spacing w:before="0" w:after="240"/>
        <w:ind w:firstLine="720" w:start="1440" w:end="0"/>
        <w:jc w:val="both"/>
        <w:rPr/>
      </w:pPr>
      <w:r>
        <w:rPr/>
        <w:t>(H)</w:t>
        <w:tab/>
        <w:t>the applicable Independent Auctioneer Letter;</w:t>
      </w:r>
    </w:p>
    <w:p>
      <w:pPr>
        <w:pStyle w:val="Normal"/>
        <w:widowControl/>
        <w:tabs>
          <w:tab w:val="clear" w:pos="720"/>
          <w:tab w:val="left" w:pos="-1440" w:leader="none"/>
        </w:tabs>
        <w:spacing w:before="0" w:after="240"/>
        <w:ind w:firstLine="720" w:start="1440" w:end="0"/>
        <w:jc w:val="both"/>
        <w:rPr/>
      </w:pPr>
      <w:r>
        <w:rPr/>
        <w:t>(I)</w:t>
        <w:tab/>
        <w:t>written confirmation (i) from the Agent under the Hawaii I Facility Agreement that all amounts of principal and interest and all other amounts due in respect of the applicable tranche under the Hawaii I Facility Agreement has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widowControl/>
        <w:tabs>
          <w:tab w:val="clear" w:pos="720"/>
          <w:tab w:val="left" w:pos="-1440" w:leader="none"/>
        </w:tabs>
        <w:spacing w:before="0" w:after="240"/>
        <w:ind w:firstLine="720" w:start="1440" w:end="0"/>
        <w:jc w:val="both"/>
        <w:rPr/>
      </w:pPr>
      <w:r>
        <w:rPr/>
        <w:t>(J)</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the Permitted Swap Party (if any) and Enron;</w:t>
      </w:r>
    </w:p>
    <w:p>
      <w:pPr>
        <w:pStyle w:val="Normal"/>
        <w:widowControl/>
        <w:tabs>
          <w:tab w:val="clear" w:pos="720"/>
          <w:tab w:val="left" w:pos="-1440" w:leader="none"/>
        </w:tabs>
        <w:spacing w:before="0" w:after="240"/>
        <w:ind w:firstLine="720" w:start="1440" w:end="0"/>
        <w:jc w:val="both"/>
        <w:rPr/>
      </w:pPr>
      <w:r>
        <w:rPr/>
        <w:t>(B)</w:t>
        <w:tab/>
        <w:t>Prickett, Jones &amp; Elliott, special counsel to the applicable Asset LLC;</w:t>
      </w:r>
    </w:p>
    <w:p>
      <w:pPr>
        <w:pStyle w:val="Normal"/>
        <w:widowControl/>
        <w:tabs>
          <w:tab w:val="clear" w:pos="720"/>
          <w:tab w:val="left" w:pos="-1440" w:leader="none"/>
        </w:tabs>
        <w:spacing w:before="0" w:after="240"/>
        <w:ind w:firstLine="720" w:start="1440" w:end="0"/>
        <w:jc w:val="both"/>
        <w:rPr/>
      </w:pPr>
      <w:r>
        <w:rPr/>
        <w:t>(C)</w:t>
        <w:tab/>
      </w:r>
      <w:ins w:id="19" w:author="Unknown Author" w:date="0-00-00T00:00:00Z">
        <w:r>
          <w:rPr>
            <w:strike/>
          </w:rPr>
          <w:t>General</w:t>
        </w:r>
      </w:ins>
      <w:r>
        <w:rPr/>
        <w:t xml:space="preserve"> </w:t>
      </w:r>
      <w:ins w:id="20" w:author="Unknown Author" w:date="0-00-00T00:00:00Z">
        <w:r>
          <w:rPr>
            <w:b/>
            <w:u w:val="double"/>
          </w:rPr>
          <w:t>general</w:t>
        </w:r>
      </w:ins>
      <w:r>
        <w:rPr/>
        <w:t xml:space="preserve"> counsel to Enron, the Sponsor and the applicable Permitted Swap (if any), respectively; </w:t>
      </w:r>
    </w:p>
    <w:p>
      <w:pPr>
        <w:pStyle w:val="Normal"/>
        <w:widowControl/>
        <w:tabs>
          <w:tab w:val="clear" w:pos="720"/>
          <w:tab w:val="left" w:pos="-1440" w:leader="none"/>
        </w:tabs>
        <w:spacing w:before="0" w:after="240"/>
        <w:ind w:firstLine="720" w:start="1440" w:end="0"/>
        <w:jc w:val="both"/>
        <w:rPr/>
      </w:pPr>
      <w:r>
        <w:rPr/>
        <w:t>(D)</w:t>
        <w:tab/>
        <w:t>Richards, Layton &amp; Finger, counsel to the Trust; and</w:t>
      </w:r>
    </w:p>
    <w:p>
      <w:pPr>
        <w:pStyle w:val="Normal"/>
        <w:widowControl/>
        <w:tabs>
          <w:tab w:val="clear" w:pos="720"/>
          <w:tab w:val="left" w:pos="-1440" w:leader="none"/>
        </w:tabs>
        <w:spacing w:before="0" w:after="240"/>
        <w:ind w:firstLine="720" w:start="1440" w:end="0"/>
        <w:jc w:val="both"/>
        <w:rPr/>
      </w:pPr>
      <w:r>
        <w:rPr/>
        <w:t>(E)</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I Facility Agreement),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 xml:space="preserve">Section  4.5   Commitments Not Drawn.  </w:t>
      </w:r>
      <w:r>
        <w:fldChar w:fldCharType="begin"/>
      </w:r>
      <w:r>
        <w:rPr/>
        <w:instrText xml:space="preserve"> TC "Section  4.5   Commitments Not Drawn.  " \l 2 </w:instrText>
      </w:r>
      <w:r>
        <w:rPr/>
        <w:fldChar w:fldCharType="separate"/>
      </w:r>
      <w:r>
        <w:rPr/>
      </w:r>
      <w:r>
        <w:rPr/>
        <w:fldChar w:fldCharType="end"/>
      </w:r>
      <w:r>
        <w:rPr/>
        <w:t>Any Commitments not drawn on or before the Final Advance Date shall be canceled.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spacing w:before="0" w:after="240"/>
        <w:ind w:firstLine="720" w:start="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pStyle w:val="Normal"/>
        <w:widowControl/>
        <w:tabs>
          <w:tab w:val="clear" w:pos="720"/>
          <w:tab w:val="left" w:pos="-1440" w:leader="none"/>
        </w:tabs>
        <w:ind w:firstLine="1440" w:end="0"/>
        <w:jc w:val="both"/>
        <w:rPr/>
      </w:pPr>
      <w:r>
        <w:rPr/>
        <w:t>Tel.: (713) 650</w:t>
        <w:noBreakHyphen/>
        <w:t>2588</w:t>
      </w: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widowControl/>
        <w:tabs>
          <w:tab w:val="clear" w:pos="720"/>
          <w:tab w:val="left" w:pos="-1440" w:leader="none"/>
        </w:tabs>
        <w:ind w:hanging="720" w:start="1440" w:end="0"/>
        <w:jc w:val="both"/>
        <w:rPr/>
      </w:pPr>
      <w:r>
        <w:rPr/>
        <w:t>(i)</w:t>
        <w:tab/>
        <w:t>the Agent and the Subscriber have returned the applicable Asset Notice to Enron making the confirmation referred to in Section 5.1(a)(i); or</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(ii)</w:t>
        <w:tab/>
        <w:t>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pStyle w:val="Normal"/>
        <w:widowControl/>
        <w:tabs>
          <w:tab w:val="clear" w:pos="720"/>
          <w:tab w:val="left" w:pos="-1440" w:leader="none"/>
        </w:tabs>
        <w:spacing w:before="0" w:after="240"/>
        <w:ind w:firstLine="720" w:end="0"/>
        <w:jc w:val="both"/>
        <w:rPr/>
      </w:pPr>
      <w:r>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widowControl/>
        <w:tabs>
          <w:tab w:val="clear" w:pos="720"/>
          <w:tab w:val="left" w:pos="-1440" w:leader="none"/>
        </w:tabs>
        <w:ind w:firstLine="720" w:end="0"/>
        <w:jc w:val="both"/>
        <w:rPr/>
      </w:pPr>
      <w:r>
        <w:rPr/>
        <w:t>Section  5.3   Advances</w:t>
      </w:r>
      <w:r>
        <w:fldChar w:fldCharType="begin"/>
      </w:r>
      <w:r>
        <w:rPr/>
        <w:instrText xml:space="preserve"> TC "Section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5.2, the Agent will promptly deliver notice of such Drawdown Request to each Lender.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any Early</w:t>
      </w:r>
      <w:r>
        <w:rPr>
          <w:b/>
          <w:i/>
        </w:rPr>
        <w:t xml:space="preserve"> </w:t>
      </w:r>
      <w:r>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ISDA Master Agreement) has occurred with respect to any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8.10</w:t>
        <w:tab/>
      </w:r>
      <w:r>
        <w:rPr>
          <w:u w:val="single"/>
        </w:rPr>
        <w:t>Tax Characterization; Construction</w:t>
      </w:r>
      <w:r>
        <w:fldChar w:fldCharType="begin"/>
      </w:r>
      <w:r>
        <w:rPr/>
        <w:instrText xml:space="preserve"> TC "Section 8.10</w:instrText>
        <w:tab/>
        <w:instrText xml:space="preserve">Tax Characterization; Construction" \l 1 </w:instrText>
      </w:r>
      <w:r>
        <w:rPr/>
        <w:fldChar w:fldCharType="separate"/>
      </w:r>
      <w:r>
        <w:rPr/>
      </w:r>
      <w:r>
        <w:rPr/>
        <w:fldChar w:fldCharType="end"/>
      </w:r>
      <w:r>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2"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Hawaii II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u w:val="single"/>
        </w:rPr>
        <w:t>material</w:t>
      </w:r>
      <w:r>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any Total Return Swap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pPr>
      <w:r>
        <w:rPr/>
        <w:t>(k)</w:t>
        <w:tab/>
        <w:t>An Event of Default (as defined in the Hawaii I  Facility Agreement) shall occur and be continuing.</w:t>
      </w:r>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except as provided in Section 3.3, any increase in any Commitment of any Lender;</w:t>
      </w:r>
    </w:p>
    <w:p>
      <w:pPr>
        <w:pStyle w:val="Normal"/>
        <w:widowControl/>
        <w:tabs>
          <w:tab w:val="clear" w:pos="720"/>
          <w:tab w:val="left" w:pos="-1440" w:leader="none"/>
        </w:tabs>
        <w:spacing w:before="0" w:after="240"/>
        <w:ind w:firstLine="720" w:end="0"/>
        <w:jc w:val="both"/>
        <w:rPr/>
      </w:pPr>
      <w:r>
        <w:rPr/>
        <w:t>(b)</w:t>
        <w:tab/>
        <w:t>any extension of any scheduled date for payment of any sum due, owing or payable to the Lenders;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widowControl/>
        <w:tabs>
          <w:tab w:val="clear" w:pos="720"/>
          <w:tab w:val="left" w:pos="-1440" w:leader="none"/>
        </w:tabs>
        <w:spacing w:before="0" w:after="240"/>
        <w:ind w:firstLine="720" w:end="0"/>
        <w:jc w:val="both"/>
        <w:rPr/>
      </w:pPr>
      <w:r>
        <w:rPr/>
        <w:t>(f)</w:t>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2"/>
          <w:footerReference w:type="default" r:id="rId2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8"/>
          <w:headerReference w:type="first" r:id="rId29"/>
          <w:footerReference w:type="default" r:id="rId30"/>
          <w:footerReference w:type="first" r:id="rId3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t>____________________________________________</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bl>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ins w:id="21" w:author="Unknown Author" w:date="0-00-00T00:00:00Z">
        <w:r>
          <w:rPr>
            <w:b/>
            <w:u w:val="double"/>
          </w:rPr>
          <w:t>Hawaii II 125</w:t>
          <w:noBreakHyphen/>
          <w:t>0</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Facility Agreement, dated as of November </w:t>
      </w:r>
      <w:r>
        <w:rPr>
          <w:b/>
          <w:u w:val="single"/>
        </w:rPr>
        <w:t>[</w:t>
      </w:r>
      <w:r>
        <w:rPr>
          <w:u w:val="single"/>
        </w:rPr>
        <w:t>17</w:t>
      </w:r>
      <w:r>
        <w:rPr>
          <w:b/>
          <w:u w:val="single"/>
        </w:rPr>
        <w:t>]</w:t>
      </w:r>
      <w:r>
        <w:rPr>
          <w:u w:val="single"/>
        </w:rPr>
        <w:t>,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(m)</w:t>
        <w:tab/>
        <w:t>Swap Provider (specify Enron or specific Permitted Swap Party):</w:t>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Hawaii II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6"/>
          <w:footerReference w:type="default" r:id="rId57"/>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t xml:space="preserve">November </w:t>
      </w:r>
      <w:r>
        <w:rPr>
          <w:b/>
        </w:rPr>
        <w:t>[</w:t>
      </w:r>
      <w:r>
        <w:rPr/>
        <w:t>17</w:t>
      </w:r>
      <w:r>
        <w:rPr>
          <w:b/>
        </w:rPr>
        <w:t>]</w:t>
      </w:r>
      <w:r>
        <w:rPr/>
        <w:t>,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Hawaii II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November </w:t>
      </w:r>
      <w:r>
        <w:rPr>
          <w:b/>
        </w:rPr>
        <w:t>[</w:t>
      </w:r>
      <w:r>
        <w:rPr/>
        <w:t>16</w:t>
      </w:r>
      <w:r>
        <w:rPr>
          <w:b/>
        </w:rPr>
        <w:t>]</w:t>
      </w:r>
      <w:r>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r>
        <w:rPr>
          <w:b/>
        </w:rPr>
        <w:t>[</w:t>
      </w:r>
      <w:r>
        <w:rPr/>
        <w:t>17</w:t>
      </w:r>
      <w:r>
        <w:rPr>
          <w:b/>
        </w:rPr>
        <w:t>]</w:t>
      </w:r>
      <w:r>
        <w:rPr/>
        <w:t xml:space="preserve">,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2"/>
          <w:footerReference w:type="default" r:id="rId6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4"/>
          <w:headerReference w:type="first" r:id="rId65"/>
          <w:footerReference w:type="default" r:id="rId66"/>
          <w:footerReference w:type="first" r:id="rId6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Facility Agreement, dated as of November </w:t>
      </w:r>
      <w:r>
        <w:rPr>
          <w:b/>
        </w:rPr>
        <w:t>[</w:t>
      </w:r>
      <w:r>
        <w:rPr/>
        <w:t>17</w:t>
      </w:r>
      <w:r>
        <w:rPr>
          <w:b/>
        </w:rPr>
        <w:t>]</w:t>
      </w:r>
      <w:r>
        <w:rPr/>
        <w:t xml:space="preserve">,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Hawaii II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2"/>
          <w:footerReference w:type="default" r:id="rId7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4"/>
          <w:headerReference w:type="first" r:id="rId75"/>
          <w:footerReference w:type="default" r:id="rId76"/>
          <w:footerReference w:type="first" r:id="rId7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78"/>
          <w:headerReference w:type="first" r:id="rId79"/>
          <w:footerReference w:type="default" r:id="rId80"/>
          <w:footerReference w:type="first" r:id="rId8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2"/>
          <w:headerReference w:type="first" r:id="rId83"/>
          <w:footerReference w:type="default" r:id="rId84"/>
          <w:footerReference w:type="first" r:id="rId8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  The long</w:t>
        <w:noBreakHyphen/>
        <w:t xml:space="preserve">term unsecured senior debt of the applicable third parties must either be rated </w:t>
      </w:r>
      <w:r>
        <w:rPr>
          <w:rFonts w:cs="WP TypographicSymbols" w:ascii="WP TypographicSymbols" w:hAnsi="WP TypographicSymbols"/>
        </w:rPr>
        <w:t>A</w:t>
      </w:r>
      <w:r>
        <w:rPr/>
        <w:t>BBB</w:t>
      </w:r>
      <w:r>
        <w:rPr>
          <w:rFonts w:cs="WP TypographicSymbols" w:ascii="WP TypographicSymbols" w:hAnsi="WP TypographicSymbols"/>
        </w:rPr>
        <w:t>@</w:t>
      </w:r>
      <w:r>
        <w:rPr/>
        <w:t xml:space="preserve"> by S&amp;P or </w:t>
      </w:r>
      <w:r>
        <w:rPr>
          <w:rFonts w:cs="WP TypographicSymbols" w:ascii="WP TypographicSymbols" w:hAnsi="WP TypographicSymbols"/>
        </w:rPr>
        <w:t>A</w:t>
      </w:r>
      <w:r>
        <w:rPr/>
        <w:t>Baa</w:t>
      </w:r>
      <w:r>
        <w:rPr>
          <w:rFonts w:cs="WP TypographicSymbols" w:ascii="WP TypographicSymbols" w:hAnsi="WP TypographicSymbols"/>
        </w:rPr>
        <w:t>@</w:t>
      </w:r>
      <w:r>
        <w:rPr/>
        <w:t xml:space="preserve"> by Moody</w:t>
      </w:r>
      <w:r>
        <w:rPr>
          <w:rFonts w:cs="WP TypographicSymbols" w:ascii="WP TypographicSymbols" w:hAnsi="WP TypographicSymbols"/>
        </w:rPr>
        <w:t>=</w:t>
      </w:r>
      <w:r>
        <w:rPr/>
        <w:t>s or the applicable asset must have such additional credit support as may be approved by the Agent in writing.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sectPr>
          <w:headerReference w:type="default" r:id="rId86"/>
          <w:headerReference w:type="first" r:id="rId87"/>
          <w:footerReference w:type="default" r:id="rId88"/>
          <w:footerReference w:type="first" r:id="rId8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headerReference w:type="default" r:id="rId90"/>
          <w:headerReference w:type="first" r:id="rId91"/>
          <w:footerReference w:type="default" r:id="rId92"/>
          <w:footerReference w:type="first" r:id="rId9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4"/>
          <w:footerReference w:type="default" r:id="rId9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headerReference w:type="first" r:id="rId97"/>
          <w:footerReference w:type="default" r:id="rId98"/>
          <w:footerReference w:type="first" r:id="rId9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0"/>
          <w:headerReference w:type="first" r:id="rId101"/>
          <w:footerReference w:type="default" r:id="rId102"/>
          <w:footerReference w:type="first" r:id="rId10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4"/>
          <w:headerReference w:type="first" r:id="rId105"/>
          <w:footerReference w:type="default" r:id="rId106"/>
          <w:footerReference w:type="first" r:id="rId10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8"/>
          <w:headerReference w:type="first" r:id="rId109"/>
          <w:footerReference w:type="default" r:id="rId110"/>
          <w:footerReference w:type="first" r:id="rId11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2"/>
          <w:headerReference w:type="first" r:id="rId113"/>
          <w:footerReference w:type="default" r:id="rId114"/>
          <w:footerReference w:type="first" r:id="rId11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[Hawaii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This is an Asset Notice referred to in Section 5.1 of the Facility Agreement dated November</w:t>
      </w:r>
      <w:r>
        <w:rPr>
          <w:b/>
        </w:rPr>
        <w:t> [</w:t>
      </w:r>
      <w:r>
        <w:rPr/>
        <w:t>17</w:t>
      </w:r>
      <w:r>
        <w:rPr>
          <w:b/>
        </w:rPr>
        <w:t>]</w:t>
      </w:r>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10.</w:t>
        <w:tab/>
        <w:t>Swap Provider:</w:t>
        <w:tab/>
        <w:tab/>
        <w:tab/>
        <w:tab/>
      </w:r>
      <w:r>
        <w:rPr>
          <w:b/>
          <w:i/>
        </w:rPr>
        <w:t>[Enron or specific Permitted Swap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6"/>
          <w:headerReference w:type="first" r:id="rId117"/>
          <w:footerReference w:type="default" r:id="rId118"/>
          <w:footerReference w:type="first" r:id="rId11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20"/>
          <w:footerReference w:type="default" r:id="rId12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In our capacity as Subscriber we hereby confirm pursuant to Section 1(c)(i) of the Subscription Agreement dated November </w:t>
      </w:r>
      <w:r>
        <w:rPr>
          <w:b/>
        </w:rPr>
        <w:t>[</w:t>
      </w:r>
      <w:r>
        <w:rPr/>
        <w:t>17</w:t>
      </w:r>
      <w:r>
        <w:rPr>
          <w:b/>
        </w:rPr>
        <w:t>]</w:t>
      </w:r>
      <w:r>
        <w:rPr/>
        <w:t>,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This is an Asset Summary referred to in Section 5.1 of the Facility Agreement dated November</w:t>
      </w:r>
      <w:r>
        <w:rPr>
          <w:b/>
        </w:rPr>
        <w:t> [</w:t>
      </w:r>
      <w:r>
        <w:rPr/>
        <w:t>17</w:t>
      </w:r>
      <w:r>
        <w:rPr>
          <w:b/>
        </w:rPr>
        <w:t>]</w:t>
      </w:r>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22"/>
          <w:footerReference w:type="default" r:id="rId12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clear" w:pos="720"/>
          <w:tab w:val="center" w:pos="4680" w:leader="none"/>
          <w:tab w:val="left" w:pos="4860" w:leader="none"/>
          <w:tab w:val="left" w:pos="5760" w:leader="none"/>
        </w:tabs>
        <w:jc w:val="both"/>
        <w:rPr/>
      </w:pPr>
      <w:r>
        <w:rPr/>
        <w:tab/>
      </w:r>
      <w:r>
        <w:rPr>
          <w:b/>
          <w:u w:val="single"/>
        </w:rPr>
        <w:t>EXHIBIT L1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u w:val="single"/>
        </w:rPr>
        <w:t>FORM OF ADDITIONAL LENDER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To:</w:t>
        <w:tab/>
        <w:t>Hawaii II 125</w:t>
        <w:noBreakHyphen/>
        <w:t xml:space="preserve">0 Trust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Canadian Imperial Bank of Commerce, as Agent (the </w:t>
      </w: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w:t>
        <w:tab/>
      </w:r>
      <w:r>
        <w:rPr>
          <w:b/>
          <w:i/>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Trust, the Agent, and certain other financial institutions have entered into that certain Facility Agreement, dated as of November </w:t>
      </w:r>
      <w:r>
        <w:rPr>
          <w:b/>
        </w:rPr>
        <w:t>[</w:t>
      </w:r>
      <w:r>
        <w:rPr/>
        <w:t>17</w:t>
      </w:r>
      <w:r>
        <w:rPr>
          <w:b/>
        </w:rPr>
        <w:t>]</w:t>
      </w:r>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Very truly yours,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sectPr>
          <w:headerReference w:type="default" r:id="rId124"/>
          <w:headerReference w:type="first" r:id="rId125"/>
          <w:footerReference w:type="default" r:id="rId126"/>
          <w:footerReference w:type="first" r:id="rId12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FUNDING OFFICE: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t>AGREED: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u w:val="single"/>
        </w:rPr>
      </w:pPr>
      <w:r>
        <w:rPr/>
        <w:t>By:______________________________________</w:t>
        <w:tab/>
        <w:tab/>
        <w:tab/>
        <w:tab/>
        <w:tab/>
        <w:tab/>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ACKNOWLEDGMENT BY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The foregoing additional Lender is acceptable to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ENRON CORP.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b/>
        </w:rPr>
      </w:pPr>
      <w:r>
        <w:rPr>
          <w:b/>
        </w:rPr>
        <w:tab/>
        <w:t>Schedule 1</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Form of Additional Lender Certificate</w:t>
      </w:r>
    </w:p>
    <w:p>
      <w:pPr>
        <w:pStyle w:val="Normal"/>
        <w:widowControl/>
        <w:tabs>
          <w:tab w:val="clear" w:pos="720"/>
          <w:tab w:val="center" w:pos="4680" w:leader="none"/>
          <w:tab w:val="left" w:pos="4860" w:leader="none"/>
          <w:tab w:val="left" w:pos="5760" w:leader="none"/>
        </w:tabs>
        <w:jc w:val="both"/>
        <w:rPr>
          <w:b/>
        </w:rPr>
      </w:pPr>
      <w:r>
        <w:rPr>
          <w:b/>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sectPr>
          <w:headerReference w:type="default" r:id="rId128"/>
          <w:footerReference w:type="default" r:id="rId12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pStyle w:val="Normal"/>
        <w:widowControl/>
        <w:tabs>
          <w:tab w:val="clear" w:pos="720"/>
          <w:tab w:val="center" w:pos="4680" w:leader="none"/>
          <w:tab w:val="left" w:pos="4860" w:leader="none"/>
          <w:tab w:val="left" w:pos="5760" w:leader="none"/>
        </w:tabs>
        <w:jc w:val="both"/>
        <w:rPr/>
      </w:pPr>
      <w:r>
        <w:rPr/>
        <w:tab/>
      </w:r>
      <w:r>
        <w:rPr>
          <w:b/>
        </w:rPr>
        <w:t>EXHIBIT L2</w:t>
      </w:r>
    </w:p>
    <w:p>
      <w:pPr>
        <w:pStyle w:val="Normal"/>
        <w:widowControl/>
        <w:tabs>
          <w:tab w:val="clear" w:pos="720"/>
          <w:tab w:val="center" w:pos="4680" w:leader="none"/>
          <w:tab w:val="left" w:pos="4860" w:leader="none"/>
          <w:tab w:val="left" w:pos="5760" w:leader="none"/>
        </w:tabs>
        <w:jc w:val="both"/>
        <w:rPr>
          <w:b/>
        </w:rPr>
      </w:pPr>
      <w:r>
        <w:rPr>
          <w:b/>
        </w:rPr>
        <w:tab/>
      </w:r>
    </w:p>
    <w:p>
      <w:pPr>
        <w:pStyle w:val="Normal"/>
        <w:widowControl/>
        <w:tabs>
          <w:tab w:val="clear" w:pos="720"/>
          <w:tab w:val="center" w:pos="4680" w:leader="none"/>
          <w:tab w:val="left" w:pos="4860" w:leader="none"/>
          <w:tab w:val="left" w:pos="5760" w:leader="none"/>
        </w:tabs>
        <w:jc w:val="both"/>
        <w:rPr/>
      </w:pPr>
      <w:r>
        <w:rPr>
          <w:b/>
        </w:rPr>
        <w:tab/>
      </w:r>
      <w:r>
        <w:rPr>
          <w:u w:val="single"/>
        </w:rPr>
        <w:t>FORM OF INCREASED COMMITMENT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To:</w:t>
        <w:tab/>
        <w:t>Hawaii II 125</w:t>
        <w:noBreakHyphen/>
        <w:t xml:space="preserve">0 Trust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Canadian Imperial Bank of Commerce, as Agent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Date:</w:t>
        <w:tab/>
      </w:r>
      <w:r>
        <w:rPr>
          <w:b/>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Trust, the Agent and certain other financial institutions have entered into that certain Facility Agreement, dated as of November [17], 2000 (the </w:t>
      </w:r>
      <w:r>
        <w:rPr>
          <w:rFonts w:cs="WP TypographicSymbols" w:ascii="WP TypographicSymbols" w:hAnsi="WP TypographicSymbols"/>
        </w:rPr>
        <w:t>A</w:t>
      </w:r>
      <w:r>
        <w:rPr>
          <w:b/>
          <w:u w:val="single"/>
        </w:rPr>
        <w:t>Facility Agreement</w:t>
      </w:r>
      <w:r>
        <w:rPr>
          <w:rFonts w:cs="WP TypographicSymbols" w:ascii="WP TypographicSymbols" w:hAnsi="WP TypographicSymbols"/>
        </w:rPr>
        <w:t>@</w:t>
      </w:r>
      <w:r>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undersigned is a Lender under the Facility Agreement.  Please be advised that the undersigned Lender has agreed to increase its Commitment for the purposes of the Facility Agreement from $</w:t>
      </w:r>
      <w:r>
        <w:rPr>
          <w:b/>
        </w:rPr>
        <w:t>[____________] [insert initial Commitment]</w:t>
      </w:r>
      <w:r>
        <w:rPr/>
        <w:t xml:space="preserve"> to $</w:t>
      </w:r>
      <w:r>
        <w:rPr>
          <w:b/>
        </w:rPr>
        <w:t>[___________] [insert increased Commitment]</w:t>
      </w:r>
      <w:r>
        <w:rPr/>
        <w:t>.  Consequently, the amount of such increase for the purposes of Section 3.3(c) of the Facility Agreement is $</w:t>
      </w:r>
      <w:r>
        <w:rPr>
          <w:b/>
        </w:rPr>
        <w:t>[_____________]</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pPr>
      <w:r>
        <w:rPr/>
        <w:t>Very truly yours,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pPr>
      <w:r>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start="4860" w:end="0"/>
        <w:jc w:val="both"/>
        <w:rPr/>
      </w:pPr>
      <w:r>
        <w:rPr/>
        <w:t>By:</w:t>
      </w:r>
      <w:r>
        <w:rPr>
          <w:u w:val="single"/>
        </w:rPr>
        <w:tab/>
      </w:r>
    </w:p>
    <w:p>
      <w:pPr>
        <w:pStyle w:val="Normal"/>
        <w:widowControl/>
        <w:tabs>
          <w:tab w:val="clear" w:pos="720"/>
          <w:tab w:val="right" w:pos="9360" w:leader="none"/>
        </w:tabs>
        <w:ind w:start="4860" w:end="0"/>
        <w:jc w:val="both"/>
        <w:rPr/>
      </w:pPr>
      <w:r>
        <w:rPr/>
        <w:t>Name:</w:t>
      </w:r>
      <w:r>
        <w:rPr>
          <w:u w:val="single"/>
        </w:rPr>
        <w:tab/>
      </w:r>
    </w:p>
    <w:p>
      <w:pPr>
        <w:sectPr>
          <w:headerReference w:type="default" r:id="rId130"/>
          <w:headerReference w:type="first" r:id="rId131"/>
          <w:footerReference w:type="default" r:id="rId132"/>
          <w:footerReference w:type="first" r:id="rId13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760" w:leader="none"/>
        </w:tabs>
        <w:jc w:val="both"/>
        <w:rPr/>
      </w:pPr>
      <w:r>
        <w:rPr/>
        <w:tab/>
      </w:r>
      <w:r>
        <w:rPr>
          <w:b/>
        </w:rPr>
        <w:t>EXHIBIT 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34"/>
          <w:headerReference w:type="first" r:id="rId135"/>
          <w:footerReference w:type="default" r:id="rId136"/>
          <w:footerReference w:type="first" r:id="rId13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b/>
        </w:rPr>
        <w:tab/>
      </w:r>
      <w:r>
        <w:rPr>
          <w:u w:val="single"/>
        </w:rPr>
        <w:t>FORM OF OMNIBUS AMENDMENT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22" w:author="Unknown Author" w:date="0-00-00T00:00:00Z">
        <w:r>
          <w:rPr>
            <w:strike/>
          </w:rPr>
          <w:t>265273.4</w:t>
        </w:r>
      </w:ins>
      <w:r>
        <w:rPr/>
        <w:t xml:space="preserve"> </w:t>
      </w:r>
      <w:ins w:id="23" w:author="Unknown Author" w:date="0-00-00T00:00:00Z">
        <w:r>
          <w:rPr>
            <w:b/>
            <w:u w:val="double"/>
          </w:rPr>
          <w:t>265273.5</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Hawaii II/Facility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38"/>
          <w:headerReference w:type="first" r:id="rId139"/>
          <w:footerReference w:type="default" r:id="rId140"/>
          <w:footerReference w:type="first" r:id="rId14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C:\WINDOWS\TEMP\DAL_265273_4</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C:\WINDOWS\TEMP\DAL_265273.5</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13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42"/>
      <w:headerReference w:type="first" r:id="rId143"/>
      <w:footerReference w:type="default" r:id="rId144"/>
      <w:footerReference w:type="first" r:id="rId14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3">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4</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4</w:t>
                    </w:r>
                    <w:r>
                      <w:rPr>
                        <w:rFonts w:cs="Galliard BT" w:ascii="Galliard BT" w:hAnsi="Galliard BT"/>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r>
      <mc:AlternateContent>
        <mc:Choice Requires="wps">
          <w:drawing>
            <wp:anchor behindDoc="0" distT="0" distB="0" distL="0" distR="0" simplePos="0" locked="0" layoutInCell="0" allowOverlap="1" relativeHeight="58">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5">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46">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8">
              <wp:simplePos x="0" y="0"/>
              <wp:positionH relativeFrom="column">
                <wp:posOffset>635</wp:posOffset>
              </wp:positionH>
              <wp:positionV relativeFrom="paragraph">
                <wp:posOffset>635</wp:posOffset>
              </wp:positionV>
              <wp:extent cx="5943600" cy="100965"/>
              <wp:effectExtent l="0" t="0" r="0" b="0"/>
              <wp:wrapTopAndBottom/>
              <wp:docPr id="40" name="Frame4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50">
              <wp:simplePos x="0" y="0"/>
              <wp:positionH relativeFrom="column">
                <wp:posOffset>635</wp:posOffset>
              </wp:positionH>
              <wp:positionV relativeFrom="paragraph">
                <wp:posOffset>635</wp:posOffset>
              </wp:positionV>
              <wp:extent cx="5944235" cy="177165"/>
              <wp:effectExtent l="0" t="0" r="0" b="0"/>
              <wp:wrapTopAndBottom/>
              <wp:docPr id="41" name="Frame4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1">
              <wp:simplePos x="0" y="0"/>
              <wp:positionH relativeFrom="column">
                <wp:posOffset>635</wp:posOffset>
              </wp:positionH>
              <wp:positionV relativeFrom="paragraph">
                <wp:posOffset>635</wp:posOffset>
              </wp:positionV>
              <wp:extent cx="5943600" cy="100965"/>
              <wp:effectExtent l="0" t="0" r="0" b="0"/>
              <wp:wrapTopAndBottom/>
              <wp:docPr id="42" name="Frame4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52">
              <wp:simplePos x="0" y="0"/>
              <wp:positionH relativeFrom="column">
                <wp:posOffset>635</wp:posOffset>
              </wp:positionH>
              <wp:positionV relativeFrom="paragraph">
                <wp:posOffset>635</wp:posOffset>
              </wp:positionV>
              <wp:extent cx="5944235" cy="177165"/>
              <wp:effectExtent l="0" t="0" r="0" b="0"/>
              <wp:wrapTopAndBottom/>
              <wp:docPr id="43" name="Frame4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3600" cy="100965"/>
              <wp:effectExtent l="0" t="0" r="0" b="0"/>
              <wp:wrapTopAndBottom/>
              <wp:docPr id="44" name="Frame4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4235" cy="177165"/>
              <wp:effectExtent l="0" t="0" r="0" b="0"/>
              <wp:wrapTopAndBottom/>
              <wp:docPr id="45" name="Frame4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3600" cy="100965"/>
              <wp:effectExtent l="0" t="0" r="0" b="0"/>
              <wp:wrapTopAndBottom/>
              <wp:docPr id="46" name="Frame4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56">
              <wp:simplePos x="0" y="0"/>
              <wp:positionH relativeFrom="column">
                <wp:posOffset>635</wp:posOffset>
              </wp:positionH>
              <wp:positionV relativeFrom="paragraph">
                <wp:posOffset>635</wp:posOffset>
              </wp:positionV>
              <wp:extent cx="5944235" cy="177165"/>
              <wp:effectExtent l="0" t="0" r="0" b="0"/>
              <wp:wrapTopAndBottom/>
              <wp:docPr id="47" name="Frame4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3600" cy="100965"/>
              <wp:effectExtent l="0" t="0" r="0" b="0"/>
              <wp:wrapTopAndBottom/>
              <wp:docPr id="48" name="Frame4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4235" cy="177165"/>
              <wp:effectExtent l="0" t="0" r="0" b="0"/>
              <wp:wrapTopAndBottom/>
              <wp:docPr id="49" name="Frame5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0">
              <wp:simplePos x="0" y="0"/>
              <wp:positionH relativeFrom="column">
                <wp:posOffset>635</wp:posOffset>
              </wp:positionH>
              <wp:positionV relativeFrom="paragraph">
                <wp:posOffset>635</wp:posOffset>
              </wp:positionV>
              <wp:extent cx="5943600" cy="100965"/>
              <wp:effectExtent l="0" t="0" r="0" b="0"/>
              <wp:wrapTopAndBottom/>
              <wp:docPr id="50" name="Frame5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DAL:265273.5</w:t>
                    </w:r>
                  </w:p>
                </w:txbxContent>
              </v:textbox>
              <w10:wrap type="topAndBottom"/>
            </v:rect>
          </w:pict>
        </mc:Fallback>
      </mc:AlternateContent>
    </w:r>
    <w:r>
      <mc:AlternateContent>
        <mc:Choice Requires="wps">
          <w:drawing>
            <wp:anchor behindDoc="0" distT="0" distB="0" distL="0" distR="0" simplePos="0" locked="0" layoutInCell="0" allowOverlap="1" relativeHeight="71">
              <wp:simplePos x="0" y="0"/>
              <wp:positionH relativeFrom="column">
                <wp:posOffset>635</wp:posOffset>
              </wp:positionH>
              <wp:positionV relativeFrom="paragraph">
                <wp:posOffset>635</wp:posOffset>
              </wp:positionV>
              <wp:extent cx="5944235" cy="177165"/>
              <wp:effectExtent l="0" t="0" r="0" b="0"/>
              <wp:wrapTopAndBottom/>
              <wp:docPr id="51" name="Frame5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DAL:265273.5</w: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header" Target="header49.xml"/><Relationship Id="rId98" Type="http://schemas.openxmlformats.org/officeDocument/2006/relationships/footer" Target="footer48.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footer" Target="footer52.xml"/><Relationship Id="rId107" Type="http://schemas.openxmlformats.org/officeDocument/2006/relationships/footer" Target="footer53.xml"/><Relationship Id="rId108" Type="http://schemas.openxmlformats.org/officeDocument/2006/relationships/header" Target="header54.xml"/><Relationship Id="rId109" Type="http://schemas.openxmlformats.org/officeDocument/2006/relationships/header" Target="header55.xml"/><Relationship Id="rId110" Type="http://schemas.openxmlformats.org/officeDocument/2006/relationships/footer" Target="footer54.xml"/><Relationship Id="rId111" Type="http://schemas.openxmlformats.org/officeDocument/2006/relationships/footer" Target="footer55.xml"/><Relationship Id="rId112" Type="http://schemas.openxmlformats.org/officeDocument/2006/relationships/header" Target="header56.xml"/><Relationship Id="rId113" Type="http://schemas.openxmlformats.org/officeDocument/2006/relationships/header" Target="header57.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footer" Target="footer58.xml"/><Relationship Id="rId119" Type="http://schemas.openxmlformats.org/officeDocument/2006/relationships/footer" Target="footer59.xml"/><Relationship Id="rId120" Type="http://schemas.openxmlformats.org/officeDocument/2006/relationships/header" Target="header60.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header" Target="header63.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header" Target="header64.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fontTable" Target="fontTable.xml"/><Relationship Id="rId147" Type="http://schemas.openxmlformats.org/officeDocument/2006/relationships/settings" Target="settings.xml"/><Relationship Id="rId1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2000-11-09T14:22:00Z</dcterms:created>
  <dc:creator>A&amp;K</dc:creator>
  <dc:description/>
  <dc:language>en-CA</dc:language>
  <cp:lastModifiedBy>A&amp;K</cp:lastModifiedBy>
  <dcterms:modified xsi:type="dcterms:W3CDTF">2000-11-09T14:22:00Z</dcterms:modified>
  <cp:revision>2</cp:revision>
  <dc:subject/>
  <dc:title>FACILITY AGREEMENT</dc:title>
</cp:coreProperties>
</file>