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BRANT-ALLEN INDUSTRIES, INC.</w:t>
      </w:r>
    </w:p>
    <w:p>
      <w:pPr>
        <w:pStyle w:val="Normal"/>
        <w:jc w:val="both"/>
        <w:rPr>
          <w:b/>
          <w:bCs/>
          <w:sz w:val="22"/>
          <w:szCs w:val="22"/>
        </w:rPr>
      </w:pPr>
      <w:r>
        <w:rPr>
          <w:b/>
          <w:bCs/>
          <w:sz w:val="22"/>
          <w:szCs w:val="22"/>
        </w:rPr>
      </w:r>
    </w:p>
    <w:p>
      <w:pPr>
        <w:pStyle w:val="Normal"/>
        <w:jc w:val="center"/>
        <w:rPr>
          <w:b/>
          <w:bCs/>
          <w:sz w:val="22"/>
          <w:szCs w:val="22"/>
        </w:rPr>
      </w:pPr>
      <w:r>
        <w:rPr>
          <w:b/>
          <w:bCs/>
          <w:sz w:val="22"/>
          <w:szCs w:val="22"/>
        </w:rPr>
        <w:t>Unanimous Consent of Directors</w:t>
      </w:r>
    </w:p>
    <w:p>
      <w:pPr>
        <w:pStyle w:val="Normal"/>
        <w:jc w:val="center"/>
        <w:rPr>
          <w:b/>
          <w:bCs/>
          <w:sz w:val="22"/>
          <w:szCs w:val="22"/>
        </w:rPr>
      </w:pPr>
      <w:r>
        <w:rPr>
          <w:b/>
          <w:bCs/>
          <w:sz w:val="22"/>
          <w:szCs w:val="22"/>
        </w:rPr>
      </w:r>
    </w:p>
    <w:p>
      <w:pPr>
        <w:pStyle w:val="Normal"/>
        <w:jc w:val="center"/>
        <w:rPr>
          <w:sz w:val="22"/>
          <w:szCs w:val="22"/>
        </w:rPr>
      </w:pPr>
      <w:r>
        <w:rPr>
          <w:b/>
          <w:bCs/>
          <w:sz w:val="22"/>
          <w:szCs w:val="22"/>
        </w:rPr>
        <w:t>August __, 2000</w:t>
      </w:r>
    </w:p>
    <w:p>
      <w:pPr>
        <w:pStyle w:val="Normal"/>
        <w:ind w:start="-540" w:end="-360"/>
        <w:jc w:val="both"/>
        <w:rPr>
          <w:sz w:val="22"/>
          <w:szCs w:val="22"/>
        </w:rPr>
      </w:pPr>
      <w:r>
        <w:rPr>
          <w:sz w:val="22"/>
          <w:szCs w:val="22"/>
        </w:rPr>
      </w:r>
    </w:p>
    <w:p>
      <w:pPr>
        <w:pStyle w:val="Normal"/>
        <w:spacing w:lineRule="atLeast" w:line="480"/>
        <w:ind w:start="-540" w:end="-360"/>
        <w:jc w:val="both"/>
        <w:rPr>
          <w:sz w:val="22"/>
          <w:szCs w:val="22"/>
        </w:rPr>
      </w:pPr>
      <w:r>
        <w:rPr>
          <w:sz w:val="22"/>
          <w:szCs w:val="22"/>
        </w:rPr>
        <w:tab/>
        <w:t>We, the undersigned, being all of the Members of the Board of Directors of Brant-Allen Industries, Inc., a Delaware corporation, (the "Company") hereby take the following action by unanimous consent in writing, directing that a copy of this Consent be filed in the Minute Book of the Company to be effective on the date written above:</w:t>
      </w:r>
    </w:p>
    <w:p>
      <w:pPr>
        <w:pStyle w:val="Normal"/>
        <w:spacing w:lineRule="atLeast" w:line="240"/>
        <w:ind w:start="180" w:end="720"/>
        <w:jc w:val="both"/>
        <w:rPr>
          <w:sz w:val="22"/>
          <w:szCs w:val="22"/>
        </w:rPr>
      </w:pPr>
      <w:r>
        <w:rPr>
          <w:sz w:val="22"/>
          <w:szCs w:val="22"/>
        </w:rPr>
      </w:r>
    </w:p>
    <w:p>
      <w:pPr>
        <w:pStyle w:val="Normal"/>
        <w:spacing w:lineRule="atLeast" w:line="240"/>
        <w:ind w:start="450" w:end="54"/>
        <w:jc w:val="both"/>
        <w:rPr>
          <w:sz w:val="22"/>
          <w:szCs w:val="22"/>
        </w:rPr>
      </w:pPr>
      <w:r>
        <w:rPr>
          <w:sz w:val="22"/>
          <w:szCs w:val="22"/>
        </w:rPr>
        <w:tab/>
        <w:tab/>
        <w:tab/>
        <w:t>RESOLVED, that the Chairman of the Board and the officers of the Company and their designees (any one of them acting alone) have the authority to enter into pulp, lumber, and paper commodity price swap and options, and other commodity price swap and option transactions with Enron North America Corp., formerly known as Enron Capital &amp; Trade Resources Corp. (“Enron”) under the ISDA Master Agreement between Company and Enron dated as of March 2, 1998 (the “Swap Agreement”); and</w:t>
      </w:r>
    </w:p>
    <w:p>
      <w:pPr>
        <w:pStyle w:val="Normal"/>
        <w:spacing w:lineRule="atLeast" w:line="240"/>
        <w:ind w:start="450" w:end="54"/>
        <w:jc w:val="both"/>
        <w:rPr>
          <w:sz w:val="22"/>
          <w:szCs w:val="22"/>
        </w:rPr>
      </w:pPr>
      <w:r>
        <w:rPr>
          <w:sz w:val="22"/>
          <w:szCs w:val="22"/>
        </w:rPr>
      </w:r>
    </w:p>
    <w:p>
      <w:pPr>
        <w:pStyle w:val="Normal"/>
        <w:spacing w:lineRule="atLeast" w:line="240"/>
        <w:ind w:start="450" w:end="54"/>
        <w:jc w:val="both"/>
        <w:rPr>
          <w:sz w:val="22"/>
          <w:szCs w:val="22"/>
        </w:rPr>
      </w:pPr>
      <w:r>
        <w:rPr>
          <w:sz w:val="22"/>
          <w:szCs w:val="22"/>
        </w:rPr>
        <w:tab/>
        <w:tab/>
        <w:tab/>
        <w:t>RESOLVED FURTHER, that the Company is hereby authorized to pledge its assets to Enron and to procure letters of credit for its account in favor of Enron to secure its obligations to Enron pursuant to the Swap Agreement; and</w:t>
      </w:r>
    </w:p>
    <w:p>
      <w:pPr>
        <w:pStyle w:val="Normal"/>
        <w:spacing w:lineRule="atLeast" w:line="240"/>
        <w:ind w:start="450" w:end="54"/>
        <w:jc w:val="both"/>
        <w:rPr>
          <w:sz w:val="22"/>
          <w:szCs w:val="22"/>
        </w:rPr>
      </w:pPr>
      <w:r>
        <w:rPr>
          <w:sz w:val="22"/>
          <w:szCs w:val="22"/>
        </w:rPr>
      </w:r>
    </w:p>
    <w:p>
      <w:pPr>
        <w:pStyle w:val="Normal"/>
        <w:spacing w:lineRule="atLeast" w:line="240"/>
        <w:ind w:start="450" w:end="54"/>
        <w:jc w:val="both"/>
        <w:rPr>
          <w:sz w:val="22"/>
          <w:szCs w:val="22"/>
        </w:rPr>
      </w:pPr>
      <w:r>
        <w:rPr>
          <w:sz w:val="22"/>
          <w:szCs w:val="22"/>
        </w:rPr>
        <w:tab/>
        <w:tab/>
        <w:tab/>
        <w:t>RESOLVED FURTHER, that the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 and</w:t>
      </w:r>
    </w:p>
    <w:p>
      <w:pPr>
        <w:pStyle w:val="Normal"/>
        <w:tabs>
          <w:tab w:val="left" w:pos="540" w:leader="none"/>
          <w:tab w:val="left" w:pos="720" w:leader="none"/>
        </w:tabs>
        <w:spacing w:lineRule="atLeast" w:line="240"/>
        <w:jc w:val="both"/>
        <w:rPr>
          <w:rFonts w:ascii="Tms Rmn" w:hAnsi="Tms Rmn" w:eastAsia="Tms Rmn" w:cs="Tms Rmn"/>
          <w:sz w:val="22"/>
          <w:szCs w:val="22"/>
        </w:rPr>
      </w:pPr>
      <w:r>
        <w:rPr>
          <w:rFonts w:eastAsia="Tms Rmn" w:cs="Tms Rmn" w:ascii="Tms Rmn" w:hAnsi="Tms Rmn"/>
          <w:sz w:val="22"/>
          <w:szCs w:val="22"/>
        </w:rPr>
      </w:r>
    </w:p>
    <w:p>
      <w:pPr>
        <w:pStyle w:val="Normal"/>
        <w:tabs>
          <w:tab w:val="clear" w:pos="540"/>
          <w:tab w:val="left" w:pos="1440" w:leader="none"/>
        </w:tabs>
        <w:ind w:end="-18"/>
        <w:jc w:val="both"/>
        <w:rPr/>
      </w:pPr>
      <w:r>
        <w:rPr>
          <w:sz w:val="22"/>
          <w:szCs w:val="22"/>
        </w:rPr>
        <w:tab/>
        <w:t>FURTHER RESOLVED</w:t>
      </w:r>
      <w:r>
        <w:rPr>
          <w:b/>
          <w:bCs/>
          <w:sz w:val="22"/>
          <w:szCs w:val="22"/>
        </w:rPr>
        <w:t>,</w:t>
      </w:r>
      <w:r>
        <w:rPr>
          <w:sz w:val="22"/>
          <w:szCs w:val="22"/>
        </w:rPr>
        <w:t xml:space="preserve"> that the foregoing Resolutions shall supersede any prior resolutions dealing with the subject matter covered herein.</w:t>
      </w:r>
    </w:p>
    <w:p>
      <w:pPr>
        <w:pStyle w:val="Normal"/>
        <w:spacing w:lineRule="atLeast" w:line="240"/>
        <w:ind w:start="180" w:end="720"/>
        <w:jc w:val="both"/>
        <w:rPr>
          <w:sz w:val="22"/>
          <w:szCs w:val="22"/>
        </w:rPr>
      </w:pPr>
      <w:r>
        <w:rPr>
          <w:sz w:val="22"/>
          <w:szCs w:val="22"/>
        </w:rPr>
      </w:r>
    </w:p>
    <w:p>
      <w:pPr>
        <w:pStyle w:val="Normal"/>
        <w:tabs>
          <w:tab w:val="left" w:pos="540" w:leader="none"/>
          <w:tab w:val="left" w:pos="2520" w:leader="none"/>
        </w:tabs>
        <w:jc w:val="both"/>
        <w:rPr>
          <w:sz w:val="22"/>
          <w:szCs w:val="22"/>
        </w:rPr>
      </w:pPr>
      <w:r>
        <w:rPr>
          <w:sz w:val="22"/>
          <w:szCs w:val="22"/>
        </w:rPr>
      </w:r>
    </w:p>
    <w:p>
      <w:pPr>
        <w:pStyle w:val="Normal"/>
        <w:tabs>
          <w:tab w:val="left" w:pos="540" w:leader="none"/>
          <w:tab w:val="left" w:pos="2520" w:leader="none"/>
        </w:tabs>
        <w:jc w:val="both"/>
        <w:rPr>
          <w:sz w:val="22"/>
          <w:szCs w:val="22"/>
        </w:rPr>
      </w:pPr>
      <w:r>
        <w:rPr>
          <w:sz w:val="22"/>
          <w:szCs w:val="22"/>
        </w:rPr>
        <w:t>Dated as of August __, 2000.</w:t>
      </w:r>
    </w:p>
    <w:p>
      <w:pPr>
        <w:pStyle w:val="Normal"/>
        <w:rPr>
          <w:sz w:val="22"/>
          <w:szCs w:val="22"/>
        </w:rPr>
      </w:pPr>
      <w:r>
        <w:rPr>
          <w:sz w:val="22"/>
          <w:szCs w:val="22"/>
        </w:rPr>
      </w:r>
    </w:p>
    <w:p>
      <w:pPr>
        <w:pStyle w:val="Normal"/>
        <w:tabs>
          <w:tab w:val="left" w:pos="540" w:leader="none"/>
          <w:tab w:val="left" w:pos="2520" w:leader="none"/>
        </w:tabs>
        <w:jc w:val="both"/>
        <w:rPr>
          <w:rFonts w:ascii="Tms Rmn" w:hAnsi="Tms Rmn" w:eastAsia="Tms Rmn" w:cs="Tms Rmn"/>
          <w:sz w:val="22"/>
          <w:szCs w:val="22"/>
        </w:rPr>
      </w:pPr>
      <w:r>
        <w:rPr>
          <w:rFonts w:eastAsia="Tms Rmn" w:cs="Tms Rmn" w:ascii="Tms Rmn" w:hAnsi="Tms Rmn"/>
          <w:sz w:val="22"/>
          <w:szCs w:val="22"/>
        </w:rPr>
      </w:r>
    </w:p>
    <w:p>
      <w:pPr>
        <w:pStyle w:val="Normal"/>
        <w:tabs>
          <w:tab w:val="left" w:pos="540" w:leader="none"/>
          <w:tab w:val="left" w:pos="2520" w:leader="none"/>
          <w:tab w:val="left" w:pos="5760" w:leader="none"/>
        </w:tabs>
        <w:ind w:start="5040" w:end="0"/>
        <w:jc w:val="both"/>
        <w:rPr>
          <w:rFonts w:ascii="Tms Rmn" w:hAnsi="Tms Rmn" w:eastAsia="Tms Rmn" w:cs="Tms Rmn"/>
          <w:sz w:val="22"/>
          <w:szCs w:val="22"/>
        </w:rPr>
      </w:pPr>
      <w:r>
        <w:rPr>
          <w:rFonts w:eastAsia="Tms Rmn" w:cs="Tms Rmn" w:ascii="Tms Rmn" w:hAnsi="Tms Rmn"/>
          <w:sz w:val="22"/>
          <w:szCs w:val="22"/>
        </w:rPr>
        <w:t>___________________________</w:t>
      </w:r>
    </w:p>
    <w:p>
      <w:pPr>
        <w:pStyle w:val="Normal"/>
        <w:tabs>
          <w:tab w:val="left" w:pos="540" w:leader="none"/>
          <w:tab w:val="left" w:pos="2520" w:leader="none"/>
          <w:tab w:val="left" w:pos="5760" w:leader="none"/>
        </w:tabs>
        <w:ind w:start="5040" w:end="0"/>
        <w:jc w:val="both"/>
        <w:rPr>
          <w:rFonts w:ascii="Tms Rmn" w:hAnsi="Tms Rmn" w:eastAsia="Tms Rmn" w:cs="Tms Rmn"/>
          <w:sz w:val="22"/>
          <w:szCs w:val="22"/>
        </w:rPr>
      </w:pPr>
      <w:r>
        <w:rPr>
          <w:rFonts w:eastAsia="Tms Rmn" w:cs="Tms Rmn" w:ascii="Tms Rmn" w:hAnsi="Tms Rmn"/>
          <w:sz w:val="22"/>
          <w:szCs w:val="22"/>
        </w:rPr>
        <w:t>Peter M. Brant, Director</w:t>
      </w:r>
    </w:p>
    <w:p>
      <w:pPr>
        <w:pStyle w:val="Normal"/>
        <w:tabs>
          <w:tab w:val="left" w:pos="540" w:leader="none"/>
          <w:tab w:val="left" w:pos="2520" w:leader="none"/>
          <w:tab w:val="left" w:pos="5760" w:leader="none"/>
        </w:tabs>
        <w:ind w:start="5040" w:end="0"/>
        <w:jc w:val="both"/>
        <w:rPr>
          <w:rFonts w:ascii="Tms Rmn" w:hAnsi="Tms Rmn" w:eastAsia="Tms Rmn" w:cs="Tms Rmn"/>
          <w:sz w:val="22"/>
          <w:szCs w:val="22"/>
        </w:rPr>
      </w:pPr>
      <w:r>
        <w:rPr>
          <w:rFonts w:eastAsia="Tms Rmn" w:cs="Tms Rmn" w:ascii="Tms Rmn" w:hAnsi="Tms Rmn"/>
          <w:sz w:val="22"/>
          <w:szCs w:val="22"/>
        </w:rPr>
      </w:r>
    </w:p>
    <w:p>
      <w:pPr>
        <w:pStyle w:val="Normal"/>
        <w:tabs>
          <w:tab w:val="left" w:pos="540" w:leader="none"/>
          <w:tab w:val="left" w:pos="2520" w:leader="none"/>
        </w:tabs>
        <w:ind w:start="5040" w:end="0"/>
        <w:jc w:val="both"/>
        <w:rPr>
          <w:rFonts w:ascii="Tms Rmn" w:hAnsi="Tms Rmn" w:eastAsia="Tms Rmn" w:cs="Tms Rmn"/>
          <w:sz w:val="22"/>
          <w:szCs w:val="22"/>
        </w:rPr>
      </w:pPr>
      <w:r>
        <w:rPr>
          <w:rFonts w:eastAsia="Tms Rmn" w:cs="Tms Rmn" w:ascii="Tms Rmn" w:hAnsi="Tms Rmn"/>
          <w:sz w:val="22"/>
          <w:szCs w:val="22"/>
        </w:rPr>
        <w:t>___________________________</w:t>
      </w:r>
    </w:p>
    <w:p>
      <w:pPr>
        <w:pStyle w:val="Normal"/>
        <w:tabs>
          <w:tab w:val="left" w:pos="540" w:leader="none"/>
          <w:tab w:val="left" w:pos="2520" w:leader="none"/>
        </w:tabs>
        <w:ind w:start="5040" w:end="0"/>
        <w:jc w:val="both"/>
        <w:rPr>
          <w:rFonts w:ascii="Tms Rmn" w:hAnsi="Tms Rmn" w:eastAsia="Tms Rmn" w:cs="Tms Rmn"/>
          <w:sz w:val="22"/>
          <w:szCs w:val="22"/>
        </w:rPr>
      </w:pPr>
      <w:r>
        <w:rPr>
          <w:rFonts w:eastAsia="Tms Rmn" w:cs="Tms Rmn" w:ascii="Tms Rmn" w:hAnsi="Tms Rmn"/>
          <w:sz w:val="22"/>
          <w:szCs w:val="22"/>
        </w:rPr>
        <w:t>Joseph Allen, Director</w:t>
      </w:r>
    </w:p>
    <w:p>
      <w:pPr>
        <w:pStyle w:val="Normal"/>
        <w:spacing w:lineRule="atLeast" w:line="480"/>
        <w:ind w:start="-540" w:end="-360"/>
        <w:jc w:val="both"/>
        <w:rPr>
          <w:rFonts w:ascii="Tms Rmn" w:hAnsi="Tms Rmn" w:eastAsia="Tms Rmn" w:cs="Tms Rmn"/>
          <w:sz w:val="22"/>
          <w:szCs w:val="22"/>
        </w:rPr>
      </w:pPr>
      <w:r>
        <w:rPr>
          <w:rFonts w:eastAsia="Tms Rmn" w:cs="Tms Rmn" w:ascii="Tms Rmn" w:hAnsi="Tms Rmn"/>
          <w:sz w:val="22"/>
          <w:szCs w:val="22"/>
        </w:rPr>
      </w:r>
    </w:p>
    <w:sectPr>
      <w:footerReference w:type="default" r:id="rId2"/>
      <w:type w:val="nextPage"/>
      <w:pgSz w:w="12240" w:h="15840"/>
      <w:pgMar w:left="1728" w:right="1728"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/mnt/main-storage/datasets/enron-docs/doc/263cert.DOC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2000-08-17T19:08:00Z</dcterms:created>
  <dc:creator>tjones</dc:creator>
  <dc:description/>
  <dc:language>en-CA</dc:language>
  <cp:lastModifiedBy>tjones</cp:lastModifiedBy>
  <cp:lastPrinted>2000-08-18T12:59:00Z</cp:lastPrinted>
  <dcterms:modified xsi:type="dcterms:W3CDTF">2000-08-18T15:39:00Z</dcterms:modified>
  <cp:revision>10</cp:revision>
  <dc:subject>ERMS SWap Resolutions</dc:subject>
  <dc:title>ERMS Swap Resolutions</dc:title>
</cp:coreProperties>
</file>