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rPr>
          <w:sz w:val="28"/>
          <w:szCs w:val="28"/>
        </w:rPr>
      </w:pPr>
      <w:r>
        <w:rPr>
          <w:sz w:val="28"/>
          <w:szCs w:val="28"/>
        </w:rPr>
      </w:r>
    </w:p>
    <w:p>
      <w:pPr>
        <w:pStyle w:val="Normal"/>
        <w:widowControl/>
        <w:jc w:val="center"/>
        <w:rPr>
          <w:b/>
          <w:bCs/>
          <w:sz w:val="28"/>
          <w:szCs w:val="28"/>
        </w:rPr>
      </w:pPr>
      <w:r>
        <w:rPr>
          <w:b/>
          <w:bCs/>
          <w:sz w:val="28"/>
          <w:szCs w:val="28"/>
        </w:rPr>
        <w:t xml:space="preserve">SUBORDINATION OF PRIORITY </w:t>
      </w:r>
    </w:p>
    <w:p>
      <w:pPr>
        <w:pStyle w:val="Normal"/>
        <w:widowControl/>
        <w:jc w:val="center"/>
        <w:rPr>
          <w:b/>
          <w:bCs/>
          <w:sz w:val="28"/>
          <w:szCs w:val="28"/>
        </w:rPr>
      </w:pPr>
      <w:r>
        <w:rPr>
          <w:b/>
          <w:bCs/>
          <w:sz w:val="28"/>
          <w:szCs w:val="28"/>
        </w:rPr>
        <w:t>OF MORTGAGE LIEN</w:t>
      </w:r>
    </w:p>
    <w:p>
      <w:pPr>
        <w:pStyle w:val="Normal"/>
        <w:widowControl/>
        <w:ind w:firstLine="720" w:start="720" w:end="0"/>
        <w:jc w:val="both"/>
        <w:rPr>
          <w:b/>
          <w:bCs/>
          <w:sz w:val="28"/>
          <w:szCs w:val="28"/>
        </w:rPr>
      </w:pPr>
      <w:r>
        <w:rPr>
          <w:b/>
          <w:bCs/>
          <w:sz w:val="28"/>
          <w:szCs w:val="28"/>
        </w:rPr>
        <w:t xml:space="preserve">State of: </w:t>
        <w:tab/>
        <w:tab/>
        <w:tab/>
        <w:tab/>
        <w:tab/>
        <w:t>County of:</w:t>
      </w:r>
    </w:p>
    <w:p>
      <w:pPr>
        <w:pStyle w:val="Normal"/>
        <w:widowControl/>
        <w:jc w:val="both"/>
        <w:rPr>
          <w:b/>
          <w:bCs/>
          <w:sz w:val="28"/>
          <w:szCs w:val="28"/>
        </w:rPr>
      </w:pPr>
      <w:r>
        <w:rPr>
          <w:b/>
          <w:bCs/>
          <w:sz w:val="28"/>
          <w:szCs w:val="28"/>
        </w:rPr>
      </w:r>
    </w:p>
    <w:p>
      <w:pPr>
        <w:pStyle w:val="Normal"/>
        <w:widowControl/>
        <w:jc w:val="both"/>
        <w:rPr/>
      </w:pPr>
      <w:r>
        <w:rPr>
          <w:b/>
          <w:bCs/>
          <w:sz w:val="28"/>
          <w:szCs w:val="28"/>
        </w:rPr>
        <w:t>Whereas</w:t>
      </w:r>
      <w:r>
        <w:rPr>
          <w:sz w:val="28"/>
          <w:szCs w:val="28"/>
        </w:rPr>
        <w:t xml:space="preserve">, the undersigned is the owner of a certain real estate mortgage executed by Enernet of Wyoming, LLC </w:t>
      </w:r>
    </w:p>
    <w:p>
      <w:pPr>
        <w:pStyle w:val="Normal"/>
        <w:widowControl/>
        <w:jc w:val="both"/>
        <w:rPr>
          <w:sz w:val="28"/>
          <w:szCs w:val="28"/>
        </w:rPr>
      </w:pPr>
      <w:r>
        <w:rPr>
          <w:sz w:val="28"/>
          <w:szCs w:val="28"/>
        </w:rPr>
        <w:t>to secure two Twenty-Five Thousand Dollar ($25,000) promissory notes covering the following described land:</w:t>
      </w:r>
    </w:p>
    <w:p>
      <w:pPr>
        <w:pStyle w:val="Normal"/>
        <w:widowControl/>
        <w:jc w:val="both"/>
        <w:rPr>
          <w:sz w:val="28"/>
          <w:szCs w:val="28"/>
        </w:rPr>
      </w:pPr>
      <w:r>
        <w:rPr>
          <w:sz w:val="28"/>
          <w:szCs w:val="28"/>
        </w:rPr>
      </w:r>
    </w:p>
    <w:p>
      <w:pPr>
        <w:pStyle w:val="Normal"/>
        <w:widowControl/>
        <w:jc w:val="both"/>
        <w:rPr>
          <w:sz w:val="28"/>
          <w:szCs w:val="28"/>
        </w:rPr>
      </w:pPr>
      <w:r>
        <w:rPr>
          <w:sz w:val="28"/>
          <w:szCs w:val="28"/>
        </w:rPr>
        <w:tab/>
        <w:t xml:space="preserve">All of Section 16-48N-72W, Campbell County, WY, </w:t>
      </w:r>
    </w:p>
    <w:p>
      <w:pPr>
        <w:pStyle w:val="Normal"/>
        <w:widowControl/>
        <w:ind w:firstLine="720" w:end="0"/>
        <w:jc w:val="both"/>
        <w:rPr>
          <w:sz w:val="28"/>
          <w:szCs w:val="28"/>
        </w:rPr>
      </w:pPr>
      <w:r>
        <w:rPr>
          <w:sz w:val="28"/>
          <w:szCs w:val="28"/>
        </w:rPr>
        <w:t xml:space="preserve">less and except the SW SW thereof; </w:t>
      </w:r>
    </w:p>
    <w:p>
      <w:pPr>
        <w:pStyle w:val="Normal"/>
        <w:widowControl/>
        <w:jc w:val="both"/>
        <w:rPr>
          <w:sz w:val="28"/>
          <w:szCs w:val="28"/>
        </w:rPr>
      </w:pPr>
      <w:r>
        <w:rPr>
          <w:sz w:val="28"/>
          <w:szCs w:val="28"/>
        </w:rPr>
      </w:r>
    </w:p>
    <w:p>
      <w:pPr>
        <w:pStyle w:val="Normal"/>
        <w:widowControl/>
        <w:jc w:val="both"/>
        <w:rPr>
          <w:sz w:val="28"/>
          <w:szCs w:val="28"/>
        </w:rPr>
      </w:pPr>
      <w:r>
        <w:rPr>
          <w:sz w:val="28"/>
          <w:szCs w:val="28"/>
        </w:rPr>
        <w:t>which mortgage is dated July 15, 1999</w:t>
      </w:r>
    </w:p>
    <w:p>
      <w:pPr>
        <w:pStyle w:val="Normal"/>
        <w:widowControl/>
        <w:jc w:val="both"/>
        <w:rPr>
          <w:sz w:val="28"/>
          <w:szCs w:val="28"/>
        </w:rPr>
      </w:pPr>
      <w:r>
        <w:rPr>
          <w:sz w:val="28"/>
          <w:szCs w:val="28"/>
        </w:rPr>
        <w:t>and recorded in Book  1558           at page    411 et seq</w:t>
      </w:r>
    </w:p>
    <w:p>
      <w:pPr>
        <w:pStyle w:val="Normal"/>
        <w:widowControl/>
        <w:jc w:val="both"/>
        <w:rPr>
          <w:sz w:val="28"/>
          <w:szCs w:val="28"/>
        </w:rPr>
      </w:pPr>
      <w:r>
        <w:rPr>
          <w:sz w:val="28"/>
          <w:szCs w:val="28"/>
        </w:rPr>
        <w:t>in the County of Campbell, State of Wyoming.</w:t>
      </w:r>
    </w:p>
    <w:p>
      <w:pPr>
        <w:pStyle w:val="Normal"/>
        <w:widowControl/>
        <w:jc w:val="both"/>
        <w:rPr>
          <w:sz w:val="28"/>
          <w:szCs w:val="28"/>
        </w:rPr>
      </w:pPr>
      <w:r>
        <w:rPr>
          <w:sz w:val="28"/>
          <w:szCs w:val="28"/>
        </w:rPr>
      </w:r>
    </w:p>
    <w:p>
      <w:pPr>
        <w:pStyle w:val="Normal"/>
        <w:widowControl/>
        <w:jc w:val="both"/>
        <w:rPr/>
      </w:pPr>
      <w:r>
        <w:rPr>
          <w:b/>
          <w:bCs/>
          <w:sz w:val="28"/>
          <w:szCs w:val="28"/>
        </w:rPr>
        <w:t>AND WHEREAS</w:t>
      </w:r>
      <w:r>
        <w:rPr>
          <w:sz w:val="28"/>
          <w:szCs w:val="28"/>
        </w:rPr>
        <w:t xml:space="preserve">, Enron Mid-Stream Services, LLC, desires to enter into a Mortgage Agreement with Enernet of Wyoming, LLC covering the same and identical property described above to secure a loan to be made by Enron Mid-Stream Services, LLC to Enernet of Wyoming, LLC.  The purpose of </w:t>
      </w:r>
    </w:p>
    <w:p>
      <w:pPr>
        <w:pStyle w:val="Normal"/>
        <w:widowControl/>
        <w:jc w:val="both"/>
        <w:rPr>
          <w:sz w:val="28"/>
          <w:szCs w:val="28"/>
        </w:rPr>
      </w:pPr>
      <w:r>
        <w:rPr>
          <w:sz w:val="28"/>
          <w:szCs w:val="28"/>
        </w:rPr>
        <w:t xml:space="preserve">the loan from Enron to Enernet is to fund the construction and installation  of a wellhead gas gathering system pursuant to the following agreements: </w:t>
      </w:r>
    </w:p>
    <w:p>
      <w:pPr>
        <w:pStyle w:val="Normal"/>
        <w:widowControl/>
        <w:jc w:val="both"/>
        <w:rPr>
          <w:sz w:val="28"/>
          <w:szCs w:val="28"/>
        </w:rPr>
      </w:pPr>
      <w:r>
        <w:rPr>
          <w:sz w:val="28"/>
          <w:szCs w:val="28"/>
        </w:rPr>
      </w:r>
    </w:p>
    <w:p>
      <w:pPr>
        <w:pStyle w:val="Normal"/>
        <w:widowControl/>
        <w:jc w:val="both"/>
        <w:rPr>
          <w:sz w:val="28"/>
          <w:szCs w:val="28"/>
        </w:rPr>
      </w:pPr>
      <w:r>
        <w:rPr>
          <w:sz w:val="28"/>
          <w:szCs w:val="28"/>
        </w:rPr>
        <w:tab/>
        <w:t xml:space="preserve">Gas Services Agreement dated December 20, 1999 by and between </w:t>
      </w:r>
    </w:p>
    <w:p>
      <w:pPr>
        <w:pStyle w:val="Normal"/>
        <w:widowControl/>
        <w:jc w:val="both"/>
        <w:rPr>
          <w:sz w:val="28"/>
          <w:szCs w:val="28"/>
        </w:rPr>
      </w:pPr>
      <w:r>
        <w:rPr>
          <w:sz w:val="28"/>
          <w:szCs w:val="28"/>
        </w:rPr>
        <w:tab/>
        <w:t xml:space="preserve">Enron Mid-Stream Services, LLC and Enernet of Wyoming, LLC et </w:t>
      </w:r>
    </w:p>
    <w:p>
      <w:pPr>
        <w:pStyle w:val="Normal"/>
        <w:widowControl/>
        <w:jc w:val="both"/>
        <w:rPr>
          <w:sz w:val="28"/>
          <w:szCs w:val="28"/>
        </w:rPr>
      </w:pPr>
      <w:r>
        <w:rPr>
          <w:sz w:val="28"/>
          <w:szCs w:val="28"/>
        </w:rPr>
        <w:tab/>
        <w:t xml:space="preserve">al.  </w:t>
        <w:tab/>
        <w:t xml:space="preserve">  </w:t>
      </w:r>
    </w:p>
    <w:p>
      <w:pPr>
        <w:pStyle w:val="Normal"/>
        <w:widowControl/>
        <w:jc w:val="both"/>
        <w:rPr>
          <w:sz w:val="28"/>
          <w:szCs w:val="28"/>
        </w:rPr>
      </w:pPr>
      <w:r>
        <w:rPr>
          <w:sz w:val="28"/>
          <w:szCs w:val="28"/>
        </w:rPr>
      </w:r>
    </w:p>
    <w:p>
      <w:pPr>
        <w:pStyle w:val="Normal"/>
        <w:widowControl/>
        <w:ind w:start="720" w:end="0"/>
        <w:jc w:val="both"/>
        <w:rPr>
          <w:sz w:val="28"/>
          <w:szCs w:val="28"/>
        </w:rPr>
      </w:pPr>
      <w:r>
        <w:rPr>
          <w:sz w:val="28"/>
          <w:szCs w:val="28"/>
        </w:rPr>
        <w:t xml:space="preserve">Mortgage Agreement dated December 20, 1999 by and between Enron Mid-Stream Services, LLC and Enernet of Wyoming, LLC et </w:t>
      </w:r>
    </w:p>
    <w:p>
      <w:pPr>
        <w:pStyle w:val="Normal"/>
        <w:widowControl/>
        <w:ind w:start="720" w:end="0"/>
        <w:jc w:val="both"/>
        <w:rPr>
          <w:sz w:val="28"/>
          <w:szCs w:val="28"/>
        </w:rPr>
      </w:pPr>
      <w:r>
        <w:rPr>
          <w:sz w:val="28"/>
          <w:szCs w:val="28"/>
        </w:rPr>
        <w:t xml:space="preserve">al.  </w:t>
      </w:r>
    </w:p>
    <w:p>
      <w:pPr>
        <w:pStyle w:val="Normal"/>
        <w:widowControl/>
        <w:jc w:val="both"/>
        <w:rPr>
          <w:sz w:val="28"/>
          <w:szCs w:val="28"/>
        </w:rPr>
      </w:pPr>
      <w:r>
        <w:rPr>
          <w:sz w:val="28"/>
          <w:szCs w:val="28"/>
        </w:rPr>
      </w:r>
    </w:p>
    <w:p>
      <w:pPr>
        <w:pStyle w:val="Normal"/>
        <w:widowControl/>
        <w:jc w:val="both"/>
        <w:rPr/>
      </w:pPr>
      <w:r>
        <w:rPr>
          <w:b/>
          <w:bCs/>
          <w:sz w:val="28"/>
          <w:szCs w:val="28"/>
        </w:rPr>
        <w:t>NOW THEREFORE</w:t>
      </w:r>
      <w:r>
        <w:rPr>
          <w:sz w:val="28"/>
          <w:szCs w:val="28"/>
        </w:rPr>
        <w:t xml:space="preserve">, in consideration of TEN DOLLARS ($10.00), and other valuable consideration the receipt and sufficiency of which is hereby acknowledged, the undersigned does hereby subordinate its mortgage interest in and to the property to the mortgage interest to be acquired by Enron Mid-Stream Services, LLC by virtue of the December 20, 1999 mortgage agreement referenced above.  </w:t>
      </w:r>
    </w:p>
    <w:p>
      <w:pPr>
        <w:pStyle w:val="Normal"/>
        <w:widowControl/>
        <w:jc w:val="both"/>
        <w:rPr>
          <w:sz w:val="28"/>
          <w:szCs w:val="28"/>
        </w:rPr>
      </w:pPr>
      <w:r>
        <w:rPr>
          <w:sz w:val="28"/>
          <w:szCs w:val="28"/>
        </w:rPr>
      </w:r>
    </w:p>
    <w:p>
      <w:pPr>
        <w:pStyle w:val="Normal"/>
        <w:widowControl/>
        <w:jc w:val="both"/>
        <w:rPr>
          <w:sz w:val="28"/>
          <w:szCs w:val="28"/>
        </w:rPr>
      </w:pPr>
      <w:r>
        <w:rPr>
          <w:sz w:val="28"/>
          <w:szCs w:val="28"/>
        </w:rPr>
        <w:t xml:space="preserve">The undersigned agrees to execute such further instruments as may be, in the reasonable opinion of Enron Mid-Stream Services, LLC, from time to time be necessary or appropriate to carry out the intent and purpose hereof i.e., to </w:t>
      </w:r>
    </w:p>
    <w:p>
      <w:pPr>
        <w:pStyle w:val="Normal"/>
        <w:widowControl/>
        <w:jc w:val="both"/>
        <w:rPr>
          <w:sz w:val="28"/>
          <w:szCs w:val="28"/>
        </w:rPr>
      </w:pPr>
      <w:r>
        <w:rPr>
          <w:sz w:val="28"/>
          <w:szCs w:val="28"/>
        </w:rPr>
        <w:t xml:space="preserve">subordinate the undersigned's priority of mortgage lien to that of Enron Mid-Stream Services, LLC in order that the Enron Mid-Stream Services, LLC mortgage be paramount and superior to the mortgage lien of the undersigned.    </w:t>
      </w:r>
    </w:p>
    <w:p>
      <w:pPr>
        <w:pStyle w:val="Normal"/>
        <w:widowControl/>
        <w:jc w:val="both"/>
        <w:rPr>
          <w:sz w:val="28"/>
          <w:szCs w:val="28"/>
        </w:rPr>
      </w:pPr>
      <w:r>
        <w:rPr>
          <w:sz w:val="28"/>
          <w:szCs w:val="28"/>
        </w:rPr>
      </w:r>
    </w:p>
    <w:p>
      <w:pPr>
        <w:pStyle w:val="Normal"/>
        <w:widowControl/>
        <w:jc w:val="both"/>
        <w:rPr>
          <w:sz w:val="28"/>
          <w:szCs w:val="28"/>
        </w:rPr>
      </w:pPr>
      <w:r>
        <w:rPr>
          <w:sz w:val="28"/>
          <w:szCs w:val="28"/>
        </w:rPr>
        <w:t xml:space="preserve">The undersigned makes no warranty, indemnity or guaranty of any kind with respect to the property, the ownership thereof or any other matter.  </w:t>
      </w:r>
    </w:p>
    <w:p>
      <w:pPr>
        <w:pStyle w:val="Normal"/>
        <w:widowControl/>
        <w:jc w:val="both"/>
        <w:rPr>
          <w:sz w:val="28"/>
          <w:szCs w:val="28"/>
        </w:rPr>
      </w:pPr>
      <w:r>
        <w:rPr>
          <w:sz w:val="28"/>
          <w:szCs w:val="28"/>
        </w:rPr>
      </w:r>
    </w:p>
    <w:p>
      <w:pPr>
        <w:pStyle w:val="Normal"/>
        <w:widowControl/>
        <w:jc w:val="both"/>
        <w:rPr>
          <w:sz w:val="28"/>
          <w:szCs w:val="28"/>
        </w:rPr>
      </w:pPr>
      <w:r>
        <w:rPr>
          <w:sz w:val="28"/>
          <w:szCs w:val="28"/>
        </w:rPr>
        <w:t xml:space="preserve">This instrument is binding upon and inures to the benefit of all successors and assigns.  </w:t>
      </w:r>
    </w:p>
    <w:p>
      <w:pPr>
        <w:pStyle w:val="Normal"/>
        <w:widowControl/>
        <w:jc w:val="both"/>
        <w:rPr>
          <w:sz w:val="28"/>
          <w:szCs w:val="28"/>
        </w:rPr>
      </w:pPr>
      <w:r>
        <w:rPr>
          <w:sz w:val="28"/>
          <w:szCs w:val="28"/>
        </w:rPr>
      </w:r>
    </w:p>
    <w:p>
      <w:pPr>
        <w:pStyle w:val="Normal"/>
        <w:widowControl/>
        <w:jc w:val="both"/>
        <w:rPr/>
      </w:pPr>
      <w:r>
        <w:rPr>
          <w:b/>
          <w:bCs/>
          <w:sz w:val="28"/>
          <w:szCs w:val="28"/>
        </w:rPr>
        <w:t>Executed</w:t>
      </w:r>
      <w:r>
        <w:rPr>
          <w:sz w:val="28"/>
          <w:szCs w:val="28"/>
        </w:rPr>
        <w:t xml:space="preserve"> as of the date appearing in the acknowledgment hereinbelow. </w:t>
      </w:r>
    </w:p>
    <w:p>
      <w:pPr>
        <w:pStyle w:val="Normal"/>
        <w:widowControl/>
        <w:jc w:val="both"/>
        <w:rPr>
          <w:sz w:val="28"/>
          <w:szCs w:val="28"/>
        </w:rPr>
      </w:pPr>
      <w:r>
        <w:rPr>
          <w:sz w:val="28"/>
          <w:szCs w:val="28"/>
        </w:rPr>
      </w:r>
    </w:p>
    <w:p>
      <w:pPr>
        <w:pStyle w:val="Normal"/>
        <w:widowControl/>
        <w:rPr>
          <w:sz w:val="16"/>
          <w:szCs w:val="16"/>
        </w:rPr>
      </w:pPr>
      <w:r>
        <w:rPr>
          <w:sz w:val="16"/>
          <w:szCs w:val="16"/>
        </w:rPr>
      </w:r>
    </w:p>
    <w:p>
      <w:pPr>
        <w:pStyle w:val="Normal"/>
        <w:widowControl/>
        <w:rPr>
          <w:sz w:val="16"/>
          <w:szCs w:val="16"/>
        </w:rPr>
      </w:pPr>
      <w:r>
        <w:rPr>
          <w:sz w:val="16"/>
          <w:szCs w:val="16"/>
        </w:rPr>
      </w:r>
    </w:p>
    <w:p>
      <w:pPr>
        <w:pStyle w:val="Normal"/>
        <w:widowControl/>
        <w:rPr>
          <w:sz w:val="16"/>
          <w:szCs w:val="16"/>
        </w:rPr>
      </w:pPr>
      <w:r>
        <w:rPr>
          <w:sz w:val="16"/>
          <w:szCs w:val="16"/>
        </w:rPr>
      </w:r>
    </w:p>
    <w:p>
      <w:pPr>
        <w:pStyle w:val="Normal"/>
        <w:widowControl/>
        <w:rPr>
          <w:sz w:val="16"/>
          <w:szCs w:val="16"/>
        </w:rPr>
      </w:pPr>
      <w:r>
        <w:rPr>
          <w:sz w:val="16"/>
          <w:szCs w:val="16"/>
        </w:rPr>
      </w:r>
    </w:p>
    <w:p>
      <w:pPr>
        <w:pStyle w:val="Normal"/>
        <w:widowControl/>
        <w:rPr>
          <w:sz w:val="16"/>
          <w:szCs w:val="16"/>
        </w:rPr>
      </w:pPr>
      <w:r>
        <w:rPr>
          <w:sz w:val="16"/>
          <w:szCs w:val="16"/>
        </w:rPr>
      </w:r>
    </w:p>
    <w:p>
      <w:pPr>
        <w:pStyle w:val="Normal"/>
        <w:widowControl/>
        <w:rPr>
          <w:sz w:val="16"/>
          <w:szCs w:val="16"/>
        </w:rPr>
      </w:pPr>
      <w:r>
        <w:rPr>
          <w:sz w:val="16"/>
          <w:szCs w:val="16"/>
        </w:rPr>
        <w:t xml:space="preserve">Form agreement mortgage subordination </w:t>
      </w:r>
    </w:p>
    <w:p>
      <w:pPr>
        <w:pStyle w:val="Normal"/>
        <w:widowControl/>
        <w:rPr>
          <w:sz w:val="16"/>
          <w:szCs w:val="16"/>
        </w:rPr>
      </w:pPr>
      <w:r>
        <w:rPr>
          <w:sz w:val="16"/>
          <w:szCs w:val="16"/>
        </w:rPr>
      </w:r>
    </w:p>
    <w:p>
      <w:pPr>
        <w:pStyle w:val="Normal"/>
        <w:widowControl/>
        <w:rPr>
          <w:sz w:val="16"/>
          <w:szCs w:val="16"/>
        </w:rPr>
      </w:pPr>
      <w:r>
        <w:rPr>
          <w:sz w:val="16"/>
          <w:szCs w:val="16"/>
        </w:rPr>
      </w:r>
    </w:p>
    <w:p>
      <w:pPr>
        <w:pStyle w:val="Normal"/>
        <w:widowControl/>
        <w:rPr>
          <w:sz w:val="16"/>
          <w:szCs w:val="16"/>
        </w:rPr>
      </w:pPr>
      <w:r>
        <w:rPr>
          <w:sz w:val="16"/>
          <w:szCs w:val="16"/>
        </w:rPr>
      </w:r>
    </w:p>
    <w:p>
      <w:pPr>
        <w:pStyle w:val="Normal"/>
        <w:widowControl/>
        <w:rPr>
          <w:sz w:val="16"/>
          <w:szCs w:val="16"/>
        </w:rPr>
      </w:pPr>
      <w:r>
        <w:rPr>
          <w:sz w:val="16"/>
          <w:szCs w:val="16"/>
        </w:rPr>
      </w:r>
    </w:p>
    <w:p>
      <w:pPr>
        <w:pStyle w:val="Normal"/>
        <w:widowControl/>
        <w:rPr>
          <w:sz w:val="16"/>
          <w:szCs w:val="16"/>
        </w:rPr>
      </w:pPr>
      <w:r>
        <w:rPr>
          <w:sz w:val="16"/>
          <w:szCs w:val="16"/>
        </w:rPr>
      </w:r>
    </w:p>
    <w:p>
      <w:pPr>
        <w:pStyle w:val="Normal"/>
        <w:widowControl/>
        <w:rPr>
          <w:sz w:val="16"/>
          <w:szCs w:val="16"/>
        </w:rPr>
      </w:pPr>
      <w:r>
        <w:rPr>
          <w:sz w:val="16"/>
          <w:szCs w:val="16"/>
        </w:rPr>
      </w:r>
    </w:p>
    <w:p>
      <w:pPr>
        <w:pStyle w:val="Normal"/>
        <w:widowControl/>
        <w:rPr>
          <w:sz w:val="16"/>
          <w:szCs w:val="16"/>
        </w:rPr>
      </w:pPr>
      <w:r>
        <w:rPr>
          <w:sz w:val="16"/>
          <w:szCs w:val="16"/>
        </w:rPr>
      </w:r>
    </w:p>
    <w:p>
      <w:pPr>
        <w:pStyle w:val="Normal"/>
        <w:widowControl/>
        <w:rPr>
          <w:sz w:val="16"/>
          <w:szCs w:val="16"/>
        </w:rPr>
      </w:pPr>
      <w:r>
        <w:rPr>
          <w:sz w:val="16"/>
          <w:szCs w:val="16"/>
        </w:rPr>
      </w:r>
    </w:p>
    <w:p>
      <w:pPr>
        <w:pStyle w:val="Normal"/>
        <w:widowControl/>
        <w:rPr>
          <w:sz w:val="16"/>
          <w:szCs w:val="16"/>
        </w:rPr>
      </w:pPr>
      <w:bookmarkStart w:id="0" w:name="EADocNum"/>
      <w:r>
        <w:rPr>
          <w:sz w:val="16"/>
          <w:szCs w:val="16"/>
        </w:rPr>
        <w:fldChar w:fldCharType="begin"/>
      </w:r>
      <w:r>
        <w:rPr>
          <w:sz w:val="16"/>
          <w:szCs w:val="16"/>
        </w:rPr>
        <w:instrText xml:space="preserve"> FILENAME </w:instrText>
      </w:r>
      <w:r>
        <w:rPr>
          <w:sz w:val="16"/>
          <w:szCs w:val="16"/>
        </w:rPr>
        <w:fldChar w:fldCharType="separate"/>
      </w:r>
      <w:r>
        <w:rPr>
          <w:sz w:val="16"/>
          <w:szCs w:val="16"/>
        </w:rPr>
        <w:t>263155_1.doc</w:t>
      </w:r>
      <w:r>
        <w:rPr>
          <w:sz w:val="16"/>
          <w:szCs w:val="16"/>
        </w:rPr>
        <w:fldChar w:fldCharType="end"/>
      </w:r>
      <w:bookmarkEnd w:id="0"/>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2000-02-28T16:46:00Z</dcterms:created>
  <dc:creator>Doug Garrett</dc:creator>
  <dc:description/>
  <dc:language>en-CA</dc:language>
  <cp:lastModifiedBy>T_BUFFINGTON</cp:lastModifiedBy>
  <cp:lastPrinted>2000-02-28T12:16:00Z</cp:lastPrinted>
  <dcterms:modified xsi:type="dcterms:W3CDTF">2000-02-28T16:47:00Z</dcterms:modified>
  <cp:revision>3</cp:revision>
  <dc:subject/>
  <dc:title>SUBORDINATION OF PRIORITY </dc:title>
</cp:coreProperties>
</file>