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ASSIGNMENT AGREEMENT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THIS ASSIGNMENT AGREEMENT dated as of September 29, 2000 (this Agreement) is executed by and between Enron Corp., an Oregon corporation (</w:t>
      </w:r>
      <w:r>
        <w:rPr>
          <w:rFonts w:cs="WP TypographicSymbols" w:ascii="WP TypographicSymbols" w:hAnsi="WP TypographicSymbols"/>
        </w:rPr>
        <w:t>A</w:t>
      </w:r>
      <w:r>
        <w:rPr/>
        <w:t>Enron</w:t>
      </w:r>
      <w:r>
        <w:rPr>
          <w:rFonts w:cs="WP TypographicSymbols" w:ascii="WP TypographicSymbols" w:hAnsi="WP TypographicSymbols"/>
        </w:rPr>
        <w:t>@</w:t>
      </w:r>
      <w:r>
        <w:rPr/>
        <w:t>) and Danno III, L.L.C., a Delaware limited liability company (</w:t>
      </w:r>
      <w:r>
        <w:rPr>
          <w:rFonts w:cs="WP TypographicSymbols" w:ascii="WP TypographicSymbols" w:hAnsi="WP TypographicSymbols"/>
        </w:rPr>
        <w:t>A</w:t>
      </w:r>
      <w:r>
        <w:rPr/>
        <w:t>Danno III</w:t>
      </w:r>
      <w:r>
        <w:rPr>
          <w:rFonts w:cs="WP TypographicSymbols" w:ascii="WP TypographicSymbols" w:hAnsi="WP TypographicSymbols"/>
        </w:rPr>
        <w:t>@</w:t>
      </w:r>
      <w:r>
        <w:rPr/>
        <w:t>).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R E C I T A L S</w:t>
      </w:r>
      <w:r>
        <w:rPr>
          <w:b/>
        </w:rPr>
        <w:t>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A.</w:t>
        <w:tab/>
        <w:t xml:space="preserve">Enron has entered into that certain Swap Agreement between Enron and Enron Energy Services LLC (the </w:t>
      </w:r>
      <w:r>
        <w:rPr>
          <w:rFonts w:cs="WP TypographicSymbols" w:ascii="WP TypographicSymbols" w:hAnsi="WP TypographicSymbols"/>
        </w:rPr>
        <w:t>A</w:t>
      </w:r>
      <w:r>
        <w:rPr/>
        <w:t>Enron/EES Swap</w:t>
      </w:r>
      <w:r>
        <w:rPr>
          <w:rFonts w:cs="WP TypographicSymbols" w:ascii="WP TypographicSymbols" w:hAnsi="WP TypographicSymbols"/>
        </w:rPr>
        <w:t>@</w:t>
      </w:r>
      <w:r>
        <w:rPr/>
        <w:t>) dated September 22, 2000.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B.</w:t>
        <w:tab/>
        <w:t>Pursuant to Section 3.2 of the Enron/EES Swap, Enron may, in its sole discretion, assign its rights to receive payments under the Enron/EES Swap.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C.</w:t>
        <w:tab/>
        <w:t xml:space="preserve">It is now the intention of the parties hereto that Enron will assign its rights to receive payments under the Enron/EES Swap (the </w:t>
      </w:r>
      <w:r>
        <w:rPr>
          <w:rFonts w:cs="WP TypographicSymbols" w:ascii="WP TypographicSymbols" w:hAnsi="WP TypographicSymbols"/>
        </w:rPr>
        <w:t>A</w:t>
      </w:r>
      <w:r>
        <w:rPr/>
        <w:t>Swap Interest</w:t>
      </w:r>
      <w:r>
        <w:rPr>
          <w:rFonts w:cs="WP TypographicSymbols" w:ascii="WP TypographicSymbols" w:hAnsi="WP TypographicSymbols"/>
        </w:rPr>
        <w:t>@</w:t>
      </w:r>
      <w:r>
        <w:rPr/>
        <w:t>) to Danno III in connection with a monetization of such proceeds pursuant to the terms of this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A G R E E M E N T S</w:t>
      </w:r>
      <w:r>
        <w:rPr>
          <w:b/>
        </w:rPr>
        <w:t>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For good and valuable consideration, receipt of which is hereby acknowledged, Enron and Danno III hereby agree as follows: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ARTICLE I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>
          <w:b/>
        </w:rPr>
        <w:tab/>
      </w:r>
      <w:r>
        <w:rPr>
          <w:b/>
          <w:u w:val="single"/>
        </w:rPr>
        <w:t>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Section 1.01</w:t>
        <w:tab/>
      </w:r>
      <w:r>
        <w:rPr>
          <w:u w:val="single"/>
        </w:rPr>
        <w:t>Conveyance</w:t>
      </w:r>
      <w:r>
        <w:rPr/>
        <w:t>.  Enron does hereby assign, set-over, transfer and otherwise convey the Swap Interest in the Company to Danno III.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Section 1.02</w:t>
        <w:tab/>
      </w:r>
      <w:r>
        <w:rPr>
          <w:u w:val="single"/>
        </w:rPr>
        <w:t>Acceptance</w:t>
      </w:r>
      <w:r>
        <w:rPr/>
        <w:t>.  Danno III does hereby accept assignment of the Swap Interest conveyed hereby.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ARTICLE II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>
          <w:b/>
        </w:rPr>
        <w:tab/>
      </w:r>
      <w:r>
        <w:rPr>
          <w:b/>
          <w:u w:val="single"/>
        </w:rPr>
        <w:t>LAW</w:t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gutter="0" w:header="1440" w:top="1496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firstLine="720" w:end="0"/>
        <w:jc w:val="both"/>
        <w:rPr/>
      </w:pPr>
      <w:r>
        <w:rPr/>
        <w:t>Section 3.01</w:t>
        <w:tab/>
        <w:t>THIS AGREEMENT SHALL BE GOVERNED BY AND INTERPRETED IN ACCORDANCE WITH THE LAWS OF THE STATE OF TEXAS.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parties have caused this Agreement to be duly executed as of the date set forth above.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>
          <w:b/>
        </w:rPr>
      </w:pPr>
      <w:r>
        <w:rPr>
          <w:b/>
        </w:rPr>
        <w:t>ENRON CORP.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1440" w:top="1496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>
          <w:b/>
        </w:rPr>
      </w:pPr>
      <w:r>
        <w:rPr>
          <w:b/>
        </w:rPr>
        <w:t>DANNO III, L.L.C.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r>
        <w:rPr/>
        <w:t>By:</w:t>
        <w:tab/>
        <w:t>Enron Corp.,</w:t>
      </w:r>
    </w:p>
    <w:p>
      <w:pPr>
        <w:pStyle w:val="Normal"/>
        <w:widowControl/>
        <w:ind w:firstLine="5040" w:end="0"/>
        <w:jc w:val="both"/>
        <w:rPr/>
      </w:pPr>
      <w:r>
        <w:rPr/>
        <w:t>its managing member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04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04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04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2240" w:h="15840"/>
      <w:pgMar w:left="1440" w:right="1440" w:gutter="0" w:header="1440" w:top="1496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DAL:258256.1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C)/Assignment Agreement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C)/Assignment Agreement - Signature Page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360" w:leader="none"/>
      </w:tabs>
      <w:jc w:val="both"/>
      <w:rPr>
        <w:sz w:val="16"/>
      </w:rPr>
    </w:pPr>
    <w:r>
      <w:rPr>
        <w:sz w:val="16"/>
      </w:rPr>
      <w:tab/>
    </w:r>
  </w:p>
  <w:p>
    <w:pPr>
      <w:pStyle w:val="Normal"/>
      <w:spacing w:lineRule="exact" w:line="240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360" w:leader="none"/>
      </w:tabs>
      <w:jc w:val="both"/>
      <w:rPr>
        <w:sz w:val="16"/>
      </w:rPr>
    </w:pPr>
    <w:r>
      <w:rPr>
        <w:sz w:val="16"/>
      </w:rPr>
      <w:tab/>
    </w:r>
  </w:p>
  <w:p>
    <w:pPr>
      <w:pStyle w:val="Normal"/>
      <w:spacing w:lineRule="exact" w:line="240"/>
      <w:rPr>
        <w:sz w:val="16"/>
      </w:rPr>
    </w:pPr>
    <w:r>
      <w:rPr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360" w:leader="none"/>
      </w:tabs>
      <w:jc w:val="both"/>
      <w:rPr>
        <w:sz w:val="16"/>
      </w:rPr>
    </w:pPr>
    <w:r>
      <w:rPr>
        <w:sz w:val="16"/>
      </w:rPr>
      <w:tab/>
    </w:r>
  </w:p>
  <w:p>
    <w:pPr>
      <w:pStyle w:val="Normal"/>
      <w:spacing w:lineRule="exact" w:line="240"/>
      <w:rPr>
        <w:sz w:val="16"/>
      </w:rPr>
    </w:pPr>
    <w:r>
      <w:rPr>
        <w:sz w:val="16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2000-09-15T17:11:00Z</dcterms:created>
  <dc:creator>A&amp;K</dc:creator>
  <dc:description/>
  <dc:language>en-CA</dc:language>
  <cp:lastModifiedBy>A&amp;K</cp:lastModifiedBy>
  <dcterms:modified xsi:type="dcterms:W3CDTF">2000-09-15T17:11:00Z</dcterms:modified>
  <cp:revision>2</cp:revision>
  <dc:subject/>
  <dc:title/>
</cp:coreProperties>
</file>