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b/>
        </w:rPr>
        <w:tab/>
        <w:t>HAWAII 125</w:t>
        <w:noBreakHyphen/>
        <w:t xml:space="preserve">0, SERIES </w:t>
      </w:r>
      <w:ins w:id="0" w:author="Unknown Author" w:date="0-00-00T00:00:00Z">
        <w:r>
          <w:rPr>
            <w:b/>
            <w:strike/>
          </w:rPr>
          <w:t>DANNO C</w:t>
        </w:r>
      </w:ins>
      <w:r>
        <w:rPr>
          <w:b/>
        </w:rPr>
        <w:t xml:space="preserve"> </w:t>
      </w:r>
      <w:ins w:id="1" w:author="Unknown Author" w:date="0-00-00T00:00:00Z">
        <w:r>
          <w:rPr>
            <w:b/>
            <w:u w:val="double"/>
          </w:rPr>
          <w:t>MCGARRET D</w:t>
        </w:r>
      </w:ins>
      <w:r>
        <w:rPr>
          <w:b/>
        </w:rPr>
        <w:t xml:space="preserve"> CERTIFICATE</w:t>
      </w:r>
    </w:p>
    <w:p>
      <w:pPr>
        <w:pStyle w:val="Normal"/>
        <w:widowControl/>
        <w:jc w:val="both"/>
        <w:rPr/>
      </w:pPr>
      <w:r>
        <w:rPr/>
      </w:r>
    </w:p>
    <w:p>
      <w:pPr>
        <w:pStyle w:val="Normal"/>
        <w:widowControl/>
        <w:jc w:val="both"/>
        <w:rPr>
          <w:b/>
        </w:rPr>
      </w:pPr>
      <w:r>
        <w:rPr>
          <w:b/>
        </w:rPr>
        <w:t>THIS SERIES CERTIFICATE IS SUBORDINATED IN RIGHT OF PAYMENT IN ALL RESPECTS TO THE NOTES REFERRED TO WITHIN.  THIS SERIES CERTIFICATE IS SUBJECT TO RESTRICTIONS ON TRANSFER AS FOLLOWS:</w:t>
      </w:r>
    </w:p>
    <w:p>
      <w:pPr>
        <w:pStyle w:val="Normal"/>
        <w:widowControl/>
        <w:jc w:val="both"/>
        <w:rPr/>
      </w:pPr>
      <w:r>
        <w:rPr/>
      </w:r>
    </w:p>
    <w:p>
      <w:pPr>
        <w:pStyle w:val="Normal"/>
        <w:widowControl/>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pStyle w:val="Normal"/>
        <w:widowControl/>
        <w:ind w:firstLine="720" w:end="0"/>
        <w:jc w:val="both"/>
        <w:rPr/>
      </w:pPr>
      <w:r>
        <w:rPr/>
        <w:t>BY ITS ACCEPTANCE, DIRECTLY OR THROUGH A NOMINEE, OF THIS SERIES CERTIFICATE, THE PURCHASER WILL BE DEEMED (A) TO HAVE REPRESENTED TO THE OWNER TRUSTEE (AS DEFINED IN THE AMENDED AND RESTATED TRUST AGREEMENT BY AND BETWEEN WILMINGTON TRUST COMPANY, AS OWNER TRUSTEE AND THE HOLDERS OF CERTIFICATES FROM TIME TO TIME THEREUNDER, DATED AS OF MAY 31, 2000 (HAWAII 125</w:t>
        <w:noBreakHyphen/>
        <w:t xml:space="preserve">0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u w:val="single"/>
        </w:rPr>
        <w:t>CERTIFICATE DISTRIBUTOR</w:t>
      </w:r>
      <w:r>
        <w:rPr>
          <w:rFonts w:cs="WP TypographicSymbols" w:ascii="WP TypographicSymbols" w:hAnsi="WP TypographicSymbols"/>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125</w:t>
        <w:noBreakHyphen/>
        <w:t>0 TRUST, OR (ii) TO AN ACCREDITED INVESTOR IN A TRANSACTION WHICH MEETS THE REQUIREMENTS OF SECTION 4(2) OF THE SECURITIES ACT; PROVIDED THAT THE AGREEMENT OF THE PURCHASER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pPr>
      <w:r>
        <w:rPr/>
        <w:tab/>
        <w:t>HAWAII 125</w:t>
        <w:noBreakHyphen/>
        <w:t>0 TRUST</w:t>
      </w:r>
    </w:p>
    <w:p>
      <w:pPr>
        <w:pStyle w:val="Normal"/>
        <w:widowControl/>
        <w:jc w:val="both"/>
        <w:rPr/>
      </w:pPr>
      <w:r>
        <w:rPr/>
      </w:r>
    </w:p>
    <w:p>
      <w:pPr>
        <w:pStyle w:val="Normal"/>
        <w:widowControl/>
        <w:tabs>
          <w:tab w:val="clear" w:pos="720"/>
          <w:tab w:val="center" w:pos="4680" w:leader="none"/>
        </w:tabs>
        <w:jc w:val="both"/>
        <w:rPr/>
      </w:pPr>
      <w:r>
        <w:rPr/>
        <w:tab/>
        <w:t>SERIES CERTIFICATE OF BENEFICIAL OWNERSHIP</w:t>
      </w:r>
    </w:p>
    <w:p>
      <w:pPr>
        <w:pStyle w:val="Normal"/>
        <w:widowControl/>
        <w:jc w:val="both"/>
        <w:rPr/>
      </w:pPr>
      <w:r>
        <w:rPr/>
      </w:r>
    </w:p>
    <w:p>
      <w:pPr>
        <w:pStyle w:val="Normal"/>
        <w:widowControl/>
        <w:jc w:val="both"/>
        <w:rPr/>
      </w:pPr>
      <w:r>
        <w:rPr/>
        <w:t xml:space="preserve">evidencing a fractional undivided interest in the Series, as defined below, the property of which includes, a Class B Membership Interest (the </w:t>
      </w:r>
      <w:r>
        <w:rPr>
          <w:rFonts w:cs="WP TypographicSymbols" w:ascii="WP TypographicSymbols" w:hAnsi="WP TypographicSymbols"/>
        </w:rPr>
        <w:t>A</w:t>
      </w:r>
      <w:r>
        <w:rPr/>
        <w:t>Class B Interest</w:t>
      </w:r>
      <w:r>
        <w:rPr>
          <w:rFonts w:cs="WP TypographicSymbols" w:ascii="WP TypographicSymbols" w:hAnsi="WP TypographicSymbols"/>
        </w:rPr>
        <w:t>@</w:t>
      </w:r>
      <w:r>
        <w:rPr/>
        <w:t xml:space="preserve">) in </w:t>
      </w:r>
      <w:ins w:id="2" w:author="Unknown Author" w:date="0-00-00T00:00:00Z">
        <w:r>
          <w:rPr>
            <w:strike/>
          </w:rPr>
          <w:t>Danno III</w:t>
        </w:r>
      </w:ins>
      <w:r>
        <w:rPr/>
        <w:t xml:space="preserve"> </w:t>
      </w:r>
      <w:ins w:id="3" w:author="Unknown Author" w:date="0-00-00T00:00:00Z">
        <w:r>
          <w:rPr>
            <w:b/>
            <w:u w:val="double"/>
          </w:rPr>
          <w:t>McGarret IV</w:t>
        </w:r>
      </w:ins>
      <w:r>
        <w:rPr/>
        <w:t xml:space="preserve">, L.L.C., a limited liability company formed under the laws of the State of Delaware, representing 99.99% of the economic but none of the voting interest in such entity, and rights under a Sale and Auction Agreement, dated as of </w:t>
      </w:r>
      <w:ins w:id="4" w:author="Unknown Author" w:date="0-00-00T00:00:00Z">
        <w:r>
          <w:rPr>
            <w:strike/>
          </w:rPr>
          <w:t>September</w:t>
        </w:r>
      </w:ins>
      <w:r>
        <w:rPr/>
        <w:t xml:space="preserve"> </w:t>
      </w:r>
      <w:ins w:id="5" w:author="Unknown Author" w:date="0-00-00T00:00:00Z">
        <w:r>
          <w:rPr>
            <w:b/>
            <w:u w:val="double"/>
          </w:rPr>
          <w:t>June</w:t>
        </w:r>
      </w:ins>
      <w:r>
        <w:rPr/>
        <w:t xml:space="preserve"> 29, 2000 (the </w:t>
      </w:r>
      <w:r>
        <w:rPr>
          <w:rFonts w:cs="WP TypographicSymbols" w:ascii="WP TypographicSymbols" w:hAnsi="WP TypographicSymbols"/>
        </w:rPr>
        <w:t>A</w:t>
      </w:r>
      <w:r>
        <w:rPr/>
        <w:t>Sale and Auction Agreement</w:t>
      </w:r>
      <w:r>
        <w:rPr>
          <w:rFonts w:cs="WP TypographicSymbols" w:ascii="WP TypographicSymbols" w:hAnsi="WP TypographicSymbols"/>
        </w:rPr>
        <w:t>@</w:t>
      </w:r>
      <w:r>
        <w:rPr/>
        <w:t>), by and among the Hawaii 125</w:t>
        <w:noBreakHyphen/>
        <w:t xml:space="preserve">0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w:t>
      </w:r>
      <w:ins w:id="6" w:author="Unknown Author" w:date="0-00-00T00:00:00Z">
        <w:r>
          <w:rPr>
            <w:strike/>
          </w:rPr>
          <w:t xml:space="preserve">Maui III, L.L.C. (the </w:t>
        </w:r>
      </w:ins>
      <w:ins w:id="7" w:author="Unknown Author" w:date="0-00-00T00:00:00Z">
        <w:r>
          <w:rPr>
            <w:rFonts w:cs="WP TypographicSymbols" w:ascii="WP TypographicSymbols" w:hAnsi="WP TypographicSymbols"/>
            <w:strike/>
          </w:rPr>
          <w:t>A</w:t>
        </w:r>
      </w:ins>
      <w:ins w:id="8" w:author="Unknown Author" w:date="0-00-00T00:00:00Z">
        <w:r>
          <w:rPr>
            <w:strike/>
          </w:rPr>
          <w:t>Transferor</w:t>
        </w:r>
      </w:ins>
      <w:ins w:id="9" w:author="Unknown Author" w:date="0-00-00T00:00:00Z">
        <w:r>
          <w:rPr>
            <w:rFonts w:cs="WP TypographicSymbols" w:ascii="WP TypographicSymbols" w:hAnsi="WP TypographicSymbols"/>
            <w:strike/>
          </w:rPr>
          <w:t>@</w:t>
        </w:r>
      </w:ins>
      <w:ins w:id="10" w:author="Unknown Author" w:date="0-00-00T00:00:00Z">
        <w:r>
          <w:rPr>
            <w:strike/>
          </w:rPr>
          <w:t xml:space="preserve">) and Enron Corp. (the </w:t>
        </w:r>
      </w:ins>
      <w:ins w:id="11" w:author="Unknown Author" w:date="0-00-00T00:00:00Z">
        <w:r>
          <w:rPr>
            <w:rFonts w:cs="WP TypographicSymbols" w:ascii="WP TypographicSymbols" w:hAnsi="WP TypographicSymbols"/>
            <w:strike/>
          </w:rPr>
          <w:t>A</w:t>
        </w:r>
      </w:ins>
      <w:ins w:id="12" w:author="Unknown Author" w:date="0-00-00T00:00:00Z">
        <w:r>
          <w:rPr>
            <w:strike/>
          </w:rPr>
          <w:t>Sponsor</w:t>
        </w:r>
      </w:ins>
      <w:ins w:id="13" w:author="Unknown Author" w:date="0-00-00T00:00:00Z">
        <w:r>
          <w:rPr>
            <w:rFonts w:cs="WP TypographicSymbols" w:ascii="WP TypographicSymbols" w:hAnsi="WP TypographicSymbols"/>
            <w:strike/>
          </w:rPr>
          <w:t>@</w:t>
        </w:r>
      </w:ins>
      <w:ins w:id="14" w:author="Unknown Author" w:date="0-00-00T00:00:00Z">
        <w:r>
          <w:rPr>
            <w:strike/>
          </w:rPr>
          <w:t>)</w:t>
        </w:r>
      </w:ins>
      <w:r>
        <w:rPr/>
        <w:t xml:space="preserve"> </w:t>
      </w:r>
      <w:ins w:id="15" w:author="Unknown Author" w:date="0-00-00T00:00:00Z">
        <w:r>
          <w:rPr>
            <w:b/>
            <w:u w:val="double"/>
          </w:rPr>
          <w:t>Big Island IV, L.L.C. (f/k/a Big Island II, L.L.C.) (</w:t>
        </w:r>
      </w:ins>
      <w:ins w:id="16" w:author="Unknown Author" w:date="0-00-00T00:00:00Z">
        <w:r>
          <w:rPr>
            <w:rFonts w:cs="WP TypographicSymbols" w:ascii="WP TypographicSymbols" w:hAnsi="WP TypographicSymbols"/>
            <w:b/>
            <w:u w:val="double"/>
          </w:rPr>
          <w:t>A</w:t>
        </w:r>
      </w:ins>
      <w:ins w:id="17" w:author="Unknown Author" w:date="0-00-00T00:00:00Z">
        <w:r>
          <w:rPr>
            <w:b/>
            <w:u w:val="double"/>
          </w:rPr>
          <w:t>Big Island IV</w:t>
        </w:r>
      </w:ins>
      <w:ins w:id="18" w:author="Unknown Author" w:date="0-00-00T00:00:00Z">
        <w:r>
          <w:rPr>
            <w:rFonts w:cs="WP TypographicSymbols" w:ascii="WP TypographicSymbols" w:hAnsi="WP TypographicSymbols"/>
            <w:b/>
            <w:u w:val="double"/>
          </w:rPr>
          <w:t>@</w:t>
        </w:r>
      </w:ins>
      <w:ins w:id="19" w:author="Unknown Author" w:date="0-00-00T00:00:00Z">
        <w:r>
          <w:rPr>
            <w:b/>
            <w:u w:val="double"/>
          </w:rPr>
          <w:t xml:space="preserve">) and Enron Energy Services, LLC (the </w:t>
        </w:r>
      </w:ins>
      <w:ins w:id="20" w:author="Unknown Author" w:date="0-00-00T00:00:00Z">
        <w:r>
          <w:rPr>
            <w:rFonts w:cs="WP TypographicSymbols" w:ascii="WP TypographicSymbols" w:hAnsi="WP TypographicSymbols"/>
            <w:b/>
            <w:u w:val="double"/>
          </w:rPr>
          <w:t>A</w:t>
        </w:r>
      </w:ins>
      <w:ins w:id="21" w:author="Unknown Author" w:date="0-00-00T00:00:00Z">
        <w:r>
          <w:rPr>
            <w:b/>
            <w:u w:val="double"/>
          </w:rPr>
          <w:t>Sponsor</w:t>
        </w:r>
      </w:ins>
      <w:ins w:id="22" w:author="Unknown Author" w:date="0-00-00T00:00:00Z">
        <w:r>
          <w:rPr>
            <w:rFonts w:cs="WP TypographicSymbols" w:ascii="WP TypographicSymbols" w:hAnsi="WP TypographicSymbols"/>
            <w:b/>
            <w:u w:val="double"/>
          </w:rPr>
          <w:t>@</w:t>
        </w:r>
      </w:ins>
      <w:ins w:id="23" w:author="Unknown Author" w:date="0-00-00T00:00:00Z">
        <w:r>
          <w:rPr>
            <w:b/>
            <w:u w:val="double"/>
          </w:rPr>
          <w:t>), as amended through the date hereof</w:t>
        </w:r>
      </w:ins>
      <w:r>
        <w:rPr/>
        <w:t xml:space="preserve">.  The Final Distribution Date is scheduled to occur on </w:t>
      </w:r>
      <w:ins w:id="24" w:author="Unknown Author" w:date="0-00-00T00:00:00Z">
        <w:r>
          <w:rPr>
            <w:strike/>
          </w:rPr>
          <w:t>March</w:t>
        </w:r>
      </w:ins>
      <w:r>
        <w:rPr/>
        <w:t xml:space="preserve"> </w:t>
      </w:r>
      <w:ins w:id="25" w:author="Unknown Author" w:date="0-00-00T00:00:00Z">
        <w:r>
          <w:rPr>
            <w:b/>
            <w:u w:val="double"/>
          </w:rPr>
          <w:t>June</w:t>
        </w:r>
      </w:ins>
      <w:r>
        <w:rPr/>
        <w:t xml:space="preserve"> 29, 2001</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r>
      <w:ins w:id="26" w:author="Unknown Author" w:date="0-00-00T00:00:00Z">
        <w:r>
          <w:rPr>
            <w:strike/>
          </w:rPr>
          <w:t>$_________</w:t>
        </w:r>
      </w:ins>
      <w:ins w:id="27" w:author="Unknown Author" w:date="0-00-00T00:00:00Z">
        <w:r>
          <w:rPr>
            <w:b/>
            <w:u w:val="double"/>
          </w:rPr>
          <w:t>$3,954,146</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w:t>
      </w:r>
      <w:ins w:id="28" w:author="Unknown Author" w:date="0-00-00T00:00:00Z">
        <w:r>
          <w:rPr>
            <w:strike/>
          </w:rPr>
          <w:t>_________ ______________________________ Dollars ($_______)</w:t>
        </w:r>
      </w:ins>
      <w:r>
        <w:rPr/>
        <w:t xml:space="preserve"> </w:t>
      </w:r>
      <w:ins w:id="29" w:author="Unknown Author" w:date="0-00-00T00:00:00Z">
        <w:r>
          <w:rPr>
            <w:b/>
            <w:u w:val="double"/>
          </w:rPr>
          <w:t>Three Million Nine Hundred Fifty Four Thousand One Hundred Forty</w:t>
          <w:noBreakHyphen/>
          <w:t>Six Dollars ($3,954,146)</w:t>
        </w:r>
      </w:ins>
      <w:r>
        <w:rPr/>
        <w:t xml:space="preserve"> nonassessable, fully</w:t>
        <w:noBreakHyphen/>
        <w:t xml:space="preserve">paid, fractional undivided interest in the Trust.  The Trust was created pursuant to a Trust Agreement, dated as of March 31, 2000 and is governed by an Amended and Restated Trust Agreement dated as of May 31,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each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(as hereinafter defined) from time to time, a summary of certain of the pertinent provisions of which is set forth below and a Series Supplement executed pursuant thereto, dated as of the date of this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ascribed thereto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w:t>
      </w:r>
      <w:r>
        <w:rPr>
          <w:rFonts w:cs="WP TypographicSymbols" w:ascii="WP TypographicSymbols" w:hAnsi="WP TypographicSymbols"/>
        </w:rPr>
        <w:t>A</w:t>
      </w:r>
      <w:r>
        <w:rPr/>
        <w:t>Record Date</w:t>
      </w:r>
      <w:r>
        <w:rPr>
          <w:rFonts w:cs="WP TypographicSymbols" w:ascii="WP TypographicSymbols" w:hAnsi="WP TypographicSymbols"/>
        </w:rPr>
        <w:t>@</w:t>
      </w:r>
      <w:r>
        <w:rPr/>
        <w:t>), an amount representing Certificate Yield and Certificate Principal.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the intent of the Trust and the Series Certificate Holder that, for income and franchise tax purposes, the Trust will be treated as a security device for the repayment of amounts due to the Notes and the Certificates and that each Tranche and each Series Certificate shall constitute debt of the applicable Sponsor.  The Certificate Holder, by acceptance of a Series Certificate, agrees to treat, and to take no action inconsistent with the treatment of, the Trust as a security device for the repayment of amounts due to the Notes and the Series Certificates and to treat, and to take no action inconsistent with each Tranche and each Certificate as debt of the applicable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does not represent an obligation of, or an interest in, the Owner Trustee, </w:t>
      </w:r>
      <w:ins w:id="30" w:author="Unknown Author" w:date="0-00-00T00:00:00Z">
        <w:r>
          <w:rPr>
            <w:strike/>
          </w:rPr>
          <w:t>the Transferor</w:t>
        </w:r>
      </w:ins>
      <w:r>
        <w:rPr/>
        <w:t xml:space="preserve"> </w:t>
      </w:r>
      <w:ins w:id="31" w:author="Unknown Author" w:date="0-00-00T00:00:00Z">
        <w:r>
          <w:rPr>
            <w:b/>
            <w:u w:val="double"/>
          </w:rPr>
          <w:t>Big Island IV</w:t>
        </w:r>
      </w:ins>
      <w:r>
        <w:rPr/>
        <w:t>, or any of their respective Affiliates or in the related Class B Interest or the related Sale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Sale and Auction Agreement, in each case as more specifically set forth in the Trust Agreement and such Sale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September 29,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2" w:author="Unknown Author" w:date="0-00-00T00:00:00Z">
        <w:r>
          <w:rPr>
            <w:strike/>
          </w:rPr>
          <w:t>258191.1</w:t>
        </w:r>
      </w:ins>
      <w:r>
        <w:rPr/>
        <w:t xml:space="preserve"> </w:t>
      </w:r>
      <w:ins w:id="33" w:author="Unknown Author" w:date="0-00-00T00:00:00Z">
        <w:r>
          <w:rPr>
            <w:b/>
            <w:u w:val="double"/>
          </w:rPr>
          <w:t>258191.2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34" w:author="Unknown Author" w:date="0-00-00T00:00:00Z">
        <w:r>
          <w:rPr>
            <w:strike/>
          </w:rPr>
          <w:t>(Danno C)/Series</w:t>
        </w:r>
      </w:ins>
      <w:ins w:id="35" w:author="Unknown Author" w:date="0-00-00T00:00:00Z">
        <w:r>
          <w:rPr>
            <w:b/>
            <w:u w:val="double"/>
          </w:rPr>
          <w:t>(McGarret D)/Series</w:t>
        </w:r>
      </w:ins>
      <w:r>
        <w:rPr/>
        <w:t xml:space="preserve"> Certificate of Beneficial Ownership </w:t>
        <w:noBreakHyphen/>
        <w:t xml:space="preserve"> Signature Page</w:t>
      </w:r>
    </w:p>
    <w:p>
      <w:pPr>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C:\WINDOWS\TEMP\DAL_258191_1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C:\WINDOWS\TEMP\DAL_258191.2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8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DAL:258191.2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DAL:258191.2</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(McGarret D)/Series Certificate of Beneficial Ownership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DAL:258191.2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DAL:258191.2</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2000-09-25T20:39:00Z</dcterms:created>
  <dc:creator>A&amp;K</dc:creator>
  <dc:description/>
  <dc:language>en-CA</dc:language>
  <cp:lastModifiedBy>A&amp;K</cp:lastModifiedBy>
  <dcterms:modified xsi:type="dcterms:W3CDTF">2000-09-25T20:39:00Z</dcterms:modified>
  <cp:revision>2</cp:revision>
  <dc:subject/>
  <dc:title/>
</cp:coreProperties>
</file>