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</w:t>
        <w:tab/>
      </w:r>
      <w:r>
        <w:rPr>
          <w:b/>
          <w:sz w:val="18"/>
        </w:rPr>
        <w:t>9/14/00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SERIES DANNO C CLOSING CHECKLIST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ind w:firstLine="720" w:end="0"/>
        <w:jc w:val="both"/>
        <w:rPr/>
      </w:pPr>
      <w:r>
        <w:rPr/>
        <w:t>Sponsor</w:t>
        <w:tab/>
        <w:tab/>
        <w:tab/>
        <w:t>Enron Corp.</w:t>
      </w:r>
    </w:p>
    <w:p>
      <w:pPr>
        <w:pStyle w:val="Normal"/>
        <w:ind w:firstLine="720" w:end="0"/>
        <w:jc w:val="both"/>
        <w:rPr/>
      </w:pPr>
      <w:r>
        <w:rPr/>
        <w:t>Independent Manager</w:t>
        <w:tab/>
        <w:tab/>
        <w:t>Vincent Buckley</w:t>
      </w:r>
    </w:p>
    <w:p>
      <w:pPr>
        <w:pStyle w:val="Normal"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ind w:firstLine="720" w:end="0"/>
        <w:jc w:val="both"/>
        <w:rPr/>
      </w:pPr>
      <w:r>
        <w:rPr/>
        <w:t>Trust</w:t>
        <w:tab/>
        <w:tab/>
        <w:tab/>
        <w:tab/>
        <w:t>Hawaii 125-0 Trust</w:t>
      </w:r>
    </w:p>
    <w:p>
      <w:pPr>
        <w:pStyle w:val="Normal"/>
        <w:ind w:firstLine="720" w:end="0"/>
        <w:jc w:val="both"/>
        <w:rPr/>
      </w:pPr>
      <w:r>
        <w:rPr/>
        <w:t>Asset LLC</w:t>
        <w:tab/>
        <w:tab/>
        <w:tab/>
        <w:t>Danno III, L.L.C.</w:t>
      </w:r>
    </w:p>
    <w:p>
      <w:pPr>
        <w:pStyle w:val="Normal"/>
        <w:ind w:firstLine="720" w:end="0"/>
        <w:jc w:val="both"/>
        <w:rPr/>
      </w:pPr>
      <w:r>
        <w:rPr/>
        <w:t>Transferor</w:t>
        <w:tab/>
        <w:tab/>
        <w:tab/>
        <w:t>Maui III, L.L.C.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  <w:t>CIBC Inc., First Union National Bank, Bayerische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 xml:space="preserve">Landesbank, Paribas and SANPAOLO IMI S.p.A., Banco 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Bilbao Vizcaya Argentaria, National Australia Bank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Limited, National Westminster Bank Plc (Greenwich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NatWest), The Sumitomo Bank, Limited, Credit Agricole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Indosuez, Wachovia Bank NA, Bankers Trust Company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(Deutsche Bank), Chase Bank of Texas N.A. and ABN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AMRO Bank N.V.</w:t>
      </w:r>
    </w:p>
    <w:p>
      <w:pPr>
        <w:pStyle w:val="Normal"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125-0 TRUST</w:t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10"/>
        <w:gridCol w:w="6570"/>
        <w:gridCol w:w="2412"/>
      </w:tblGrid>
      <w:tr>
        <w:trPr>
          <w:tblHeader w:val="true"/>
          <w:trHeight w:val="468" w:hRule="exact"/>
        </w:trPr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Asset Notice, Asset Summary and Acknowledgment (DAL:258187)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Enron, CIBC,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Series Certificate issued to CIBC Inc. (DAL:258191)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Series Supplement creating Series Danno C Certificate (DAL:258196)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CIBC Inc., 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 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Drawdown Request (DAL:258198)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Total Return Swap Confirmation (DAL:258201)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(WTC), 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Put Option Agreement (DAL:258202)</w:t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 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Put Option Assignment (DAL:258215)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Asset LLC (Sponsor),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Notice of Put Option Assignment (DAL:258218)</w:t>
            </w:r>
          </w:p>
          <w:p>
            <w:pPr>
              <w:pStyle w:val="Normal"/>
              <w:spacing w:before="0" w:after="58"/>
              <w:ind w:start="720" w:end="0"/>
              <w:rPr/>
            </w:pPr>
            <w:r>
              <w:rPr/>
              <w:t>Attachment - Put Option 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(WTC), Sponsor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Promissory Note from Transferor to Asset LLC(DAL:258221)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Transferor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 Interest Assignment Agreement (DAL:258233)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Transferor (Sponsor), Trust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Assignment Agreement (DAL:258256)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Sponsor, 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 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Amended and Restated Limited Liability Company Agreement of Danno III, L.L.C. (DAL:258239)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Members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B - Form of B Interest Assignment Agreement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C - Form of Promissory Note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Sponsor, Trust(WTC), Transferor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Amended and Restated Limited Liability Company Agreement of Maui III, L.L.C. (DAL:258260)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A - Member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 Independent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Manager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Receipt of Asset LLC(DAL:258267)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 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Receipt of Transferor (DAL:258268)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Transferor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Receipt of Trust (DAL:258270)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Independent Auctioneer Letter Agreement (DAL:258302)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CIBC, 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Sale and Auction Agreement (DAL:258307)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 - Communications to Parties</w:t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II - Form of Assignment and Assumption</w:t>
            </w:r>
          </w:p>
          <w:p>
            <w:pPr>
              <w:pStyle w:val="Normal"/>
              <w:spacing w:before="0" w:after="58"/>
              <w:ind w:firstLine="2160" w:end="0"/>
              <w:rPr/>
            </w:pPr>
            <w:r>
              <w:rPr/>
              <w:t>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 Trust,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Transferor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Direction Letter to Owner Trustee (DAL:258312)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58"/>
              <w:ind w:hanging="720" w:start="720" w:end="0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ind w:hanging="720" w:start="720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Formation of Asset LLC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Asset LLC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Formation of Transferor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Transferor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Enron issued by the Secretary of State of Oregon and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Certificate of Secretary of Enron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A - Articles of Incorporation</w:t>
            </w:r>
          </w:p>
          <w:p>
            <w:pPr>
              <w:pStyle w:val="Normal"/>
              <w:keepNext w:val="true"/>
              <w:keepLines/>
              <w:spacing w:before="0" w:after="58"/>
              <w:ind w:firstLine="720" w:end="0"/>
              <w:rPr/>
            </w:pPr>
            <w:r>
              <w:rPr/>
              <w:t>Exhibit B - Bylaws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before="0" w:after="58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HAWAII 125-0 TRUST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A - Incumbency Certificate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B - Certificate of Incorporation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C - Bylaws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D - Board Resolutions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E - Board Resolutions</w:t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before="0" w:after="58"/>
              <w:rPr/>
            </w:pPr>
            <w:r>
              <w:rPr>
                <w:b/>
              </w:rPr>
              <w:t>V.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Opinion of Prickett, Jones, Elliott &amp; Kristol, as special Delaware counsel to Asset LLC and Transferor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Senior Vice President and General Counsel of Enron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General Counsel of Sponsor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 - List of Addressees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II - List of Transaction Documents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Richards, Layton &amp; Finger, as counsel to WTC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Richards, Layton &amp; Finger, as counsel to the Trust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Andrews &amp; Kurth, L.L.P., as special counsel to Enron, Sponsor, Asset LLC and Transferor (General)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008" w:bottom="10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DAL:258185.1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2000-09-15T17:20:00Z</dcterms:created>
  <dc:creator>A&amp;K</dc:creator>
  <dc:description/>
  <dc:language>en-CA</dc:language>
  <cp:lastModifiedBy>A&amp;K</cp:lastModifiedBy>
  <dcterms:modified xsi:type="dcterms:W3CDTF">2000-09-15T17:20:00Z</dcterms:modified>
  <cp:revision>2</cp:revision>
  <dc:subject/>
  <dc:title/>
</cp:coreProperties>
</file>