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pPr>
      <w:r>
        <w:rPr>
          <w:b/>
          <w:sz w:val="24"/>
        </w:rPr>
        <w:t>Date:</w:t>
        <w:tab/>
      </w:r>
      <w:r>
        <w:rPr>
          <w:sz w:val="24"/>
        </w:rPr>
        <w:tab/>
        <w:t>24 July 2000</w:t>
      </w:r>
    </w:p>
    <w:p>
      <w:pPr>
        <w:pStyle w:val="Normal"/>
        <w:rPr/>
      </w:pPr>
      <w:r>
        <w:rPr>
          <w:b/>
          <w:sz w:val="24"/>
        </w:rPr>
        <w:t>To:</w:t>
        <w:tab/>
        <w:tab/>
      </w:r>
      <w:r>
        <w:rPr>
          <w:sz w:val="24"/>
        </w:rPr>
        <w:t>Distribution</w:t>
      </w:r>
    </w:p>
    <w:p>
      <w:pPr>
        <w:pStyle w:val="Normal"/>
        <w:rPr/>
      </w:pPr>
      <w:r>
        <w:rPr>
          <w:b/>
          <w:sz w:val="24"/>
        </w:rPr>
        <w:t>From:</w:t>
        <w:tab/>
      </w:r>
      <w:r>
        <w:rPr>
          <w:sz w:val="24"/>
        </w:rPr>
        <w:tab/>
        <w:t>Government and Regulatory Affairs - Enron Europe</w:t>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Heading1"/>
        <w:ind w:hanging="0" w:start="0"/>
        <w:jc w:val="both"/>
        <w:rPr>
          <w:rFonts w:ascii="Times New Roman" w:hAnsi="Times New Roman" w:cs="Times New Roman"/>
          <w:sz w:val="24"/>
        </w:rPr>
      </w:pPr>
      <w:r>
        <w:rPr>
          <w:rFonts w:cs="Times New Roman" w:ascii="Times New Roman" w:hAnsi="Times New Roman"/>
          <w:sz w:val="24"/>
        </w:rPr>
        <w:t>UK ENERGY</w:t>
      </w:r>
    </w:p>
    <w:p>
      <w:pPr>
        <w:pStyle w:val="Normal"/>
        <w:rPr>
          <w:rFonts w:ascii="Times New Roman" w:hAnsi="Times New Roman" w:cs="Times New Roman"/>
          <w:sz w:val="24"/>
        </w:rPr>
      </w:pPr>
      <w:r>
        <w:rPr>
          <w:rFonts w:cs="Times New Roman"/>
          <w:sz w:val="24"/>
        </w:rPr>
      </w:r>
    </w:p>
    <w:p>
      <w:pPr>
        <w:pStyle w:val="Normal"/>
        <w:numPr>
          <w:ilvl w:val="0"/>
          <w:numId w:val="7"/>
        </w:numPr>
        <w:spacing w:lineRule="atLeast" w:line="240"/>
        <w:jc w:val="both"/>
        <w:rPr>
          <w:color w:val="000000"/>
          <w:sz w:val="24"/>
          <w:lang w:val="en-AU" w:eastAsia="en-US"/>
        </w:rPr>
      </w:pPr>
      <w:r>
        <w:rPr>
          <w:color w:val="000000"/>
          <w:sz w:val="24"/>
          <w:lang w:val="en-AU" w:eastAsia="en-US"/>
        </w:rPr>
        <w:t>We are undertaking a variety of tasks related to NETA implementation as the Go-Active date (14 August) approaches.</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7"/>
        </w:numPr>
        <w:spacing w:lineRule="atLeast" w:line="240"/>
        <w:jc w:val="both"/>
        <w:rPr>
          <w:color w:val="000000"/>
          <w:sz w:val="24"/>
          <w:lang w:val="en-AU" w:eastAsia="en-US"/>
        </w:rPr>
      </w:pPr>
      <w:r>
        <w:rPr>
          <w:color w:val="000000"/>
          <w:sz w:val="24"/>
          <w:lang w:val="en-AU" w:eastAsia="en-US"/>
        </w:rPr>
        <w:t>We submitted follow up comments to the DTI on the coal subsidy scheme on 19 July.</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7"/>
        </w:numPr>
        <w:jc w:val="both"/>
        <w:rPr>
          <w:sz w:val="24"/>
        </w:rPr>
      </w:pPr>
      <w:r>
        <w:rPr>
          <w:color w:val="000000"/>
          <w:sz w:val="24"/>
          <w:lang w:val="en-AU" w:eastAsia="en-US"/>
        </w:rPr>
        <w:t>We are preparing further comments to the Competition Commission on the market abuse condition.</w:t>
      </w:r>
    </w:p>
    <w:p>
      <w:pPr>
        <w:pStyle w:val="Normal"/>
        <w:jc w:val="both"/>
        <w:rPr>
          <w:sz w:val="24"/>
        </w:rPr>
      </w:pPr>
      <w:r>
        <w:rPr>
          <w:sz w:val="24"/>
        </w:rPr>
      </w:r>
    </w:p>
    <w:p>
      <w:pPr>
        <w:pStyle w:val="Normal"/>
        <w:numPr>
          <w:ilvl w:val="0"/>
          <w:numId w:val="6"/>
        </w:numPr>
        <w:spacing w:lineRule="atLeast" w:line="240"/>
        <w:jc w:val="both"/>
        <w:rPr>
          <w:color w:val="000000"/>
          <w:sz w:val="24"/>
          <w:lang w:val="en-AU" w:eastAsia="en-US"/>
        </w:rPr>
      </w:pPr>
      <w:r>
        <w:rPr>
          <w:color w:val="000000"/>
          <w:sz w:val="24"/>
          <w:lang w:val="en-AU" w:eastAsia="en-US"/>
        </w:rPr>
        <w:t>Ofgem has issued its review of the new gas trading arrangements.  Ofgem's initial view is that recent rises in gas prices are related to market fundamentals.  They do express a general concern with the "energy" regime, in particular Transco's behavior in the balancing market and the potential manipulation of gas flows by market participants.  Ofgem  have found no evidence of market manipulation though believes that more detailed study is required before conclusions can be drawn.</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6"/>
        </w:numPr>
        <w:spacing w:lineRule="atLeast" w:line="240"/>
        <w:jc w:val="both"/>
        <w:rPr>
          <w:color w:val="000000"/>
          <w:sz w:val="24"/>
          <w:lang w:val="en-AU" w:eastAsia="en-US"/>
        </w:rPr>
      </w:pPr>
      <w:r>
        <w:rPr>
          <w:color w:val="000000"/>
          <w:sz w:val="24"/>
          <w:lang w:val="en-AU" w:eastAsia="en-US"/>
        </w:rPr>
        <w:t>Ofgem have indicated they have approved Transco modification proposals to amend the entry capacity auction regime for October 2000.  The auctions (for Oct-Mar capacity) will commence mid-August. We are awaiting official notification of implementation.</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6"/>
        </w:numPr>
        <w:spacing w:lineRule="atLeast" w:line="240"/>
        <w:jc w:val="both"/>
        <w:rPr>
          <w:color w:val="000000"/>
          <w:sz w:val="24"/>
          <w:lang w:val="en-AU" w:eastAsia="en-US"/>
        </w:rPr>
      </w:pPr>
      <w:r>
        <w:rPr>
          <w:color w:val="000000"/>
          <w:sz w:val="24"/>
          <w:lang w:val="en-AU" w:eastAsia="en-US"/>
        </w:rPr>
        <w:t>Ofgem have decided not to veto Transco's pricing proposals for Oct 2000.  The final proposals are substantially unchanged from the initial proposals.</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6"/>
        </w:numPr>
        <w:spacing w:lineRule="atLeast" w:line="240"/>
        <w:jc w:val="both"/>
        <w:rPr>
          <w:color w:val="000000"/>
          <w:sz w:val="24"/>
          <w:lang w:val="en-AU" w:eastAsia="en-US"/>
        </w:rPr>
      </w:pPr>
      <w:r>
        <w:rPr>
          <w:color w:val="000000"/>
          <w:sz w:val="24"/>
          <w:lang w:val="en-AU" w:eastAsia="en-US"/>
        </w:rPr>
        <w:t>Ofgem are to conduct  a review of the exit capacity/interruptions regime.  Initial publication is scheduled for September.</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6"/>
        </w:numPr>
        <w:spacing w:lineRule="atLeast" w:line="240"/>
        <w:jc w:val="both"/>
        <w:rPr>
          <w:color w:val="000000"/>
          <w:sz w:val="24"/>
          <w:lang w:val="en-AU" w:eastAsia="en-US"/>
        </w:rPr>
      </w:pPr>
      <w:r>
        <w:rPr>
          <w:color w:val="000000"/>
          <w:sz w:val="24"/>
          <w:lang w:val="en-AU" w:eastAsia="en-US"/>
        </w:rPr>
        <w:t xml:space="preserve">The Gas (Third Party Access and Accounts) Regulations 2000 have been issued and subject to no amendment by Parliament will come into effect on 10 August.  The regulations complete the implementation of the EU gas directive primarily with regard to third party access to upstream and downstream pipelines and ancillary facilities such as gas processing terminals and gas storage facilities.  </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6"/>
        </w:numPr>
        <w:spacing w:lineRule="atLeast" w:line="240"/>
        <w:jc w:val="both"/>
        <w:rPr>
          <w:color w:val="000000"/>
          <w:sz w:val="24"/>
          <w:lang w:val="en-AU" w:eastAsia="en-US"/>
        </w:rPr>
      </w:pPr>
      <w:r>
        <w:rPr>
          <w:color w:val="000000"/>
          <w:sz w:val="24"/>
          <w:lang w:val="en-AU" w:eastAsia="en-US"/>
        </w:rPr>
        <w:t>We are applying for a Domestic Gas Supplier's License for Enron Direct.</w:t>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t>France</w:t>
      </w:r>
    </w:p>
    <w:p>
      <w:pPr>
        <w:pStyle w:val="Heading2"/>
        <w:numPr>
          <w:ilvl w:val="0"/>
          <w:numId w:val="3"/>
        </w:numPr>
        <w:jc w:val="both"/>
        <w:rPr/>
      </w:pPr>
      <w:r>
        <w:rPr/>
        <w:t xml:space="preserve">On 24 July 2000 we met with Patrice Caine, special adviser to the Energy  Minister. </w:t>
      </w:r>
    </w:p>
    <w:p>
      <w:pPr>
        <w:pStyle w:val="Normal"/>
        <w:spacing w:lineRule="atLeast" w:line="240"/>
        <w:jc w:val="both"/>
        <w:rPr>
          <w:b/>
          <w:color w:val="000000"/>
          <w:sz w:val="24"/>
          <w:lang w:val="en-AU" w:eastAsia="en-US"/>
        </w:rPr>
      </w:pPr>
      <w:r>
        <w:rPr>
          <w:b/>
          <w:color w:val="000000"/>
          <w:sz w:val="24"/>
          <w:lang w:val="en-AU" w:eastAsia="en-US"/>
        </w:rPr>
      </w:r>
    </w:p>
    <w:p>
      <w:pPr>
        <w:pStyle w:val="Heading4"/>
        <w:ind w:hanging="0" w:start="0"/>
        <w:rPr/>
      </w:pPr>
      <w:r>
        <w:rPr/>
        <w:t>EU</w:t>
      </w:r>
    </w:p>
    <w:p>
      <w:pPr>
        <w:pStyle w:val="Normal"/>
        <w:tabs>
          <w:tab w:val="clear" w:pos="720"/>
          <w:tab w:val="left" w:pos="0" w:leader="none"/>
        </w:tabs>
        <w:jc w:val="both"/>
        <w:rPr>
          <w:sz w:val="24"/>
        </w:rPr>
      </w:pPr>
      <w:r>
        <w:rPr>
          <w:sz w:val="24"/>
        </w:rPr>
      </w:r>
    </w:p>
    <w:p>
      <w:pPr>
        <w:pStyle w:val="Normal"/>
        <w:numPr>
          <w:ilvl w:val="0"/>
          <w:numId w:val="2"/>
        </w:numPr>
        <w:jc w:val="both"/>
        <w:rPr>
          <w:sz w:val="24"/>
        </w:rPr>
      </w:pPr>
      <w:r>
        <w:rPr>
          <w:sz w:val="24"/>
        </w:rPr>
        <w:t xml:space="preserve">On July 20 we sent a letter with our objections to an export-related cross-border power transmission tariff to Mr. Dominique Ristori at DG TREN (copied to a number of people in the Commission). In this letter we argued that: a) such a tariff would inhibit trade between Member States; b) it will result in discrimination among market participants; c) the amount of the tariff currently proposed (2 euros per MWh) is not cost-reflective. After having been advised by Michael Albers, we decided not to address it to A. Tradacete at DG Competition, as originally intended. He explained that they would not be able to act on this letter given the absence of instances of discrimination and trade inhibition as of now. </w:t>
      </w:r>
    </w:p>
    <w:p>
      <w:pPr>
        <w:pStyle w:val="Normal"/>
        <w:tabs>
          <w:tab w:val="clear" w:pos="720"/>
          <w:tab w:val="left" w:pos="0" w:leader="none"/>
        </w:tabs>
        <w:jc w:val="both"/>
        <w:rPr>
          <w:sz w:val="24"/>
        </w:rPr>
      </w:pPr>
      <w:r>
        <w:rPr>
          <w:sz w:val="24"/>
        </w:rPr>
      </w:r>
    </w:p>
    <w:p>
      <w:pPr>
        <w:pStyle w:val="Normal"/>
        <w:numPr>
          <w:ilvl w:val="0"/>
          <w:numId w:val="2"/>
        </w:numPr>
        <w:jc w:val="both"/>
        <w:rPr>
          <w:sz w:val="24"/>
        </w:rPr>
      </w:pPr>
      <w:r>
        <w:rPr>
          <w:sz w:val="24"/>
        </w:rPr>
        <w:t xml:space="preserve">We arranged for a meeting with Michael Albers for July 25 to discuss our concerns with the interconnectors at the Dutch borders, and in particular legitimacy of the Sep’s long-term commodity contracts which the Commission is investigating now, and moreover, the issues of capacity reservation at the borders. </w:t>
      </w:r>
    </w:p>
    <w:p>
      <w:pPr>
        <w:pStyle w:val="Normal"/>
        <w:spacing w:lineRule="atLeast" w:line="240"/>
        <w:jc w:val="both"/>
        <w:rPr>
          <w:b/>
          <w:color w:val="000000"/>
          <w:sz w:val="24"/>
          <w:lang w:val="en-AU" w:eastAsia="en-US"/>
        </w:rPr>
      </w:pPr>
      <w:r>
        <w:rPr>
          <w:b/>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t>Germany</w:t>
      </w:r>
    </w:p>
    <w:p>
      <w:pPr>
        <w:pStyle w:val="Normal"/>
        <w:spacing w:lineRule="atLeast" w:line="240"/>
        <w:jc w:val="both"/>
        <w:rPr>
          <w:b/>
          <w:color w:val="000000"/>
          <w:sz w:val="24"/>
          <w:lang w:val="en-AU" w:eastAsia="en-US"/>
        </w:rPr>
      </w:pPr>
      <w:r>
        <w:rPr>
          <w:b/>
          <w:color w:val="000000"/>
          <w:sz w:val="24"/>
          <w:lang w:val="en-AU" w:eastAsia="en-US"/>
        </w:rPr>
      </w:r>
    </w:p>
    <w:p>
      <w:pPr>
        <w:pStyle w:val="Normal"/>
        <w:numPr>
          <w:ilvl w:val="0"/>
          <w:numId w:val="4"/>
        </w:numPr>
        <w:spacing w:lineRule="atLeast" w:line="240"/>
        <w:rPr>
          <w:color w:val="000000"/>
          <w:sz w:val="24"/>
          <w:lang w:val="en-AU" w:eastAsia="en-US"/>
        </w:rPr>
      </w:pPr>
      <w:r>
        <w:rPr>
          <w:color w:val="000000"/>
          <w:sz w:val="24"/>
          <w:lang w:val="en-AU" w:eastAsia="en-US"/>
        </w:rPr>
        <w:t>Working with German team on issue of cross-border power charges. We are being invoiced already for these and yet their assessment may not be legal given EU investigations underway.</w:t>
      </w:r>
    </w:p>
    <w:p>
      <w:pPr>
        <w:pStyle w:val="Normal"/>
        <w:spacing w:lineRule="atLeast" w:line="240"/>
        <w:rPr>
          <w:color w:val="000000"/>
          <w:sz w:val="24"/>
          <w:lang w:val="en-AU" w:eastAsia="en-US"/>
        </w:rPr>
      </w:pPr>
      <w:r>
        <w:rPr>
          <w:color w:val="000000"/>
          <w:sz w:val="24"/>
          <w:lang w:val="en-AU" w:eastAsia="en-US"/>
        </w:rPr>
      </w:r>
    </w:p>
    <w:p>
      <w:pPr>
        <w:pStyle w:val="Normal"/>
        <w:numPr>
          <w:ilvl w:val="0"/>
          <w:numId w:val="4"/>
        </w:numPr>
        <w:spacing w:lineRule="atLeast" w:line="240"/>
        <w:rPr>
          <w:color w:val="000000"/>
          <w:sz w:val="24"/>
          <w:lang w:val="en-AU" w:eastAsia="en-US"/>
        </w:rPr>
      </w:pPr>
      <w:r>
        <w:rPr>
          <w:color w:val="000000"/>
          <w:sz w:val="24"/>
          <w:lang w:val="en-AU" w:eastAsia="en-US"/>
        </w:rPr>
        <w:t xml:space="preserve">Two news laws - power and gas - approved by both houses of the Austrian parliament. In process of reviewing laws and providing summaries to team. Both laws will accelerate the opening of the markets and provide for increased transparency in network access. </w:t>
      </w:r>
    </w:p>
    <w:p>
      <w:pPr>
        <w:pStyle w:val="Normal"/>
        <w:spacing w:lineRule="atLeast" w:line="240"/>
        <w:rPr>
          <w:color w:val="000000"/>
          <w:sz w:val="24"/>
          <w:lang w:val="en-AU" w:eastAsia="en-US"/>
        </w:rPr>
      </w:pPr>
      <w:r>
        <w:rPr>
          <w:color w:val="000000"/>
          <w:sz w:val="24"/>
          <w:lang w:val="en-AU" w:eastAsia="en-US"/>
        </w:rPr>
      </w:r>
    </w:p>
    <w:p>
      <w:pPr>
        <w:pStyle w:val="Normal"/>
        <w:spacing w:lineRule="atLeast" w:line="240"/>
        <w:jc w:val="both"/>
        <w:rPr>
          <w:b/>
          <w:color w:val="000000"/>
          <w:sz w:val="24"/>
          <w:lang w:val="en-AU" w:eastAsia="en-US"/>
        </w:rPr>
      </w:pPr>
      <w:r>
        <w:rPr>
          <w:b/>
          <w:color w:val="000000"/>
          <w:sz w:val="24"/>
          <w:lang w:val="en-AU" w:eastAsia="en-US"/>
        </w:rPr>
      </w:r>
    </w:p>
    <w:p>
      <w:pPr>
        <w:pStyle w:val="Heading4"/>
        <w:ind w:hanging="0" w:start="0"/>
        <w:rPr/>
      </w:pPr>
      <w:r>
        <w:rPr/>
        <w:t>Poland</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5"/>
        </w:numPr>
        <w:spacing w:lineRule="atLeast" w:line="240"/>
        <w:jc w:val="both"/>
        <w:rPr>
          <w:color w:val="000000"/>
          <w:sz w:val="24"/>
          <w:lang w:val="en-AU" w:eastAsia="en-US"/>
        </w:rPr>
      </w:pPr>
      <w:r>
        <w:rPr>
          <w:color w:val="000000"/>
          <w:sz w:val="24"/>
          <w:lang w:val="en-AU" w:eastAsia="en-US"/>
        </w:rPr>
        <w:t>We submitted comments to PSE on the draft interconnection ordinance on 19 July.  The comments included proposed amendments to (a) give traders their own right to sign transmission agreements (b) to require network companies to act in a pro-competitive manner and not to discriminate between system users, or classes of system users.</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5"/>
        </w:numPr>
        <w:spacing w:lineRule="atLeast" w:line="240"/>
        <w:jc w:val="both"/>
        <w:rPr>
          <w:color w:val="000000"/>
          <w:sz w:val="24"/>
          <w:lang w:val="en-AU" w:eastAsia="en-US"/>
        </w:rPr>
      </w:pPr>
      <w:r>
        <w:rPr>
          <w:color w:val="000000"/>
          <w:sz w:val="24"/>
          <w:lang w:val="en-AU" w:eastAsia="en-US"/>
        </w:rPr>
        <w:t>We submitted comments on the draft renewables ordinance to the Ministry of Economy through FREE on 21 July.</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5"/>
        </w:numPr>
        <w:spacing w:lineRule="atLeast" w:line="240"/>
        <w:jc w:val="both"/>
        <w:rPr>
          <w:color w:val="000000"/>
          <w:sz w:val="24"/>
          <w:lang w:val="en-AU" w:eastAsia="en-US"/>
        </w:rPr>
      </w:pPr>
      <w:r>
        <w:rPr>
          <w:color w:val="000000"/>
          <w:sz w:val="24"/>
          <w:lang w:val="en-AU" w:eastAsia="en-US"/>
        </w:rPr>
        <w:t>The regulator, URE, has published criteria that it will use in considering when it will lift tariff approval requirements on generation and trading companies.  While press reports suggests that for some players the requirement could be lifted in early 2001, the published criteria do not discuss dates.  The criteria constitute a long list of things that could be wrong with the market structure and which, in URE's terms, may therefore be grounds for continuing with the current approval rules.  In other words, URE is making sure it retains in full its discretion and control over this issue.</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5"/>
        </w:numPr>
        <w:spacing w:lineRule="atLeast" w:line="240"/>
        <w:jc w:val="both"/>
        <w:rPr>
          <w:color w:val="000000"/>
          <w:sz w:val="24"/>
          <w:lang w:val="en-AU" w:eastAsia="en-US"/>
        </w:rPr>
      </w:pPr>
      <w:r>
        <w:rPr>
          <w:color w:val="000000"/>
          <w:sz w:val="24"/>
          <w:lang w:val="en-AU" w:eastAsia="en-US"/>
        </w:rPr>
        <w:t>Gielda Energii responded on 19 July to FREE's letter of 6 July concerning the obstacles faced by traders in participating at Gielda.  Since FREE's letter was sent, the Gielda's Standard Terms have been amended to delete the transmission agreement requirement, presumably in response to FREE raising this issue.</w:t>
      </w:r>
    </w:p>
    <w:p>
      <w:pPr>
        <w:pStyle w:val="Normal"/>
        <w:spacing w:lineRule="atLeast" w:line="240"/>
        <w:jc w:val="both"/>
        <w:rPr>
          <w:color w:val="000000"/>
          <w:sz w:val="24"/>
          <w:lang w:val="en-AU" w:eastAsia="en-US"/>
        </w:rPr>
      </w:pPr>
      <w:r>
        <w:rPr>
          <w:color w:val="000000"/>
          <w:sz w:val="24"/>
          <w:lang w:val="en-AU" w:eastAsia="en-US"/>
        </w:rPr>
      </w:r>
    </w:p>
    <w:p>
      <w:pPr>
        <w:pStyle w:val="Normal"/>
        <w:numPr>
          <w:ilvl w:val="0"/>
          <w:numId w:val="5"/>
        </w:numPr>
        <w:spacing w:lineRule="atLeast" w:line="240"/>
        <w:jc w:val="both"/>
        <w:rPr>
          <w:b/>
          <w:color w:val="000000"/>
          <w:sz w:val="24"/>
          <w:lang w:val="en-AU" w:eastAsia="en-US"/>
        </w:rPr>
      </w:pPr>
      <w:r>
        <w:rPr>
          <w:color w:val="000000"/>
          <w:sz w:val="24"/>
          <w:lang w:val="en-AU" w:eastAsia="en-US"/>
        </w:rPr>
        <w:t>The registration of FREE as a foundation in Poland has been rejected by the Regional Registration Court (apparently for legal and political reasons).  PreussenElektra, on behalf of FREE, will lead renewed efforts to make a successful registration and will take over the Presidency of the Management Board of FREE in the meantime.</w:t>
      </w:r>
    </w:p>
    <w:p>
      <w:pPr>
        <w:pStyle w:val="Normal"/>
        <w:spacing w:lineRule="atLeast" w:line="240"/>
        <w:jc w:val="both"/>
        <w:rPr>
          <w:b/>
          <w:color w:val="000000"/>
          <w:sz w:val="24"/>
          <w:lang w:val="en-AU" w:eastAsia="en-US"/>
        </w:rPr>
      </w:pPr>
      <w:r>
        <w:rPr>
          <w:b/>
          <w:color w:val="000000"/>
          <w:sz w:val="24"/>
          <w:lang w:val="en-AU" w:eastAsia="en-US"/>
        </w:rPr>
      </w:r>
      <w:r>
        <w:br w:type="page"/>
      </w:r>
    </w:p>
    <w:p>
      <w:pPr>
        <w:pStyle w:val="Normal"/>
        <w:spacing w:lineRule="atLeast" w:line="240"/>
        <w:jc w:val="both"/>
        <w:rPr/>
      </w:pPr>
      <w:r>
        <w:rPr/>
        <w:t>Distribution</w:t>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Stuart Foulkes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eastAsia="en-US"/>
              </w:rPr>
            </w:pPr>
            <w:r>
              <w:rPr>
                <w:color w:val="000000"/>
                <w:sz w:val="24"/>
                <w:lang w:val="en-AU" w:eastAsia="en-US"/>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eastAsia="en-US"/>
              </w:rPr>
            </w:pPr>
            <w:r>
              <w:rPr>
                <w:color w:val="000000"/>
                <w:sz w:val="24"/>
                <w:lang w:val="en-AU" w:eastAsia="en-US"/>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eastAsia="en-US"/>
              </w:rPr>
            </w:pPr>
            <w:r>
              <w:rPr>
                <w:color w:val="000000"/>
                <w:sz w:val="24"/>
                <w:lang w:val="en-AU" w:eastAsia="en-US"/>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eastAsia="en-US"/>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eastAsia="en-US"/>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eastAsia="en-US"/>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eastAsia="en-US"/>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Times New Roman" w:hAnsi="Times New Roman" w:cs="Times New Roman"/>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2000-07-27T11:16:00Z</dcterms:created>
  <dc:creator>SEvans2</dc:creator>
  <dc:description/>
  <dc:language>en-CA</dc:language>
  <cp:lastModifiedBy>bashcrof</cp:lastModifiedBy>
  <cp:lastPrinted>2000-07-27T14:43:00Z</cp:lastPrinted>
  <dcterms:modified xsi:type="dcterms:W3CDTF">2000-07-27T11:54:00Z</dcterms:modified>
  <cp:revision>4</cp:revision>
  <dc:subject/>
  <dc:title>Weekly Report </dc:title>
</cp:coreProperties>
</file>