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_rels/footer2.xml.rels" ContentType="application/vnd.openxmlformats-package.relationships+xml"/>
  <Override PartName="/word/_rels/document.xml.rels" ContentType="application/vnd.openxmlformats-package.relationships+xml"/>
  <Override PartName="/word/media/image1.png" ContentType="image/png"/>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216" w:type="dxa"/>
        <w:jc w:val="start"/>
        <w:tblInd w:w="0" w:type="dxa"/>
        <w:tblLayout w:type="fixed"/>
        <w:tblCellMar>
          <w:top w:w="0" w:type="dxa"/>
          <w:start w:w="108" w:type="dxa"/>
          <w:bottom w:w="0" w:type="dxa"/>
          <w:end w:w="108" w:type="dxa"/>
        </w:tblCellMar>
      </w:tblPr>
      <w:tblGrid>
        <w:gridCol w:w="4608"/>
        <w:gridCol w:w="4608"/>
      </w:tblGrid>
      <w:tr>
        <w:trPr>
          <w:trHeight w:val="960" w:hRule="atLeast"/>
        </w:trPr>
        <w:tc>
          <w:tcPr>
            <w:tcW w:w="4608" w:type="dxa"/>
            <w:tcBorders/>
          </w:tcPr>
          <w:p>
            <w:pPr>
              <w:pStyle w:val="LetterDate"/>
              <w:rPr/>
            </w:pPr>
            <w:r>
              <w:rPr/>
              <w:fldChar w:fldCharType="begin"/>
            </w:r>
            <w:r>
              <w:rPr/>
              <w:instrText xml:space="preserve"> DATE \@"MMMM\ d', 'yyyy" </w:instrText>
            </w:r>
            <w:r>
              <w:rPr/>
              <w:fldChar w:fldCharType="separate"/>
            </w:r>
            <w:r>
              <w:rPr/>
              <w:t>September 28, 2025</w:t>
            </w:r>
            <w:r>
              <w:rPr/>
              <w:fldChar w:fldCharType="end"/>
            </w:r>
          </w:p>
        </w:tc>
        <w:tc>
          <w:tcPr>
            <w:tcW w:w="4608" w:type="dxa"/>
            <w:tcBorders/>
          </w:tcPr>
          <w:p>
            <w:pPr>
              <w:pStyle w:val="Normal"/>
              <w:spacing w:lineRule="exact" w:line="220"/>
              <w:jc w:val="end"/>
              <w:rPr>
                <w:sz w:val="20"/>
              </w:rPr>
            </w:pPr>
            <w:r>
              <w:rPr>
                <w:sz w:val="20"/>
              </w:rPr>
              <w:t>Kerry E. Notestine</w:t>
            </w:r>
          </w:p>
          <w:p>
            <w:pPr>
              <w:pStyle w:val="Normal"/>
              <w:spacing w:lineRule="exact" w:line="220"/>
              <w:jc w:val="end"/>
              <w:rPr>
                <w:sz w:val="20"/>
              </w:rPr>
            </w:pPr>
            <w:r>
              <w:rPr>
                <w:sz w:val="20"/>
              </w:rPr>
              <w:t>Direct: 713.652.4748</w:t>
            </w:r>
          </w:p>
          <w:p>
            <w:pPr>
              <w:pStyle w:val="Normal"/>
              <w:spacing w:lineRule="exact" w:line="220"/>
              <w:jc w:val="end"/>
              <w:rPr>
                <w:sz w:val="20"/>
              </w:rPr>
            </w:pPr>
            <w:r>
              <w:rPr>
                <w:sz w:val="20"/>
              </w:rPr>
              <w:t>Direct Fax: 713.951.9212</w:t>
            </w:r>
          </w:p>
          <w:p>
            <w:pPr>
              <w:pStyle w:val="Normal"/>
              <w:spacing w:lineRule="exact" w:line="220"/>
              <w:jc w:val="end"/>
              <w:rPr>
                <w:sz w:val="20"/>
              </w:rPr>
            </w:pPr>
            <w:r>
              <w:rPr>
                <w:sz w:val="20"/>
              </w:rPr>
              <w:t>knotestine@littler.com</w:t>
            </w:r>
          </w:p>
        </w:tc>
      </w:tr>
    </w:tbl>
    <w:p>
      <w:pPr>
        <w:pStyle w:val="Normal"/>
        <w:rPr>
          <w:b/>
          <w:i/>
          <w:i/>
        </w:rPr>
      </w:pPr>
      <w:r>
        <w:rPr>
          <w:b/>
          <w:i/>
        </w:rPr>
        <w:t>Confidential</w:t>
      </w:r>
    </w:p>
    <w:p>
      <w:pPr>
        <w:pStyle w:val="Normal"/>
        <w:rPr>
          <w:b/>
          <w:i/>
          <w:i/>
        </w:rPr>
      </w:pPr>
      <w:r>
        <w:rPr>
          <w:b/>
          <w:i/>
        </w:rPr>
        <w:t>Attorney-Client Privilege</w:t>
      </w:r>
    </w:p>
    <w:p>
      <w:pPr>
        <w:pStyle w:val="Normal"/>
        <w:rPr>
          <w:b/>
          <w:i/>
          <w:i/>
        </w:rPr>
      </w:pPr>
      <w:r>
        <w:rPr>
          <w:b/>
          <w:i/>
        </w:rPr>
        <w:t>Attorney Work Product</w:t>
      </w:r>
    </w:p>
    <w:p>
      <w:pPr>
        <w:pStyle w:val="Normal"/>
        <w:rPr>
          <w:b/>
          <w:i/>
          <w:i/>
        </w:rPr>
      </w:pPr>
      <w:r>
        <w:rPr>
          <w:b/>
          <w:i/>
        </w:rPr>
      </w:r>
    </w:p>
    <w:p>
      <w:pPr>
        <w:pStyle w:val="WW-Addressee"/>
        <w:rPr/>
      </w:pPr>
      <w:r>
        <w:rPr/>
        <w:t>Mr. John Schwartzenburg</w:t>
      </w:r>
    </w:p>
    <w:p>
      <w:pPr>
        <w:pStyle w:val="WW-Addressee"/>
        <w:rPr/>
      </w:pPr>
      <w:r>
        <w:rPr/>
        <w:t>Assistant General Counsel</w:t>
      </w:r>
    </w:p>
    <w:p>
      <w:pPr>
        <w:pStyle w:val="WW-Addressee"/>
        <w:rPr/>
      </w:pPr>
      <w:r>
        <w:rPr/>
        <w:t>Enron Engineering &amp; Construction Company</w:t>
      </w:r>
    </w:p>
    <w:p>
      <w:pPr>
        <w:pStyle w:val="Address"/>
        <w:rPr/>
      </w:pPr>
      <w:r>
        <w:rPr/>
        <w:t>333 Clay Street, Suite 780</w:t>
      </w:r>
    </w:p>
    <w:p>
      <w:pPr>
        <w:pStyle w:val="Address"/>
        <w:rPr/>
      </w:pPr>
      <w:r>
        <w:rPr/>
        <w:t>Houston, Texas 77002</w:t>
      </w:r>
    </w:p>
    <w:p>
      <w:pPr>
        <w:pStyle w:val="ReLine"/>
        <w:rPr/>
      </w:pPr>
      <w:r>
        <w:rPr/>
        <w:t>Re:</w:t>
        <w:tab/>
        <w:t xml:space="preserve">Double-Breasted Companies Operating in the Same Geographic and Project Market </w:t>
      </w:r>
    </w:p>
    <w:p>
      <w:pPr>
        <w:pStyle w:val="Salutation"/>
        <w:rPr/>
      </w:pPr>
      <w:r>
        <w:rPr/>
        <w:t>Dear John:</w:t>
      </w:r>
    </w:p>
    <w:p>
      <w:pPr>
        <w:pStyle w:val="Normal"/>
        <w:jc w:val="both"/>
        <w:rPr/>
      </w:pPr>
      <w:r>
        <w:rPr/>
        <w:t>This letter will address the effect on double-breasting status of two companies owned by they same parent company operating in the same geographic and project market.  This issue remained open after our recent discussions concerning Enron Engineering &amp; Construction Company’s (EECC) establishment of a union company (NEWCO) which would work in the same geographic and project market as National Energy Products Company (NEPCO), a non-union company and subsidiary of EECC.  We had indicated that we would provide you with this letter confirming our discussions and giving some guidance about particular problems that may arise when double-breasted companies work in close proximity.  Set forth below are general thoughts and comments on the status of the law concerning double</w:t>
        <w:noBreakHyphen/>
        <w:t>breasting, followed by particular comments pertinent to EECC’s planned creation and operation of NEWCO.  If you would like a more detailed analysis of this or related issues, please let us know.</w:t>
      </w:r>
    </w:p>
    <w:p>
      <w:pPr>
        <w:pStyle w:val="Normal"/>
        <w:jc w:val="both"/>
        <w:rPr/>
      </w:pPr>
      <w:r>
        <w:rPr/>
      </w:r>
    </w:p>
    <w:p>
      <w:pPr>
        <w:pStyle w:val="Normal"/>
        <w:jc w:val="center"/>
        <w:rPr>
          <w:b/>
          <w:smallCaps/>
        </w:rPr>
      </w:pPr>
      <w:r>
        <w:rPr>
          <w:b/>
          <w:smallCaps/>
        </w:rPr>
        <w:t>Single-Employer and Alter Ego Doctrines</w:t>
      </w:r>
    </w:p>
    <w:p>
      <w:pPr>
        <w:pStyle w:val="Normal"/>
        <w:jc w:val="both"/>
        <w:rPr>
          <w:b/>
          <w:smallCaps/>
        </w:rPr>
      </w:pPr>
      <w:r>
        <w:rPr>
          <w:b/>
          <w:smallCaps/>
        </w:rPr>
      </w:r>
    </w:p>
    <w:p>
      <w:pPr>
        <w:pStyle w:val="Normal"/>
        <w:jc w:val="both"/>
        <w:rPr/>
      </w:pPr>
      <w:r>
        <w:rPr/>
        <w:t>Generally, the National Labor Relations Board (Board) and the Courts have recognized the idiosyncratic nature of business based on bidding (originally arising in the construction industry) and have given approval to double</w:t>
        <w:noBreakHyphen/>
        <w:t>breasted operations in such businesses.  Thus, the Board and Courts have held that two employers, one union and one non</w:t>
        <w:noBreakHyphen/>
        <w:t>union, may operate under a broad umbrella of common ownership without violating the National Labor Relations Act.  However, where two employers attempt such an operation, the union or unions representing the unionized employer's employees may allege that the two companies actually are a “single employer.”  Utilizing slightly different but related arguments, a union also may argue that a non</w:t>
        <w:noBreakHyphen/>
        <w:t>union enterprise constitutes an accretion to a pre</w:t>
        <w:noBreakHyphen/>
        <w:t>existing union bargaining unit or an “alter ego” of the original employer.  All of these arguments constitute an effort by a union to extend recognition and/or the collective bargaining agreement to certain non</w:t>
        <w:noBreakHyphen/>
        <w:t>union employees without a Board election or other adequate showing of employee desire for union representation.  The Board and the Courts have not been consistent in applying and distinguishing the single-employer and alter ego doctrines, but certain general principles can be stated.</w:t>
      </w:r>
    </w:p>
    <w:p>
      <w:pPr>
        <w:pStyle w:val="Normal"/>
        <w:jc w:val="both"/>
        <w:rPr/>
      </w:pPr>
      <w:r>
        <w:rPr/>
      </w:r>
    </w:p>
    <w:p>
      <w:pPr>
        <w:pStyle w:val="Normal"/>
        <w:jc w:val="both"/>
        <w:rPr/>
      </w:pPr>
      <w:r>
        <w:rPr/>
        <w:t>When addressing the single-employer doctrine, the reviewing tribunal will determine first whether there is a single employer, and secondly, whether the two focal groups of employees, each working for a different company, constitute one "appropriate bargaining unit."</w:t>
      </w:r>
      <w:r>
        <w:rPr>
          <w:rStyle w:val="FootnoteCharacters"/>
          <w:rStyle w:val="FootnoteReference"/>
        </w:rPr>
        <w:footnoteReference w:id="2"/>
      </w:r>
      <w:r>
        <w:rPr/>
        <w:t xml:space="preserve">  While the two concepts are intertwined, two employers may constitute a single employer, and yet not constitute a single appropriate bargaining unit.  In such situations, the formerly non-union company may have to recognize the union as the legitimate representative of the employees and bargain with the union, but may not have to assume the collective bargaining agreement to which the employees of the union company are subject.  </w:t>
      </w:r>
    </w:p>
    <w:p>
      <w:pPr>
        <w:pStyle w:val="Normal"/>
        <w:jc w:val="both"/>
        <w:rPr/>
      </w:pPr>
      <w:r>
        <w:rPr/>
      </w:r>
    </w:p>
    <w:p>
      <w:pPr>
        <w:pStyle w:val="BodyText"/>
        <w:tabs>
          <w:tab w:val="clear" w:pos="720"/>
          <w:tab w:val="left" w:pos="1440" w:leader="none"/>
        </w:tabs>
        <w:rPr/>
      </w:pPr>
      <w:r>
        <w:rPr/>
        <w:t xml:space="preserve">The test for determining “single employer” status consists of four criteria:  (i) interrelation of operations; (ii) common management; (iii) centralized control of labor relations; and (iv) common ownership or financial control. </w:t>
      </w:r>
      <w:r>
        <w:rPr>
          <w:i/>
        </w:rPr>
        <w:t xml:space="preserve"> See, e.g., Radio &amp; Television Broadcast Technicians Local Union 1264 v. Broadcast Serb’s. of Mobile, Inc.,</w:t>
      </w:r>
      <w:r>
        <w:rPr/>
        <w:t xml:space="preserve"> 380 U.S. 225, 256 (1965); </w:t>
      </w:r>
      <w:r>
        <w:rPr>
          <w:i/>
        </w:rPr>
        <w:t>see also Pathology Inst., Inc.,</w:t>
      </w:r>
      <w:r>
        <w:rPr/>
        <w:t xml:space="preserve"> 320 NLRB 1050, 1053 (1996).  No single criteria is controlling, and all need not be present.  </w:t>
      </w:r>
      <w:r>
        <w:rPr>
          <w:i/>
        </w:rPr>
        <w:t>The Dow Chemical Company</w:t>
      </w:r>
      <w:r>
        <w:rPr/>
        <w:t xml:space="preserve">, 326 NLRB No. 23 (1998), slip op. at 1.  Rather, single employer status depends on all the relevant circumstances of a given case and is characterized by the absence of the “arms-length relationship found between unintegrated entities.”  </w:t>
      </w:r>
      <w:r>
        <w:rPr>
          <w:i/>
        </w:rPr>
        <w:t>Id.</w:t>
      </w:r>
      <w:r>
        <w:rPr/>
        <w:t xml:space="preserve">  The fundamental inquiry is whether there is “overall control of critical matters at the policy level.”  </w:t>
      </w:r>
      <w:r>
        <w:rPr>
          <w:i/>
        </w:rPr>
        <w:t>Viking Indus. Sec., Inc</w:t>
      </w:r>
      <w:r>
        <w:rPr/>
        <w:t xml:space="preserve">., 327 NLRB No. 43 (1998), slip op. at 1.  Though none of the criteria is controlling, the most important criteria is centralized control of labor relations and the least important is common ownership or financial control.  </w:t>
      </w:r>
      <w:r>
        <w:rPr>
          <w:i/>
        </w:rPr>
        <w:t>See e.g., Gold Coast Produce,</w:t>
      </w:r>
      <w:r>
        <w:rPr/>
        <w:t xml:space="preserve"> 319 NLRB 202, 205 (1995) (holding that common ownership or financial control alone is insufficient to establish single employer status); </w:t>
      </w:r>
      <w:r>
        <w:rPr>
          <w:i/>
        </w:rPr>
        <w:t>The Dow Chemical Company,</w:t>
      </w:r>
      <w:r>
        <w:rPr/>
        <w:t xml:space="preserve"> </w:t>
      </w:r>
      <w:r>
        <w:rPr>
          <w:i/>
        </w:rPr>
        <w:t>supra,</w:t>
      </w:r>
      <w:r>
        <w:rPr/>
        <w:t xml:space="preserve"> slip op at 2 (stating that even 100% common ownership is not controlling but “indicates only </w:t>
      </w:r>
      <w:r>
        <w:rPr>
          <w:i/>
        </w:rPr>
        <w:t>potential</w:t>
      </w:r>
      <w:r>
        <w:rPr/>
        <w:t xml:space="preserve"> control” and describing centralized control of labor relations as “critical”); </w:t>
      </w:r>
      <w:r>
        <w:rPr>
          <w:i/>
        </w:rPr>
        <w:t>Johnstown Corp.,</w:t>
      </w:r>
      <w:r>
        <w:rPr/>
        <w:t xml:space="preserve"> 313 N.L.R.B. 170, 180 (1993) (holding that the most important criterion is centralized control of labor relations and finding the absence of common management in the day-to-day operations of the two companies to preclude single employer status despite interrelation of operations and common “effective” ownership). </w:t>
      </w:r>
    </w:p>
    <w:p>
      <w:pPr>
        <w:pStyle w:val="BodyText"/>
        <w:tabs>
          <w:tab w:val="clear" w:pos="720"/>
          <w:tab w:val="left" w:pos="1440" w:leader="none"/>
        </w:tabs>
        <w:rPr/>
      </w:pPr>
      <w:r>
        <w:rPr/>
        <w:t xml:space="preserve">Even when single employer status has been found, in order for the collective bargaining agreement of one corporation to be applicable to employees of the other, the Board must find that the employees of both corporations constitute an “appropriate” bargaining unit.  </w:t>
      </w:r>
      <w:r>
        <w:rPr>
          <w:i/>
        </w:rPr>
        <w:t xml:space="preserve">South Prairie Constr. Co. v. Local No. 627, </w:t>
      </w:r>
      <w:r>
        <w:rPr/>
        <w:t xml:space="preserve">425 U.S. 800 (1976).  To determine whether the employees of two corporations constitute an “appropriate unit” for bargaining, the Board applies the “community of interest” test, which in these circumstances consists of the following criteria:  (1) prior bargaining history; (2) functional integration of operations; (3) centralized management and supervision, particularly regarding labor relations, hiring, discipline and control of day-to-day operations; (4) extent of contact and interchange among employees; (5) degree of interdependence or autonomy of facilities; (6) similarities in skills and functions of employees; and (7) geographic location of facilities in relation to each other.  </w:t>
      </w:r>
      <w:r>
        <w:rPr>
          <w:i/>
        </w:rPr>
        <w:t>See, e.g., Peter Kiewit Sons Co.,</w:t>
      </w:r>
      <w:r>
        <w:rPr/>
        <w:t xml:space="preserve"> 231 NLRB 76, 77 (1977), </w:t>
      </w:r>
      <w:r>
        <w:rPr>
          <w:i/>
        </w:rPr>
        <w:t>on remand from</w:t>
      </w:r>
      <w:r>
        <w:rPr/>
        <w:t xml:space="preserve"> </w:t>
      </w:r>
      <w:r>
        <w:rPr>
          <w:i/>
        </w:rPr>
        <w:t>South Prairie Constr. Co., supra</w:t>
      </w:r>
      <w:r>
        <w:rPr/>
        <w:t>.</w:t>
      </w:r>
    </w:p>
    <w:p>
      <w:pPr>
        <w:pStyle w:val="BodyText"/>
        <w:tabs>
          <w:tab w:val="clear" w:pos="720"/>
          <w:tab w:val="left" w:pos="1440" w:leader="none"/>
        </w:tabs>
        <w:rPr/>
      </w:pPr>
      <w:r>
        <w:rPr/>
        <w:t xml:space="preserve">In addition to the-single employer doctrine, a union may undermine an employer’s double-breasted status by asserting that a non-union company is the alter ego of a union company.  The alter ego doctrine traditionally has been applied to cases of sequential timing or where a union company ceases business and another company performs the work on a non-union basis.  </w:t>
      </w:r>
      <w:r>
        <w:rPr>
          <w:i/>
        </w:rPr>
        <w:t xml:space="preserve">Johnstown Corp., </w:t>
      </w:r>
      <w:r>
        <w:rPr/>
        <w:t xml:space="preserve">313 NLRB 170, 172-73 (1993).  Under this doctrine, the Board and Courts generally seek to determine if there is substantially identical ownership between the two entities.  Alter ego employers historically were viewed as a subset of the single-employer group, and evidence of intent-to-evade union status was essential proof that an alter ego existed.  </w:t>
      </w:r>
      <w:r>
        <w:rPr>
          <w:i/>
        </w:rPr>
        <w:t xml:space="preserve">Carpenters Local Union 1846 v. Pratt-Farnsworth, Inc., </w:t>
      </w:r>
      <w:r>
        <w:rPr/>
        <w:t>690 F.2d 489 (5</w:t>
      </w:r>
      <w:r>
        <w:rPr>
          <w:vertAlign w:val="superscript"/>
        </w:rPr>
        <w:t>th</w:t>
      </w:r>
      <w:r>
        <w:rPr/>
        <w:t xml:space="preserve"> Cir. 1982).  Recently, the Board has relaxed these traditional requirements for alter ego status and has looked at (i) whether, without fair compensation, the new employer has siphoned off work or business opportunities from the initial employer, and (ii) whether the initial employer’s bargaining unit has lost work as a result of the transaction.  </w:t>
      </w:r>
      <w:r>
        <w:rPr>
          <w:i/>
        </w:rPr>
        <w:t xml:space="preserve">Polis Wallcovering, Inc., </w:t>
      </w:r>
      <w:r>
        <w:rPr/>
        <w:t xml:space="preserve">323 NLRB No. 152 slip op. at 6, 9, and 12 (1997); </w:t>
      </w:r>
      <w:r>
        <w:rPr>
          <w:i/>
        </w:rPr>
        <w:t xml:space="preserve">Gilroy Sheet Metal, </w:t>
      </w:r>
      <w:r>
        <w:rPr/>
        <w:t>280 NLRB 1075, 1077 (1986).  If an alter ego situation exists, the non-union employer normally will be subject to the collective bargaining agreement of the union company.</w:t>
      </w:r>
    </w:p>
    <w:p>
      <w:pPr>
        <w:pStyle w:val="BodyText"/>
        <w:tabs>
          <w:tab w:val="clear" w:pos="720"/>
          <w:tab w:val="left" w:pos="1440" w:leader="none"/>
        </w:tabs>
        <w:rPr/>
      </w:pPr>
      <w:r>
        <w:rPr/>
        <w:t>You also had asked about the consequences of failing to properly establish double-breasted status.  A finding that the two companies are a single employer will require the non-union company to recognize the union as the representative of its employees in the bargaining unit.  If the Board makes the additional finding that the employees of the two companies are part of the same appropriate bargaining agreement, then the non-union company will have to apply the collective bargaining agreement applicable to the union company employees to the employees of the non-union company.  Otherwise, the non-union company would be obligated to bargain in good faith with union representing its employees.  This may or may not result in the parties agreeing to a collective bargaining agreement, but will require significant time and expense devoted to the bargaining process.  Picketing, strikes, and lockouts also are common events during the bargaining process.  A finding of alter ego status generally results in the immediate application of the collective bargaining agreement to the non-union company’s employees.  Damages typically are not significant in Board cases, but there may be situations where an employer is determined to be liable for the difference between wages and benefits paid to employees of the non-union company and what should have been paid to them had they appropriately been covered by the collective bargaining agreement.  This amount could be substantial if there are a significant number of employees involved and/or the differential in wages and benefits is considerable.  Punitive and compensatory damages are not available under the National Labor Relations Act.</w:t>
      </w:r>
    </w:p>
    <w:p>
      <w:pPr>
        <w:pStyle w:val="BodyText"/>
        <w:tabs>
          <w:tab w:val="clear" w:pos="720"/>
          <w:tab w:val="left" w:pos="1440" w:leader="none"/>
        </w:tabs>
        <w:jc w:val="center"/>
        <w:rPr>
          <w:b/>
          <w:smallCaps/>
        </w:rPr>
      </w:pPr>
      <w:r>
        <w:rPr>
          <w:b/>
          <w:smallCaps/>
        </w:rPr>
        <w:t>Same Geographic and Project Market</w:t>
      </w:r>
    </w:p>
    <w:p>
      <w:pPr>
        <w:pStyle w:val="Normal"/>
        <w:jc w:val="both"/>
        <w:rPr/>
      </w:pPr>
      <w:r>
        <w:rPr/>
        <w:t xml:space="preserve">One of the main concerns we have discussed regarding the establishment of NEWCO is that NEWCO and NEPCO would be competing in the same geographic and project market. There also may be situations where NEWCO and NEPCO actually perform work at the same job site, although perhaps not on the same project. As I stated to you previously and have mentioned in this letter, the Board and Courts consider the totality of factors in determining whether or not two companies constitute a single employer or are alter egos.  The mere fact that NEWCO and NEPCO operate in the same geographic area, or even out of the same facilities, will not be the decisive factor in determining whether or not the companies do or do not constitute a single employer.  </w:t>
      </w:r>
      <w:r>
        <w:rPr>
          <w:i/>
        </w:rPr>
        <w:t>See V&amp;S ProGalv, Inc.</w:t>
      </w:r>
      <w:r>
        <w:rPr/>
        <w:t xml:space="preserve"> 323 NLRB 801, 804-05 (1997), (finding two entities to be separate employers even though they operated in a single plant divided by a yellow line),</w:t>
      </w:r>
      <w:r>
        <w:rPr>
          <w:i/>
        </w:rPr>
        <w:t xml:space="preserve"> enforced </w:t>
      </w:r>
      <w:r>
        <w:rPr/>
        <w:t>168 F.3d 270 (6</w:t>
      </w:r>
      <w:r>
        <w:rPr>
          <w:vertAlign w:val="superscript"/>
        </w:rPr>
        <w:t>th</w:t>
      </w:r>
      <w:r>
        <w:rPr/>
        <w:t xml:space="preserve"> Cir. 1999);</w:t>
      </w:r>
      <w:r>
        <w:rPr>
          <w:i/>
        </w:rPr>
        <w:t xml:space="preserve"> Task</w:t>
      </w:r>
      <w:r>
        <w:rPr/>
        <w:t xml:space="preserve"> </w:t>
      </w:r>
      <w:r>
        <w:rPr>
          <w:i/>
        </w:rPr>
        <w:t>Force Sec. &amp; Investigations</w:t>
      </w:r>
      <w:r>
        <w:rPr/>
        <w:t>, 323 NLRB 674, 675-77 (1997) (determining that New York and New Jersey entities were single employers despite geographical separation).  We previously provided you with recommendations on maintaining the separateness of the companies.</w:t>
      </w:r>
      <w:r>
        <w:rPr>
          <w:rStyle w:val="FootnoteCharacters"/>
          <w:rStyle w:val="FootnoteReference"/>
        </w:rPr>
        <w:footnoteReference w:id="3"/>
      </w:r>
      <w:r>
        <w:rPr/>
        <w:t xml:space="preserve">  Assuming that you comply with most or all of these recommendations, NEWCO and NEPCO’s work in close geographic proximity should not undermine double-breasted status.</w:t>
      </w:r>
      <w:r>
        <w:rPr>
          <w:rStyle w:val="FootnoteCharacters"/>
          <w:rStyle w:val="FootnoteReference"/>
        </w:rPr>
        <w:footnoteReference w:id="4"/>
      </w:r>
    </w:p>
    <w:p>
      <w:pPr>
        <w:pStyle w:val="Normal"/>
        <w:jc w:val="both"/>
        <w:rPr/>
      </w:pPr>
      <w:r>
        <w:rPr/>
      </w:r>
    </w:p>
    <w:p>
      <w:pPr>
        <w:pStyle w:val="Normal"/>
        <w:jc w:val="both"/>
        <w:rPr/>
      </w:pPr>
      <w:r>
        <w:rPr/>
        <w:t xml:space="preserve">A more troublesome issue is that both companies will be operating in the same market for the same type of work.  The risk of losing double-breasted status will increase if NEPCO takes business from NEWCO.  The implication of such an event is that the parent company is operating the non-union company to siphon work from the union company. For example, in </w:t>
      </w:r>
      <w:r>
        <w:rPr>
          <w:i/>
        </w:rPr>
        <w:t>Appalachian Construction, Inc</w:t>
      </w:r>
      <w:r>
        <w:rPr/>
        <w:t xml:space="preserve">., a union employer had a contract to do maintenance work on a power station.  </w:t>
      </w:r>
      <w:r>
        <w:rPr>
          <w:i/>
        </w:rPr>
        <w:t>Appalachian Construction, Inc.</w:t>
      </w:r>
      <w:r>
        <w:rPr/>
        <w:t>, 235 NLRB No. 99 (1978).  Labor strife and costs caused the power company to cancel the contract, at which time the contractor created a non</w:t>
        <w:noBreakHyphen/>
        <w:t>union subsidiary and re-bid the job.  The Board found that this was not a legitimate example of double</w:t>
        <w:noBreakHyphen/>
        <w:t xml:space="preserve">breasting since there was clearly only a single employer and the terms and conditions of employment did not change (but for the exclusion of the union).  Similarly, in </w:t>
      </w:r>
      <w:r>
        <w:rPr>
          <w:i/>
        </w:rPr>
        <w:t>Peter Kiewit</w:t>
      </w:r>
      <w:r>
        <w:rPr/>
        <w:t>, a non</w:t>
        <w:noBreakHyphen/>
        <w:t>union corporation was formed out</w:t>
        <w:noBreakHyphen/>
        <w:t>of-</w:t>
        <w:softHyphen/>
        <w:t>state and then brought into the same state as the union company to perform non</w:t>
        <w:noBreakHyphen/>
        <w:t xml:space="preserve">union work.  The companies did similar work, although the union company performed an additional type of work that the non-union did not perform.  The Board did not find single employer status, but the court of appeals determined that the presence of “a very substantial qualitative degree of centralized control of labor relations” and interrelations of operations and management required a finding of single employer status.  </w:t>
      </w:r>
      <w:r>
        <w:rPr>
          <w:i/>
        </w:rPr>
        <w:t>South Prairie Construction Company, v. Local No. 627,</w:t>
      </w:r>
      <w:r>
        <w:rPr/>
        <w:t xml:space="preserve"> 425 U.S. 800, 802-03 (1976).  On remand from the Supreme Court, the Board found that the two companies had separate bargaining units despite being a joint employer.  </w:t>
      </w:r>
      <w:r>
        <w:rPr>
          <w:i/>
        </w:rPr>
        <w:t xml:space="preserve">Peter Kiewit Sons’ Co., </w:t>
      </w:r>
      <w:r>
        <w:rPr/>
        <w:t xml:space="preserve">231 NLRB at 78.  </w:t>
      </w:r>
      <w:r>
        <w:rPr>
          <w:i/>
        </w:rPr>
        <w:t>But see, A</w:t>
        <w:noBreakHyphen/>
        <w:t>1 Fire Protection, Inc</w:t>
      </w:r>
      <w:r>
        <w:rPr/>
        <w:t>., 250 NLRB No. 34 (1980)(where the Board found no single employer status despite some overlap in corporate structure and similar business activities because the non</w:t>
        <w:noBreakHyphen/>
        <w:t>union company succeeded to the union company's detriment only because of market forces);</w:t>
      </w:r>
      <w:r>
        <w:rPr>
          <w:i/>
        </w:rPr>
        <w:t xml:space="preserve"> Florida Marble Polishers Health and Welfare Trust Fund v. Edwin N. Green, Inc.</w:t>
      </w:r>
      <w:r>
        <w:rPr/>
        <w:t>, 653 F.2d 972 (5</w:t>
      </w:r>
      <w:r>
        <w:rPr>
          <w:vertAlign w:val="superscript"/>
        </w:rPr>
        <w:t>th</w:t>
      </w:r>
      <w:r>
        <w:rPr/>
        <w:t xml:space="preserve"> Cir. 1981), </w:t>
      </w:r>
      <w:r>
        <w:rPr>
          <w:i/>
        </w:rPr>
        <w:t>cert. denied</w:t>
      </w:r>
      <w:r>
        <w:rPr/>
        <w:t>, 456 U.S. 973 (1982) (validating a double</w:t>
        <w:noBreakHyphen/>
        <w:t>breasting situation in which the union and non</w:t>
        <w:noBreakHyphen/>
        <w:t>union operations were more completely integrated than in prior cases by focusing on the bargaining history and the fact that the non</w:t>
        <w:noBreakHyphen/>
        <w:t xml:space="preserve">union company existed before the collective bargaining agreement at issue and therefore, could not have been created to avoid the employer's legal obligations to the union employees). </w:t>
      </w:r>
    </w:p>
    <w:p>
      <w:pPr>
        <w:pStyle w:val="Normal"/>
        <w:jc w:val="both"/>
        <w:rPr/>
      </w:pPr>
      <w:r>
        <w:rPr/>
      </w:r>
    </w:p>
    <w:p>
      <w:pPr>
        <w:pStyle w:val="Normal"/>
        <w:jc w:val="center"/>
        <w:rPr>
          <w:b/>
          <w:smallCaps/>
        </w:rPr>
      </w:pPr>
      <w:r>
        <w:rPr>
          <w:b/>
          <w:smallCaps/>
        </w:rPr>
        <w:t xml:space="preserve">Application to NEPCO and NEWCO </w:t>
      </w:r>
    </w:p>
    <w:p>
      <w:pPr>
        <w:pStyle w:val="Normal"/>
        <w:jc w:val="both"/>
        <w:rPr>
          <w:b/>
          <w:smallCaps/>
        </w:rPr>
      </w:pPr>
      <w:r>
        <w:rPr>
          <w:b/>
          <w:smallCaps/>
        </w:rPr>
      </w:r>
    </w:p>
    <w:p>
      <w:pPr>
        <w:pStyle w:val="Normal"/>
        <w:jc w:val="both"/>
        <w:rPr/>
      </w:pPr>
      <w:r>
        <w:rPr/>
        <w:t>Obviously, each double</w:t>
        <w:noBreakHyphen/>
        <w:t>breasting case has turned upon the particular combination of facts present.  This complicates prediction because a factor determinative in one case may not be determinative in another.  As we discussed, these disputes typically arise when a union employer creates or purchases a non</w:t>
        <w:noBreakHyphen/>
        <w:t>union entity.  The concern of the Board and the Courts in these situations is that the employer is attempting to undermine the union by transferring work to the non-union company from the union company.  EECC’s proposed plan is the exact opposite.  EECC plans to incorporate NEWCO to bid on union work, and already has NEPCO, a non-union company.  This fact generally will decrease the risks addressed in this letter, particularly relating to the alter ego doctrine which usually requires evidence of anti-union animus.  Unfortunately, this fact alone will not prevent potential problems.  A union still may argue that NEWCO and NEPCO are alter egos or a single employer.  Accordingly, the concerns addressed in this letter still will exist, although perhaps to a lesser extent because of the somewhat unusual circumstances of this transaction.</w:t>
      </w:r>
    </w:p>
    <w:p>
      <w:pPr>
        <w:pStyle w:val="Normal"/>
        <w:jc w:val="both"/>
        <w:rPr/>
      </w:pPr>
      <w:r>
        <w:rPr/>
      </w:r>
    </w:p>
    <w:p>
      <w:pPr>
        <w:pStyle w:val="Normal"/>
        <w:jc w:val="both"/>
        <w:rPr/>
      </w:pPr>
      <w:r>
        <w:rPr/>
        <w:t>As mentioned above, geographic proximity itself should not pose a significant problem, particularly if other measures that we identified are taken to differentiate the companies.</w:t>
      </w:r>
      <w:r>
        <w:rPr>
          <w:rStyle w:val="FootnoteCharacters"/>
          <w:rStyle w:val="FootnoteReference"/>
        </w:rPr>
        <w:footnoteReference w:id="5"/>
      </w:r>
      <w:r>
        <w:rPr/>
        <w:t xml:space="preserve">  With regard to the companies operating in the same project market, the analysis becomes more complicated and you need to be particularly careful about certain issues.  Centralized control of labor relations is the most important concern, but the Board and Courts also evaluate interrelations of operations and management.  Therefore, we have suggested separate management and industrial relations staff to the extent possible, but at a minimum there should be internal accounting between the companies for employees who provide services to the two companies.  We understand that you are preparing a corporate-services agreement between EECC, NEPCO and NEWCO to comply with this suggestion.  In the construction industry, the Board and Courts often cite common bidding to support a finding of inappropriate interrelation of operations and management.  This is a factor with which you should be particularly careful.  Additionally, it is essential that you avoid any appearance that the NEPCO is siphoning business from NEWCO.  These general conclusions are perhaps the most important as they related to the planned creation and operation of NEWCO.  We suggest periodic reviews of the activities of the companies under the standards set forth in the checklist that we gave you to be sure the companies are becoming more rather than less independent.</w:t>
      </w:r>
    </w:p>
    <w:p>
      <w:pPr>
        <w:pStyle w:val="Normal"/>
        <w:jc w:val="both"/>
        <w:rPr/>
      </w:pPr>
      <w:r>
        <w:rPr/>
      </w:r>
    </w:p>
    <w:p>
      <w:pPr>
        <w:pStyle w:val="Normal"/>
        <w:jc w:val="both"/>
        <w:rPr/>
      </w:pPr>
      <w:r>
        <w:rPr/>
        <w:t xml:space="preserve">I hope these comments have been of help to you.  If you have any questions or need further information on the issues addressed in this letter, please contact me.  </w:t>
      </w:r>
    </w:p>
    <w:p>
      <w:pPr>
        <w:pStyle w:val="Normal"/>
        <w:jc w:val="both"/>
        <w:rPr/>
      </w:pPr>
      <w:r>
        <w:rPr/>
      </w:r>
    </w:p>
    <w:p>
      <w:pPr>
        <w:pStyle w:val="LetterSignature"/>
        <w:rPr/>
      </w:pPr>
      <w:r>
        <w:rPr/>
        <w:t>Very truly yours,</w:t>
      </w:r>
    </w:p>
    <w:p>
      <w:pPr>
        <w:pStyle w:val="LetterSignature"/>
        <w:rPr/>
      </w:pPr>
      <w:r>
        <w:rPr/>
      </w:r>
    </w:p>
    <w:p>
      <w:pPr>
        <w:pStyle w:val="LetterSignature"/>
        <w:rPr/>
      </w:pPr>
      <w:r>
        <w:rPr/>
      </w:r>
    </w:p>
    <w:p>
      <w:pPr>
        <w:pStyle w:val="LetterSignature"/>
        <w:rPr/>
      </w:pPr>
      <w:r>
        <w:rPr/>
      </w:r>
    </w:p>
    <w:p>
      <w:pPr>
        <w:pStyle w:val="LetterSignature"/>
        <w:rPr/>
      </w:pPr>
      <w:r>
        <w:rPr/>
        <w:t>Kerry E Notestine</w:t>
      </w:r>
    </w:p>
    <w:p>
      <w:pPr>
        <w:pStyle w:val="Initials"/>
        <w:rPr/>
      </w:pPr>
      <w:r>
        <w:rPr/>
      </w:r>
    </w:p>
    <w:p>
      <w:pPr>
        <w:pStyle w:val="Initials"/>
        <w:rPr/>
      </w:pPr>
      <w:r>
        <w:rPr/>
        <w:t>cc:</w:t>
        <w:tab/>
        <w:t>Ms. Michelle Cash</w:t>
      </w:r>
    </w:p>
    <w:p>
      <w:pPr>
        <w:pStyle w:val="Initials"/>
        <w:rPr/>
      </w:pPr>
      <w:r>
        <w:rPr/>
        <w:tab/>
        <w:t>Assistant General Counsel</w:t>
      </w:r>
    </w:p>
    <w:p>
      <w:pPr>
        <w:pStyle w:val="Initials"/>
        <w:rPr/>
      </w:pPr>
      <w:r>
        <w:rPr/>
        <w:tab/>
        <w:t>Enron North America Corp.</w:t>
      </w:r>
    </w:p>
    <w:p>
      <w:pPr>
        <w:pStyle w:val="Initials"/>
        <w:rPr/>
      </w:pPr>
      <w:r>
        <w:rPr/>
        <w:tab/>
        <w:t>1400 Smith Street</w:t>
      </w:r>
    </w:p>
    <w:p>
      <w:pPr>
        <w:pStyle w:val="Initials"/>
        <w:rPr/>
      </w:pPr>
      <w:r>
        <w:rPr/>
        <w:tab/>
        <w:t>Houston, Texas 77002</w:t>
      </w:r>
    </w:p>
    <w:p>
      <w:pPr>
        <w:pStyle w:val="Initials"/>
        <w:rPr/>
      </w:pPr>
      <w:r>
        <w:rPr/>
      </w:r>
    </w:p>
    <w:p>
      <w:pPr>
        <w:pStyle w:val="Normal"/>
        <w:keepNext w:val="true"/>
        <w:keepLines/>
        <w:rPr/>
      </w:pPr>
      <w:r>
        <w:rPr/>
      </w:r>
    </w:p>
    <w:p>
      <w:pPr>
        <w:pStyle w:val="Normal"/>
        <w:keepNext w:val="true"/>
        <w:keepLines/>
        <w:rPr/>
      </w:pPr>
      <w:r>
        <w:rPr/>
      </w:r>
    </w:p>
    <w:p>
      <w:pPr>
        <w:pStyle w:val="Normal"/>
        <w:keepNext w:val="true"/>
        <w:keepLines/>
        <w:spacing w:lineRule="exact" w:line="200"/>
        <w:rPr/>
      </w:pPr>
      <w:r>
        <w:rPr>
          <w:rStyle w:val="zzmpTrailerItem"/>
        </w:rPr>
        <w:t>HOUSTON:99374.2 037304.1003</w:t>
      </w:r>
      <w:r>
        <w:rPr/>
        <w:t xml:space="preserve"> </w:t>
      </w:r>
    </w:p>
    <w:sectPr>
      <w:headerReference w:type="default" r:id="rId2"/>
      <w:headerReference w:type="first" r:id="rId3"/>
      <w:footerReference w:type="default" r:id="rId4"/>
      <w:footerReference w:type="first" r:id="rId5"/>
      <w:footnotePr>
        <w:numFmt w:val="decimal"/>
      </w:footnotePr>
      <w:type w:val="nextPage"/>
      <w:pgSz w:w="12240" w:h="15840"/>
      <w:pgMar w:left="1627" w:right="1627" w:gutter="0" w:header="0" w:top="2880" w:footer="288" w:bottom="1267"/>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Goudy Old Style ATT">
    <w:altName w:val="Bookman Old Style"/>
    <w:charset w:val="ee" w:characterSet="windows-125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1" distT="0" distB="0" distL="0" distR="0" simplePos="0" locked="0" layoutInCell="0" allowOverlap="1" relativeHeight="7">
              <wp:simplePos x="0" y="0"/>
              <wp:positionH relativeFrom="column">
                <wp:align>left</wp:align>
              </wp:positionH>
              <wp:positionV relativeFrom="line">
                <wp:posOffset>635</wp:posOffset>
              </wp:positionV>
              <wp:extent cx="5706110" cy="175260"/>
              <wp:effectExtent l="0" t="0" r="0" b="0"/>
              <wp:wrapNone/>
              <wp:docPr id="1" name="Frame3"/>
              <a:graphic xmlns:a="http://schemas.openxmlformats.org/drawingml/2006/main">
                <a:graphicData uri="http://schemas.microsoft.com/office/word/2010/wordprocessingShape">
                  <wps:wsp>
                    <wps:cNvSpPr txBox="1"/>
                    <wps:spPr>
                      <a:xfrm>
                        <a:off x="0" y="0"/>
                        <a:ext cx="5706110" cy="175260"/>
                      </a:xfrm>
                      <a:prstGeom prst="rect"/>
                      <a:solidFill>
                        <a:srgbClr val="FFFFFF"/>
                      </a:solidFill>
                    </wps:spPr>
                    <wps:txbx>
                      <w:txbxContent>
                        <w:p>
                          <w:pPr>
                            <w:pStyle w:val="Footer"/>
                            <w:rPr/>
                          </w:pPr>
                          <w:r>
                            <w:rPr/>
                          </w:r>
                        </w:p>
                      </w:txbxContent>
                    </wps:txbx>
                    <wps:bodyPr anchor="t" lIns="0" tIns="0" rIns="0" bIns="0">
                      <a:noAutofit/>
                    </wps:bodyPr>
                  </wps:wsp>
                </a:graphicData>
              </a:graphic>
            </wp:anchor>
          </w:drawing>
        </mc:Choice>
        <mc:Fallback>
          <w:pict>
            <v:rect style="position:absolute;rotation:-0;width:449.3pt;height:13.8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Footer"/>
                      <w:rPr/>
                    </w:pPr>
                    <w:r>
                      <w:rPr/>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1" distT="0" distB="0" distL="0" distR="0" simplePos="0" locked="0" layoutInCell="0" allowOverlap="1" relativeHeight="8">
              <wp:simplePos x="0" y="0"/>
              <wp:positionH relativeFrom="column">
                <wp:align>left</wp:align>
              </wp:positionH>
              <wp:positionV relativeFrom="line">
                <wp:align>top</wp:align>
              </wp:positionV>
              <wp:extent cx="5706110" cy="9623425"/>
              <wp:effectExtent l="0" t="0" r="0" b="0"/>
              <wp:wrapNone/>
              <wp:docPr id="2" name="Frame1"/>
              <a:graphic xmlns:a="http://schemas.openxmlformats.org/drawingml/2006/main">
                <a:graphicData uri="http://schemas.microsoft.com/office/word/2010/wordprocessingShape">
                  <wps:wsp>
                    <wps:cNvSpPr txBox="1"/>
                    <wps:spPr>
                      <a:xfrm>
                        <a:off x="0" y="0"/>
                        <a:ext cx="5706110" cy="9623425"/>
                      </a:xfrm>
                      <a:prstGeom prst="rect"/>
                      <a:solidFill>
                        <a:srgbClr val="FFFFFF"/>
                      </a:solidFill>
                    </wps:spPr>
                    <wps:txbx>
                      <w:txbxContent>
                        <w:p>
                          <w:pPr>
                            <w:pStyle w:val="Normal"/>
                            <w:spacing w:before="120" w:after="940"/>
                            <w:ind w:start="-14" w:end="-1080"/>
                            <w:jc w:val="end"/>
                            <w:rPr>
                              <w:caps/>
                              <w:spacing w:val="6"/>
                              <w:sz w:val="10"/>
                            </w:rPr>
                          </w:pPr>
                          <w:r>
                            <w:rPr>
                              <w:caps/>
                              <w:spacing w:val="6"/>
                              <w:sz w:val="10"/>
                            </w:rPr>
                            <w:t>Arizona</w:t>
                          </w:r>
                        </w:p>
                        <w:p>
                          <w:pPr>
                            <w:pStyle w:val="Normal"/>
                            <w:spacing w:before="0" w:after="940"/>
                            <w:ind w:start="-14" w:end="-1080"/>
                            <w:jc w:val="end"/>
                            <w:rPr>
                              <w:caps/>
                              <w:spacing w:val="6"/>
                              <w:sz w:val="10"/>
                            </w:rPr>
                          </w:pPr>
                          <w:r>
                            <w:rPr>
                              <w:caps/>
                              <w:spacing w:val="6"/>
                              <w:sz w:val="10"/>
                            </w:rPr>
                            <w:t>California</w:t>
                          </w:r>
                        </w:p>
                        <w:p>
                          <w:pPr>
                            <w:pStyle w:val="Normal"/>
                            <w:spacing w:before="0" w:after="940"/>
                            <w:ind w:start="-14" w:end="-1080"/>
                            <w:jc w:val="end"/>
                            <w:rPr>
                              <w:caps/>
                              <w:spacing w:val="6"/>
                              <w:sz w:val="10"/>
                            </w:rPr>
                          </w:pPr>
                          <w:r>
                            <w:rPr>
                              <w:caps/>
                              <w:spacing w:val="6"/>
                              <w:sz w:val="10"/>
                            </w:rPr>
                            <w:t>Colorado</w:t>
                          </w:r>
                        </w:p>
                        <w:p>
                          <w:pPr>
                            <w:pStyle w:val="Normal"/>
                            <w:ind w:start="-14" w:end="-1080"/>
                            <w:jc w:val="end"/>
                            <w:rPr>
                              <w:caps/>
                              <w:spacing w:val="6"/>
                              <w:sz w:val="10"/>
                            </w:rPr>
                          </w:pPr>
                          <w:r>
                            <w:rPr>
                              <w:caps/>
                              <w:spacing w:val="6"/>
                              <w:sz w:val="10"/>
                            </w:rPr>
                            <w:t>District of</w:t>
                          </w:r>
                        </w:p>
                        <w:p>
                          <w:pPr>
                            <w:pStyle w:val="Normal"/>
                            <w:spacing w:before="0" w:after="940"/>
                            <w:ind w:start="-14" w:end="-1080"/>
                            <w:jc w:val="end"/>
                            <w:rPr>
                              <w:caps/>
                              <w:spacing w:val="6"/>
                              <w:sz w:val="10"/>
                            </w:rPr>
                          </w:pPr>
                          <w:r>
                            <w:rPr>
                              <w:caps/>
                              <w:spacing w:val="6"/>
                              <w:sz w:val="10"/>
                            </w:rPr>
                            <w:t>Columbia</w:t>
                          </w:r>
                        </w:p>
                        <w:p>
                          <w:pPr>
                            <w:pStyle w:val="Normal"/>
                            <w:spacing w:before="0" w:after="940"/>
                            <w:ind w:start="-14" w:end="-1080"/>
                            <w:jc w:val="end"/>
                            <w:rPr>
                              <w:caps/>
                              <w:spacing w:val="6"/>
                              <w:sz w:val="10"/>
                            </w:rPr>
                          </w:pPr>
                          <w:r>
                            <w:rPr>
                              <w:caps/>
                              <w:spacing w:val="6"/>
                              <w:sz w:val="10"/>
                            </w:rPr>
                            <w:t>Georgia</w:t>
                          </w:r>
                        </w:p>
                        <w:p>
                          <w:pPr>
                            <w:pStyle w:val="Normal"/>
                            <w:spacing w:before="0" w:after="940"/>
                            <w:ind w:start="-14" w:end="-1080"/>
                            <w:jc w:val="end"/>
                            <w:rPr>
                              <w:caps/>
                              <w:spacing w:val="6"/>
                              <w:sz w:val="10"/>
                            </w:rPr>
                          </w:pPr>
                          <w:r>
                            <w:rPr>
                              <w:caps/>
                              <w:spacing w:val="6"/>
                              <w:sz w:val="10"/>
                            </w:rPr>
                            <w:t>Illinois</w:t>
                          </w:r>
                        </w:p>
                        <w:p>
                          <w:pPr>
                            <w:pStyle w:val="Normal"/>
                            <w:spacing w:before="0" w:after="940"/>
                            <w:ind w:start="-14" w:end="-1080"/>
                            <w:jc w:val="end"/>
                            <w:rPr>
                              <w:caps/>
                              <w:spacing w:val="6"/>
                              <w:sz w:val="10"/>
                            </w:rPr>
                          </w:pPr>
                          <w:r>
                            <w:rPr>
                              <w:caps/>
                              <w:spacing w:val="6"/>
                              <w:sz w:val="10"/>
                            </w:rPr>
                            <w:t>Maryland</w:t>
                          </w:r>
                        </w:p>
                        <w:p>
                          <w:pPr>
                            <w:pStyle w:val="Normal"/>
                            <w:spacing w:before="0" w:after="940"/>
                            <w:ind w:start="-14" w:end="-1080"/>
                            <w:jc w:val="end"/>
                            <w:rPr>
                              <w:caps/>
                              <w:spacing w:val="6"/>
                              <w:sz w:val="10"/>
                            </w:rPr>
                          </w:pPr>
                          <w:r>
                            <w:rPr>
                              <w:caps/>
                              <w:spacing w:val="6"/>
                              <w:sz w:val="10"/>
                            </w:rPr>
                            <w:t>MINNESOTA</w:t>
                          </w:r>
                        </w:p>
                        <w:p>
                          <w:pPr>
                            <w:pStyle w:val="Normal"/>
                            <w:spacing w:before="0" w:after="940"/>
                            <w:ind w:start="-14" w:end="-1080"/>
                            <w:jc w:val="end"/>
                            <w:rPr>
                              <w:caps/>
                              <w:spacing w:val="6"/>
                              <w:sz w:val="10"/>
                            </w:rPr>
                          </w:pPr>
                          <w:r>
                            <w:rPr>
                              <w:caps/>
                              <w:spacing w:val="6"/>
                              <w:sz w:val="10"/>
                            </w:rPr>
                            <w:t>Nevada</w:t>
                          </w:r>
                        </w:p>
                        <w:p>
                          <w:pPr>
                            <w:pStyle w:val="Normal"/>
                            <w:spacing w:before="0" w:after="940"/>
                            <w:ind w:start="-14" w:end="-1080"/>
                            <w:jc w:val="end"/>
                            <w:rPr>
                              <w:caps/>
                              <w:spacing w:val="6"/>
                              <w:sz w:val="10"/>
                            </w:rPr>
                          </w:pPr>
                          <w:r>
                            <w:rPr>
                              <w:caps/>
                              <w:spacing w:val="6"/>
                              <w:sz w:val="10"/>
                            </w:rPr>
                            <w:t>New Jersey</w:t>
                          </w:r>
                        </w:p>
                        <w:p>
                          <w:pPr>
                            <w:pStyle w:val="Normal"/>
                            <w:spacing w:before="0" w:after="940"/>
                            <w:ind w:start="-14" w:end="-1080"/>
                            <w:jc w:val="end"/>
                            <w:rPr>
                              <w:caps/>
                              <w:spacing w:val="6"/>
                              <w:sz w:val="10"/>
                            </w:rPr>
                          </w:pPr>
                          <w:r>
                            <w:rPr>
                              <w:caps/>
                              <w:spacing w:val="6"/>
                              <w:sz w:val="10"/>
                            </w:rPr>
                            <w:t>New York</w:t>
                          </w:r>
                        </w:p>
                        <w:p>
                          <w:pPr>
                            <w:pStyle w:val="Normal"/>
                            <w:spacing w:before="0" w:after="940"/>
                            <w:ind w:start="-14" w:end="-1080"/>
                            <w:jc w:val="end"/>
                            <w:rPr>
                              <w:caps/>
                              <w:spacing w:val="6"/>
                              <w:sz w:val="10"/>
                            </w:rPr>
                          </w:pPr>
                          <w:r>
                            <w:rPr>
                              <w:caps/>
                              <w:spacing w:val="6"/>
                              <w:sz w:val="10"/>
                            </w:rPr>
                            <w:t>OHIO</w:t>
                          </w:r>
                        </w:p>
                        <w:p>
                          <w:pPr>
                            <w:pStyle w:val="Normal"/>
                            <w:spacing w:before="0" w:after="940"/>
                            <w:ind w:start="-14" w:end="-1080"/>
                            <w:jc w:val="end"/>
                            <w:rPr>
                              <w:caps/>
                              <w:spacing w:val="6"/>
                              <w:sz w:val="10"/>
                            </w:rPr>
                          </w:pPr>
                          <w:r>
                            <w:rPr>
                              <w:caps/>
                              <w:spacing w:val="6"/>
                              <w:sz w:val="10"/>
                            </w:rPr>
                            <w:t>Texas</w:t>
                          </w:r>
                        </w:p>
                        <w:p>
                          <w:pPr>
                            <w:pStyle w:val="WW-Addressee"/>
                            <w:spacing w:before="0" w:after="480"/>
                            <w:ind w:end="-1080"/>
                            <w:jc w:val="end"/>
                            <w:rPr>
                              <w:caps/>
                              <w:spacing w:val="6"/>
                              <w:sz w:val="10"/>
                            </w:rPr>
                          </w:pPr>
                          <w:r>
                            <w:rPr>
                              <w:caps/>
                              <w:spacing w:val="6"/>
                              <w:sz w:val="10"/>
                            </w:rPr>
                            <w:t>Washington</w:t>
                          </w:r>
                        </w:p>
                        <w:p>
                          <w:pPr>
                            <w:pStyle w:val="Normal"/>
                            <w:spacing w:before="0" w:after="20"/>
                            <w:jc w:val="center"/>
                            <w:rPr>
                              <w:rFonts w:ascii="Goudy Old Style ATT;Bookman Old Style" w:hAnsi="Goudy Old Style ATT;Bookman Old Style" w:cs="Goudy Old Style ATT;Bookman Old Style"/>
                              <w:spacing w:val="30"/>
                              <w:kern w:val="2"/>
                              <w:sz w:val="10"/>
                            </w:rPr>
                          </w:pPr>
                          <w:r>
                            <w:rPr>
                              <w:rFonts w:cs="Goudy Old Style ATT;Bookman Old Style" w:ascii="Goudy Old Style ATT;Bookman Old Style" w:hAnsi="Goudy Old Style ATT;Bookman Old Style"/>
                              <w:spacing w:val="30"/>
                              <w:kern w:val="2"/>
                              <w:sz w:val="10"/>
                            </w:rPr>
                            <w:t>THE NATIONAL EMPLOYMENT &amp; LABOR LAW FIRM</w:t>
                          </w:r>
                          <w:r>
                            <w:rPr>
                              <w:rFonts w:cs="Goudy Old Style ATT;Bookman Old Style" w:ascii="Goudy Old Style ATT;Bookman Old Style" w:hAnsi="Goudy Old Style ATT;Bookman Old Style"/>
                              <w:spacing w:val="30"/>
                              <w:kern w:val="2"/>
                              <w:sz w:val="10"/>
                              <w:vertAlign w:val="superscript"/>
                            </w:rPr>
                            <w:t>SM</w:t>
                          </w:r>
                        </w:p>
                        <w:tbl>
                          <w:tblPr>
                            <w:tblW w:w="8563" w:type="dxa"/>
                            <w:jc w:val="center"/>
                            <w:tblInd w:w="0" w:type="dxa"/>
                            <w:tblLayout w:type="fixed"/>
                            <w:tblCellMar>
                              <w:top w:w="0" w:type="dxa"/>
                              <w:start w:w="0" w:type="dxa"/>
                              <w:bottom w:w="0" w:type="dxa"/>
                              <w:end w:w="0" w:type="dxa"/>
                            </w:tblCellMar>
                          </w:tblPr>
                          <w:tblGrid>
                            <w:gridCol w:w="8563"/>
                          </w:tblGrid>
                          <w:tr>
                            <w:trPr/>
                            <w:tc>
                              <w:tcPr>
                                <w:tcW w:w="8563" w:type="dxa"/>
                                <w:tcBorders>
                                  <w:top w:val="single" w:sz="6" w:space="0" w:color="000000"/>
                                </w:tcBorders>
                              </w:tcPr>
                              <w:p>
                                <w:pPr>
                                  <w:pStyle w:val="Normal"/>
                                  <w:ind w:start="-14" w:end="-14"/>
                                  <w:jc w:val="center"/>
                                  <w:rPr>
                                    <w:sz w:val="16"/>
                                  </w:rPr>
                                </w:pPr>
                                <w:r>
                                  <w:rPr>
                                    <w:sz w:val="16"/>
                                  </w:rPr>
                                  <w:t>Chevron Tower, Suite 1900, 1301 McKinney Street, Houston, Texas 77010  Tel: 713.951.9400  Fax: 713.951.9212, www.littler.com</w:t>
                                </w:r>
                              </w:p>
                            </w:tc>
                          </w:tr>
                        </w:tbl>
                        <w:p>
                          <w:pPr>
                            <w:pStyle w:val="Footer"/>
                            <w:rPr/>
                          </w:pPr>
                          <w:r>
                            <w:rPr/>
                          </w:r>
                        </w:p>
                      </w:txbxContent>
                    </wps:txbx>
                    <wps:bodyPr anchor="t" lIns="0" tIns="0" rIns="0" bIns="0">
                      <a:noAutofit/>
                    </wps:bodyPr>
                  </wps:wsp>
                </a:graphicData>
              </a:graphic>
            </wp:anchor>
          </w:drawing>
        </mc:Choice>
        <mc:Fallback>
          <w:pict>
            <v:rect style="position:absolute;rotation:-0;width:449.3pt;height:757.75pt;mso-wrap-distance-left:0pt;mso-wrap-distance-right:0pt;mso-wrap-distance-top:0pt;mso-wrap-distance-bottom:0pt;margin-top:-740.55pt;mso-position-vertical:top;mso-position-vertical-relative:text;margin-left:0pt;mso-position-horizontal:left;mso-position-horizontal-relative:text">
              <v:textbox inset="0in,0in,0in,0in">
                <w:txbxContent>
                  <w:p>
                    <w:pPr>
                      <w:pStyle w:val="Normal"/>
                      <w:spacing w:before="120" w:after="940"/>
                      <w:ind w:start="-14" w:end="-1080"/>
                      <w:jc w:val="end"/>
                      <w:rPr>
                        <w:caps/>
                        <w:spacing w:val="6"/>
                        <w:sz w:val="10"/>
                      </w:rPr>
                    </w:pPr>
                    <w:r>
                      <w:rPr>
                        <w:caps/>
                        <w:spacing w:val="6"/>
                        <w:sz w:val="10"/>
                      </w:rPr>
                      <w:t>Arizona</w:t>
                    </w:r>
                  </w:p>
                  <w:p>
                    <w:pPr>
                      <w:pStyle w:val="Normal"/>
                      <w:spacing w:before="0" w:after="940"/>
                      <w:ind w:start="-14" w:end="-1080"/>
                      <w:jc w:val="end"/>
                      <w:rPr>
                        <w:caps/>
                        <w:spacing w:val="6"/>
                        <w:sz w:val="10"/>
                      </w:rPr>
                    </w:pPr>
                    <w:r>
                      <w:rPr>
                        <w:caps/>
                        <w:spacing w:val="6"/>
                        <w:sz w:val="10"/>
                      </w:rPr>
                      <w:t>California</w:t>
                    </w:r>
                  </w:p>
                  <w:p>
                    <w:pPr>
                      <w:pStyle w:val="Normal"/>
                      <w:spacing w:before="0" w:after="940"/>
                      <w:ind w:start="-14" w:end="-1080"/>
                      <w:jc w:val="end"/>
                      <w:rPr>
                        <w:caps/>
                        <w:spacing w:val="6"/>
                        <w:sz w:val="10"/>
                      </w:rPr>
                    </w:pPr>
                    <w:r>
                      <w:rPr>
                        <w:caps/>
                        <w:spacing w:val="6"/>
                        <w:sz w:val="10"/>
                      </w:rPr>
                      <w:t>Colorado</w:t>
                    </w:r>
                  </w:p>
                  <w:p>
                    <w:pPr>
                      <w:pStyle w:val="Normal"/>
                      <w:ind w:start="-14" w:end="-1080"/>
                      <w:jc w:val="end"/>
                      <w:rPr>
                        <w:caps/>
                        <w:spacing w:val="6"/>
                        <w:sz w:val="10"/>
                      </w:rPr>
                    </w:pPr>
                    <w:r>
                      <w:rPr>
                        <w:caps/>
                        <w:spacing w:val="6"/>
                        <w:sz w:val="10"/>
                      </w:rPr>
                      <w:t>District of</w:t>
                    </w:r>
                  </w:p>
                  <w:p>
                    <w:pPr>
                      <w:pStyle w:val="Normal"/>
                      <w:spacing w:before="0" w:after="940"/>
                      <w:ind w:start="-14" w:end="-1080"/>
                      <w:jc w:val="end"/>
                      <w:rPr>
                        <w:caps/>
                        <w:spacing w:val="6"/>
                        <w:sz w:val="10"/>
                      </w:rPr>
                    </w:pPr>
                    <w:r>
                      <w:rPr>
                        <w:caps/>
                        <w:spacing w:val="6"/>
                        <w:sz w:val="10"/>
                      </w:rPr>
                      <w:t>Columbia</w:t>
                    </w:r>
                  </w:p>
                  <w:p>
                    <w:pPr>
                      <w:pStyle w:val="Normal"/>
                      <w:spacing w:before="0" w:after="940"/>
                      <w:ind w:start="-14" w:end="-1080"/>
                      <w:jc w:val="end"/>
                      <w:rPr>
                        <w:caps/>
                        <w:spacing w:val="6"/>
                        <w:sz w:val="10"/>
                      </w:rPr>
                    </w:pPr>
                    <w:r>
                      <w:rPr>
                        <w:caps/>
                        <w:spacing w:val="6"/>
                        <w:sz w:val="10"/>
                      </w:rPr>
                      <w:t>Georgia</w:t>
                    </w:r>
                  </w:p>
                  <w:p>
                    <w:pPr>
                      <w:pStyle w:val="Normal"/>
                      <w:spacing w:before="0" w:after="940"/>
                      <w:ind w:start="-14" w:end="-1080"/>
                      <w:jc w:val="end"/>
                      <w:rPr>
                        <w:caps/>
                        <w:spacing w:val="6"/>
                        <w:sz w:val="10"/>
                      </w:rPr>
                    </w:pPr>
                    <w:r>
                      <w:rPr>
                        <w:caps/>
                        <w:spacing w:val="6"/>
                        <w:sz w:val="10"/>
                      </w:rPr>
                      <w:t>Illinois</w:t>
                    </w:r>
                  </w:p>
                  <w:p>
                    <w:pPr>
                      <w:pStyle w:val="Normal"/>
                      <w:spacing w:before="0" w:after="940"/>
                      <w:ind w:start="-14" w:end="-1080"/>
                      <w:jc w:val="end"/>
                      <w:rPr>
                        <w:caps/>
                        <w:spacing w:val="6"/>
                        <w:sz w:val="10"/>
                      </w:rPr>
                    </w:pPr>
                    <w:r>
                      <w:rPr>
                        <w:caps/>
                        <w:spacing w:val="6"/>
                        <w:sz w:val="10"/>
                      </w:rPr>
                      <w:t>Maryland</w:t>
                    </w:r>
                  </w:p>
                  <w:p>
                    <w:pPr>
                      <w:pStyle w:val="Normal"/>
                      <w:spacing w:before="0" w:after="940"/>
                      <w:ind w:start="-14" w:end="-1080"/>
                      <w:jc w:val="end"/>
                      <w:rPr>
                        <w:caps/>
                        <w:spacing w:val="6"/>
                        <w:sz w:val="10"/>
                      </w:rPr>
                    </w:pPr>
                    <w:r>
                      <w:rPr>
                        <w:caps/>
                        <w:spacing w:val="6"/>
                        <w:sz w:val="10"/>
                      </w:rPr>
                      <w:t>MINNESOTA</w:t>
                    </w:r>
                  </w:p>
                  <w:p>
                    <w:pPr>
                      <w:pStyle w:val="Normal"/>
                      <w:spacing w:before="0" w:after="940"/>
                      <w:ind w:start="-14" w:end="-1080"/>
                      <w:jc w:val="end"/>
                      <w:rPr>
                        <w:caps/>
                        <w:spacing w:val="6"/>
                        <w:sz w:val="10"/>
                      </w:rPr>
                    </w:pPr>
                    <w:r>
                      <w:rPr>
                        <w:caps/>
                        <w:spacing w:val="6"/>
                        <w:sz w:val="10"/>
                      </w:rPr>
                      <w:t>Nevada</w:t>
                    </w:r>
                  </w:p>
                  <w:p>
                    <w:pPr>
                      <w:pStyle w:val="Normal"/>
                      <w:spacing w:before="0" w:after="940"/>
                      <w:ind w:start="-14" w:end="-1080"/>
                      <w:jc w:val="end"/>
                      <w:rPr>
                        <w:caps/>
                        <w:spacing w:val="6"/>
                        <w:sz w:val="10"/>
                      </w:rPr>
                    </w:pPr>
                    <w:r>
                      <w:rPr>
                        <w:caps/>
                        <w:spacing w:val="6"/>
                        <w:sz w:val="10"/>
                      </w:rPr>
                      <w:t>New Jersey</w:t>
                    </w:r>
                  </w:p>
                  <w:p>
                    <w:pPr>
                      <w:pStyle w:val="Normal"/>
                      <w:spacing w:before="0" w:after="940"/>
                      <w:ind w:start="-14" w:end="-1080"/>
                      <w:jc w:val="end"/>
                      <w:rPr>
                        <w:caps/>
                        <w:spacing w:val="6"/>
                        <w:sz w:val="10"/>
                      </w:rPr>
                    </w:pPr>
                    <w:r>
                      <w:rPr>
                        <w:caps/>
                        <w:spacing w:val="6"/>
                        <w:sz w:val="10"/>
                      </w:rPr>
                      <w:t>New York</w:t>
                    </w:r>
                  </w:p>
                  <w:p>
                    <w:pPr>
                      <w:pStyle w:val="Normal"/>
                      <w:spacing w:before="0" w:after="940"/>
                      <w:ind w:start="-14" w:end="-1080"/>
                      <w:jc w:val="end"/>
                      <w:rPr>
                        <w:caps/>
                        <w:spacing w:val="6"/>
                        <w:sz w:val="10"/>
                      </w:rPr>
                    </w:pPr>
                    <w:r>
                      <w:rPr>
                        <w:caps/>
                        <w:spacing w:val="6"/>
                        <w:sz w:val="10"/>
                      </w:rPr>
                      <w:t>OHIO</w:t>
                    </w:r>
                  </w:p>
                  <w:p>
                    <w:pPr>
                      <w:pStyle w:val="Normal"/>
                      <w:spacing w:before="0" w:after="940"/>
                      <w:ind w:start="-14" w:end="-1080"/>
                      <w:jc w:val="end"/>
                      <w:rPr>
                        <w:caps/>
                        <w:spacing w:val="6"/>
                        <w:sz w:val="10"/>
                      </w:rPr>
                    </w:pPr>
                    <w:r>
                      <w:rPr>
                        <w:caps/>
                        <w:spacing w:val="6"/>
                        <w:sz w:val="10"/>
                      </w:rPr>
                      <w:t>Texas</w:t>
                    </w:r>
                  </w:p>
                  <w:p>
                    <w:pPr>
                      <w:pStyle w:val="WW-Addressee"/>
                      <w:spacing w:before="0" w:after="480"/>
                      <w:ind w:end="-1080"/>
                      <w:jc w:val="end"/>
                      <w:rPr>
                        <w:caps/>
                        <w:spacing w:val="6"/>
                        <w:sz w:val="10"/>
                      </w:rPr>
                    </w:pPr>
                    <w:r>
                      <w:rPr>
                        <w:caps/>
                        <w:spacing w:val="6"/>
                        <w:sz w:val="10"/>
                      </w:rPr>
                      <w:t>Washington</w:t>
                    </w:r>
                  </w:p>
                  <w:p>
                    <w:pPr>
                      <w:pStyle w:val="Normal"/>
                      <w:spacing w:before="0" w:after="20"/>
                      <w:jc w:val="center"/>
                      <w:rPr>
                        <w:rFonts w:ascii="Goudy Old Style ATT;Bookman Old Style" w:hAnsi="Goudy Old Style ATT;Bookman Old Style" w:cs="Goudy Old Style ATT;Bookman Old Style"/>
                        <w:spacing w:val="30"/>
                        <w:kern w:val="2"/>
                        <w:sz w:val="10"/>
                      </w:rPr>
                    </w:pPr>
                    <w:r>
                      <w:rPr>
                        <w:rFonts w:cs="Goudy Old Style ATT;Bookman Old Style" w:ascii="Goudy Old Style ATT;Bookman Old Style" w:hAnsi="Goudy Old Style ATT;Bookman Old Style"/>
                        <w:spacing w:val="30"/>
                        <w:kern w:val="2"/>
                        <w:sz w:val="10"/>
                      </w:rPr>
                      <w:t>THE NATIONAL EMPLOYMENT &amp; LABOR LAW FIRM</w:t>
                    </w:r>
                    <w:r>
                      <w:rPr>
                        <w:rFonts w:cs="Goudy Old Style ATT;Bookman Old Style" w:ascii="Goudy Old Style ATT;Bookman Old Style" w:hAnsi="Goudy Old Style ATT;Bookman Old Style"/>
                        <w:spacing w:val="30"/>
                        <w:kern w:val="2"/>
                        <w:sz w:val="10"/>
                        <w:vertAlign w:val="superscript"/>
                      </w:rPr>
                      <w:t>SM</w:t>
                    </w:r>
                  </w:p>
                  <w:tbl>
                    <w:tblPr>
                      <w:tblW w:w="8563" w:type="dxa"/>
                      <w:jc w:val="center"/>
                      <w:tblInd w:w="0" w:type="dxa"/>
                      <w:tblLayout w:type="fixed"/>
                      <w:tblCellMar>
                        <w:top w:w="0" w:type="dxa"/>
                        <w:start w:w="0" w:type="dxa"/>
                        <w:bottom w:w="0" w:type="dxa"/>
                        <w:end w:w="0" w:type="dxa"/>
                      </w:tblCellMar>
                    </w:tblPr>
                    <w:tblGrid>
                      <w:gridCol w:w="8563"/>
                    </w:tblGrid>
                    <w:tr>
                      <w:trPr/>
                      <w:tc>
                        <w:tcPr>
                          <w:tcW w:w="8563" w:type="dxa"/>
                          <w:tcBorders>
                            <w:top w:val="single" w:sz="6" w:space="0" w:color="000000"/>
                          </w:tcBorders>
                        </w:tcPr>
                        <w:p>
                          <w:pPr>
                            <w:pStyle w:val="Normal"/>
                            <w:ind w:start="-14" w:end="-14"/>
                            <w:jc w:val="center"/>
                            <w:rPr>
                              <w:sz w:val="16"/>
                            </w:rPr>
                          </w:pPr>
                          <w:r>
                            <w:rPr>
                              <w:sz w:val="16"/>
                            </w:rPr>
                            <w:t>Chevron Tower, Suite 1900, 1301 McKinney Street, Houston, Texas 77010  Tel: 713.951.9400  Fax: 713.951.9212, www.littler.com</w:t>
                          </w:r>
                        </w:p>
                      </w:tc>
                    </w:tr>
                  </w:tbl>
                  <w:p>
                    <w:pPr>
                      <w:pStyle w:val="Footer"/>
                      <w:rPr/>
                    </w:pPr>
                    <w:r>
                      <w:rPr/>
                    </w:r>
                  </w:p>
                </w:txbxContent>
              </v:textbox>
              <w10:wrap type="none"/>
            </v:rect>
          </w:pict>
        </mc:Fallback>
      </mc:AlternateContent>
    </w:r>
    <w:r>
      <mc:AlternateContent>
        <mc:Choice Requires="wps">
          <w:drawing>
            <wp:anchor behindDoc="0" distT="0" distB="0" distL="118745" distR="118745" simplePos="0" locked="0" layoutInCell="0" allowOverlap="1" relativeHeight="9">
              <wp:simplePos x="0" y="0"/>
              <wp:positionH relativeFrom="page">
                <wp:posOffset>2562225</wp:posOffset>
              </wp:positionH>
              <wp:positionV relativeFrom="paragraph">
                <wp:posOffset>-1322070</wp:posOffset>
              </wp:positionV>
              <wp:extent cx="2560320" cy="640080"/>
              <wp:effectExtent l="0" t="0" r="0" b="0"/>
              <wp:wrapSquare wrapText="bothSides"/>
              <wp:docPr id="3" name="Frame2"/>
              <a:graphic xmlns:a="http://schemas.openxmlformats.org/drawingml/2006/main">
                <a:graphicData uri="http://schemas.microsoft.com/office/word/2010/wordprocessingShape">
                  <wps:wsp>
                    <wps:cNvSpPr txBox="1"/>
                    <wps:spPr>
                      <a:xfrm>
                        <a:off x="0" y="0"/>
                        <a:ext cx="2560320" cy="640080"/>
                      </a:xfrm>
                      <a:prstGeom prst="rect"/>
                      <a:solidFill>
                        <a:srgbClr val="FFFFFF">
                          <a:alpha val="0"/>
                        </a:srgbClr>
                      </a:solidFill>
                    </wps:spPr>
                    <wps:txbx>
                      <w:txbxContent>
                        <w:p>
                          <w:pPr>
                            <w:pStyle w:val="Normal"/>
                            <w:shd w:fill="FFFFFF" w:val="clear"/>
                            <w:rPr>
                              <w:lang w:val="en-CA"/>
                            </w:rPr>
                          </w:pPr>
                          <w:r>
                            <w:rPr>
                              <w:lang w:val="en-CA"/>
                            </w:rPr>
                            <w:drawing>
                              <wp:inline distT="0" distB="0" distL="0" distR="0">
                                <wp:extent cx="2057400" cy="523875"/>
                                <wp:effectExtent l="0" t="0" r="0" b="0"/>
                                <wp:docPr id="4" name="LMBLACK"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MBLACK" descr="" title=""/>
                                        <pic:cNvPicPr>
                                          <a:picLocks noChangeAspect="1" noChangeArrowheads="1"/>
                                        </pic:cNvPicPr>
                                      </pic:nvPicPr>
                                      <pic:blipFill>
                                        <a:blip r:embed="rId1"/>
                                        <a:srcRect l="-17" t="-68" r="-17" b="-68"/>
                                        <a:stretch>
                                          <a:fillRect/>
                                        </a:stretch>
                                      </pic:blipFill>
                                      <pic:spPr bwMode="auto">
                                        <a:xfrm>
                                          <a:off x="0" y="0"/>
                                          <a:ext cx="2057400" cy="523875"/>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201.6pt;height:50.4pt;mso-wrap-distance-left:9.35pt;mso-wrap-distance-right:9.35pt;mso-wrap-distance-top:0pt;mso-wrap-distance-bottom:0pt;margin-top:-104.1pt;mso-position-vertical-relative:text;margin-left:201.75pt;mso-position-horizontal-relative:page">
              <v:fill opacity="0f"/>
              <v:textbox inset="0in,0in,0in,0in">
                <w:txbxContent>
                  <w:p>
                    <w:pPr>
                      <w:pStyle w:val="Normal"/>
                      <w:shd w:fill="FFFFFF" w:val="clear"/>
                      <w:rPr>
                        <w:lang w:val="en-CA"/>
                      </w:rPr>
                    </w:pPr>
                    <w:r>
                      <w:rPr>
                        <w:lang w:val="en-CA"/>
                      </w:rPr>
                      <w:drawing>
                        <wp:inline distT="0" distB="0" distL="0" distR="0">
                          <wp:extent cx="2057400" cy="523875"/>
                          <wp:effectExtent l="0" t="0" r="0" b="0"/>
                          <wp:docPr id="5" name="LMBLACK"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MBLACK" descr="" title=""/>
                                  <pic:cNvPicPr>
                                    <a:picLocks noChangeAspect="1" noChangeArrowheads="1"/>
                                  </pic:cNvPicPr>
                                </pic:nvPicPr>
                                <pic:blipFill>
                                  <a:blip r:embed="rId2"/>
                                  <a:srcRect l="-17" t="-68" r="-17" b="-68"/>
                                  <a:stretch>
                                    <a:fillRect/>
                                  </a:stretch>
                                </pic:blipFill>
                                <pic:spPr bwMode="auto">
                                  <a:xfrm>
                                    <a:off x="0" y="0"/>
                                    <a:ext cx="2057400" cy="523875"/>
                                  </a:xfrm>
                                  <a:prstGeom prst="rect">
                                    <a:avLst/>
                                  </a:prstGeom>
                                  <a:noFill/>
                                </pic:spPr>
                              </pic:pic>
                            </a:graphicData>
                          </a:graphic>
                        </wp:inline>
                      </w:drawing>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sz w:val="22"/>
        </w:rPr>
        <w:t>The procedure for challenging a company’s actions involves an initial filing of an administrative, “unfair labor practice” charge with the Board.  The local regional director of the NLRB investigates that charge and decides whether or not to issue a complaint.  If the regional director issues a complaint, the case is heard by an administrative law judge, who typically is a former Board agent.  The losing party may appeal an adverse decision to the Board in Washington, D.C.  Either party may then appeal the Board’s decision to a Federal court of appeals, which will enforce, modify, or deny enforcement to the Board’s order.</w:t>
      </w:r>
    </w:p>
  </w:footnote>
  <w:footnote w:id="3">
    <w:p>
      <w:pPr>
        <w:pStyle w:val="FootnoteText"/>
        <w:jc w:val="both"/>
        <w:rPr/>
      </w:pPr>
      <w:r>
        <w:rPr>
          <w:rStyle w:val="FootnoteCharacters"/>
        </w:rPr>
        <w:footnoteRef/>
      </w:r>
      <w:r>
        <w:rPr>
          <w:sz w:val="20"/>
        </w:rPr>
        <w:t xml:space="preserve"> </w:t>
      </w:r>
      <w:r>
        <w:rPr>
          <w:sz w:val="22"/>
        </w:rPr>
        <w:t>Please see Guidelines for Conduct of Business and the Checklist on Double-Breasted Contracting, which I sent to you previously.</w:t>
      </w:r>
    </w:p>
    <w:p>
      <w:pPr>
        <w:pStyle w:val="FootnoteText"/>
        <w:rPr>
          <w:sz w:val="20"/>
        </w:rPr>
      </w:pPr>
      <w:r>
        <w:rPr>
          <w:sz w:val="20"/>
        </w:rPr>
      </w:r>
    </w:p>
  </w:footnote>
  <w:footnote w:id="4">
    <w:p>
      <w:pPr>
        <w:pStyle w:val="FootnoteText"/>
        <w:jc w:val="both"/>
        <w:rPr/>
      </w:pPr>
      <w:r>
        <w:rPr>
          <w:rStyle w:val="FootnoteCharacters"/>
        </w:rPr>
        <w:footnoteRef/>
      </w:r>
      <w:r>
        <w:rPr/>
        <w:t xml:space="preserve"> </w:t>
      </w:r>
      <w:r>
        <w:rPr>
          <w:sz w:val="22"/>
        </w:rPr>
        <w:t>The Company also should be aware of the practical concerns associated with operating a non-union company near a union company.  Contact between employees represented by a union and non-union employees sometimes results in a union organizing drive that is unrelated to double-breasted status.  This may include picketing and handbilling of the non-union employees.  In addition, it is unlawful for employers to refuse to hire union-friendly employees, and applicants from the union hall are more likely if a non-union company is operating near a union company.</w:t>
      </w:r>
    </w:p>
  </w:footnote>
  <w:footnote w:id="5">
    <w:p>
      <w:pPr>
        <w:pStyle w:val="FootnoteText"/>
        <w:jc w:val="both"/>
        <w:rPr/>
      </w:pPr>
      <w:r>
        <w:rPr>
          <w:rStyle w:val="FootnoteCharacters"/>
        </w:rPr>
        <w:footnoteRef/>
      </w:r>
      <w:r>
        <w:rPr/>
        <w:t xml:space="preserve"> </w:t>
      </w:r>
      <w:r>
        <w:rPr>
          <w:sz w:val="22"/>
        </w:rPr>
        <w:t>You also have raised the question about the name of NEWCO.  As indicated in our research for Enron Energy Services on this issue, the name itself should not be a significant factor in a challenge to double-breasting status.  Some variation of “Enron” in the name should be acceptable, particularly because the non-union company, NEPCO, does not have a version of Enron in its name.  We suggest you work with the public relations staff of Enron to determine if there may be practical advantages or disadvantages to using the Enron name in the union company.  In addition, please let me know if you want a copy of the research we did for Enron Energy Services on this issue.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160" w:after="0"/>
      <w:rPr/>
    </w:pPr>
    <w:r>
      <w:rPr/>
    </w:r>
  </w:p>
  <w:p>
    <w:pPr>
      <w:pStyle w:val="Normal"/>
      <w:rPr/>
    </w:pPr>
    <w:r>
      <w:rPr/>
      <w:t>Mr. John Schwartzenburg</w:t>
    </w:r>
  </w:p>
  <w:p>
    <w:pPr>
      <w:pStyle w:val="Normal"/>
      <w:rPr/>
    </w:pPr>
    <w:r>
      <w:rPr/>
      <w:t>Assistant General Counsel</w:t>
    </w:r>
  </w:p>
  <w:p>
    <w:pPr>
      <w:pStyle w:val="Normal"/>
      <w:rPr/>
    </w:pPr>
    <w:r>
      <w:rPr/>
      <w:t>Enron Engineering &amp; Construction Company</w:t>
    </w:r>
  </w:p>
  <w:p>
    <w:pPr>
      <w:pStyle w:val="Normal"/>
      <w:rPr/>
    </w:pPr>
    <w:r>
      <w:rPr/>
    </w:r>
  </w:p>
  <w:p>
    <w:pPr>
      <w:pStyle w:val="Header"/>
      <w:rPr/>
    </w:pPr>
    <w:r>
      <w:rPr/>
      <w:t xml:space="preserve">Page </w:t>
    </w:r>
    <w:r>
      <w:rPr/>
      <w:fldChar w:fldCharType="begin"/>
    </w:r>
    <w:r>
      <w:rPr/>
      <w:instrText xml:space="preserve"> PAGE </w:instrText>
    </w:r>
    <w:r>
      <w:rPr/>
      <w:fldChar w:fldCharType="separate"/>
    </w:r>
    <w:r>
      <w:rPr/>
      <w:t>7</w:t>
    </w:r>
    <w:r>
      <w:rPr/>
      <w:fldChar w:fldCharType="end"/>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chkIncludeDPhrase" w:val="False"/>
    <w:docVar w:name="chkIncludeLetterClosing" w:val="True"/>
    <w:docVar w:name="chkOptAuthorBlock" w:val="True"/>
    <w:docVar w:name="chkOptAuthorPhone" w:val="True"/>
    <w:docVar w:name="chkOptDateAsField" w:val="True"/>
    <w:docVar w:name="chkOptFax" w:val="True"/>
    <w:docVar w:name="chkOptFirmName" w:val="False"/>
    <w:docVar w:name="chkOptInternetID" w:val="True"/>
    <w:docVar w:name="chkOptLHName" w:val="True"/>
    <w:docVar w:name="cmbAuthor" w:val="2886"/>
    <w:docVar w:name="cmbAuthorLists" w:val="-100"/>
    <w:docVar w:name="cmbOptBodyTextAlignment" w:val="3"/>
    <w:docVar w:name="cmbOptClosingPhrases" w:val="Very truly yours,"/>
    <w:docVar w:name="cmbOptFonts" w:val="Times New Roman"/>
    <w:docVar w:name="cmbOptLetterhead" w:val="Word-generated"/>
    <w:docVar w:name="cmbOptOffices" w:val="Houston"/>
    <w:docVar w:name="cmbOptSigType" w:val="Attorney"/>
    <w:docVar w:name="cmbPrefLists" w:val="-100"/>
    <w:docVar w:name="cmbSetAuthorPref" w:val="2886"/>
    <w:docVar w:name="LH" w:val="WORD-GENERATED"/>
    <w:docVar w:name="lstDeliveryPhrases" w:val="Attorney-Client Privileged"/>
    <w:docVar w:name="packedarray" w:val="Mr. John Schwartzenburg&#10;Assistant General Counsel&#10;Enron Engineering &amp; Construction Company†333 Clay Street, Suite 780&#10;Houston., Texas 77002"/>
    <w:docVar w:name="Restarted" w:val="True"/>
    <w:docVar w:name="tglUseFirmDefaults" w:val="False"/>
    <w:docVar w:name="txtAddress" w:val="333 Clay Street, Suite 780&#10;Houston., Texas 77002"/>
    <w:docVar w:name="txtAuthor" w:val="Kerry E. Notestine"/>
    <w:docVar w:name="txtFax" w:val="713.951.9212"/>
    <w:docVar w:name="txtInitials" w:val="KEN"/>
    <w:docVar w:name="txtLetterhead" w:val="Word-generated"/>
    <w:docVar w:name="txtNames" w:val="Mr. John Schwartzenburg&#10;Assistant General Counsel&#10;Enron Engineering &amp; Construction Company"/>
    <w:docVar w:name="txtNet_ID" w:val="knotestine@littler.com"/>
    <w:docVar w:name="txtOptFirstLine" w:val="0"/>
    <w:docVar w:name="txtOptFSize" w:val="12"/>
    <w:docVar w:name="txtOptLeftMargin" w:val="1.13"/>
    <w:docVar w:name="txtOptRightMargin" w:val="1.13"/>
    <w:docVar w:name="txtPhone" w:val="713.652.4748"/>
    <w:docVar w:name="zzmpFixed_MacPacVersion" w:val="97"/>
    <w:docVar w:name="zzmpFixedDOC_ID" w:val="HOUSTON:99374.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rFonts w:ascii="Times New Roman" w:hAnsi="Times New Roman" w:cs="Times New Roman"/>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pacing w:val="0"/>
      <w:sz w:val="16"/>
      <w:u w:val="none"/>
      <w:effect w:val="blinkBackground"/>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280" w:before="0" w:after="2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s>
    </w:pPr>
    <w:rPr/>
  </w:style>
  <w:style w:type="paragraph" w:styleId="BodyTextIndent">
    <w:name w:val="Body Text Indent"/>
    <w:basedOn w:val="Normal"/>
    <w:next w:val="BodyText"/>
    <w:pPr>
      <w:ind w:hanging="0" w:start="720" w:end="0"/>
    </w:pPr>
    <w:rPr/>
  </w:style>
  <w:style w:type="paragraph" w:styleId="Quote">
    <w:name w:val="Quote"/>
    <w:basedOn w:val="Normal"/>
    <w:next w:val="BodyTextContinued"/>
    <w:qFormat/>
    <w:pPr>
      <w:widowControl w:val="false"/>
      <w:spacing w:lineRule="atLeast" w:line="240" w:before="240" w:after="0"/>
      <w:ind w:hanging="0" w:start="1440" w:end="1440"/>
    </w:pPr>
    <w:rPr/>
  </w:style>
  <w:style w:type="paragraph" w:styleId="BodyTextContinued">
    <w:name w:val="Body Text Continued"/>
    <w:basedOn w:val="BodyText"/>
    <w:next w:val="BodyText"/>
    <w:qFormat/>
    <w:pPr>
      <w:spacing w:before="0" w:after="0"/>
    </w:pPr>
    <w:rPr/>
  </w:style>
  <w:style w:type="paragraph" w:styleId="Centered">
    <w:name w:val="Centered"/>
    <w:basedOn w:val="Normal"/>
    <w:next w:val="BodyText"/>
    <w:qFormat/>
    <w:pPr>
      <w:spacing w:before="0" w:after="240"/>
      <w:jc w:val="center"/>
    </w:pPr>
    <w:rPr>
      <w:b/>
      <w:smallCaps/>
    </w:rPr>
  </w:style>
  <w:style w:type="paragraph" w:styleId="FootnoteText">
    <w:name w:val="footnote text"/>
    <w:basedOn w:val="Normal"/>
    <w:pPr/>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ind w:hanging="0" w:start="720" w:end="720"/>
    </w:pPr>
    <w:rPr/>
  </w:style>
  <w:style w:type="paragraph" w:styleId="PleadingSignature">
    <w:name w:val="Pleading Signature"/>
    <w:basedOn w:val="Normal"/>
    <w:qFormat/>
    <w:pPr>
      <w:tabs>
        <w:tab w:val="clear" w:pos="720"/>
        <w:tab w:val="left" w:pos="4680" w:leader="none"/>
        <w:tab w:val="right" w:pos="9000" w:leader="none"/>
      </w:tabs>
      <w:ind w:hanging="0" w:start="432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Address">
    <w:name w:val="Address"/>
    <w:basedOn w:val="Normal"/>
    <w:qFormat/>
    <w:pPr/>
    <w:rPr/>
  </w:style>
  <w:style w:type="paragraph" w:styleId="WW-Addressee">
    <w:name w:val="WW-Addressee"/>
    <w:basedOn w:val="Normal"/>
    <w:next w:val="Normal"/>
    <w:qFormat/>
    <w:pPr/>
    <w:rPr/>
  </w:style>
  <w:style w:type="paragraph" w:styleId="LetterSignature">
    <w:name w:val="Letter Signature"/>
    <w:basedOn w:val="Normal"/>
    <w:qFormat/>
    <w:pPr>
      <w:keepNext w:val="true"/>
      <w:keepLines/>
    </w:pPr>
    <w:rPr/>
  </w:style>
  <w:style w:type="paragraph" w:styleId="ReLine">
    <w:name w:val="ReLine"/>
    <w:basedOn w:val="Normal"/>
    <w:next w:val="Normal"/>
    <w:qFormat/>
    <w:pPr>
      <w:spacing w:before="240" w:after="0"/>
      <w:ind w:hanging="720" w:start="720" w:end="0"/>
    </w:pPr>
    <w:rPr/>
  </w:style>
  <w:style w:type="paragraph" w:styleId="Salutation">
    <w:name w:val="Salutation"/>
    <w:basedOn w:val="Normal"/>
    <w:next w:val="BodyText"/>
    <w:qFormat/>
    <w:pPr>
      <w:spacing w:before="240" w:after="240"/>
    </w:pPr>
    <w:rPr/>
  </w:style>
  <w:style w:type="paragraph" w:styleId="DeliveryPhrase">
    <w:name w:val="Delivery Phrase"/>
    <w:basedOn w:val="Normal"/>
    <w:next w:val="WW-Addressee"/>
    <w:qFormat/>
    <w:pPr>
      <w:spacing w:before="0" w:after="240"/>
    </w:pPr>
    <w:rPr>
      <w:b/>
    </w:rPr>
  </w:style>
  <w:style w:type="paragraph" w:styleId="Initials">
    <w:name w:val="Initials"/>
    <w:basedOn w:val="Normal"/>
    <w:qFormat/>
    <w:pPr/>
    <w:rPr/>
  </w:style>
  <w:style w:type="paragraph" w:styleId="OmniPage1">
    <w:name w:val="OmniPage #1"/>
    <w:basedOn w:val="Normal"/>
    <w:qFormat/>
    <w:pPr>
      <w:tabs>
        <w:tab w:val="clear" w:pos="720"/>
        <w:tab w:val="right" w:pos="2305" w:leader="none"/>
      </w:tabs>
      <w:spacing w:lineRule="exact" w:line="238"/>
      <w:ind w:hanging="0" w:start="50" w:end="50"/>
    </w:pPr>
    <w:rPr>
      <w:rFonts w:ascii="Courier New" w:hAnsi="Courier New" w:cs="Courier New"/>
      <w:sz w:val="20"/>
      <w:lang w:val="en-CA"/>
    </w:rPr>
  </w:style>
  <w:style w:type="paragraph" w:styleId="OmniPage2">
    <w:name w:val="OmniPage #2"/>
    <w:basedOn w:val="Normal"/>
    <w:qFormat/>
    <w:pPr>
      <w:tabs>
        <w:tab w:val="clear" w:pos="720"/>
        <w:tab w:val="right" w:pos="8800" w:leader="none"/>
      </w:tabs>
      <w:spacing w:lineRule="exact" w:line="240"/>
      <w:ind w:hanging="0" w:start="50" w:end="50"/>
      <w:jc w:val="both"/>
    </w:pPr>
    <w:rPr>
      <w:rFonts w:ascii="Courier New" w:hAnsi="Courier New" w:cs="Courier New"/>
      <w:sz w:val="20"/>
      <w:lang w:val="en-CA"/>
    </w:rPr>
  </w:style>
  <w:style w:type="paragraph" w:styleId="OmniPage3">
    <w:name w:val="OmniPage #3"/>
    <w:basedOn w:val="Normal"/>
    <w:qFormat/>
    <w:pPr>
      <w:tabs>
        <w:tab w:val="clear" w:pos="720"/>
        <w:tab w:val="left" w:pos="353" w:leader="none"/>
        <w:tab w:val="left" w:pos="634" w:leader="none"/>
        <w:tab w:val="right" w:pos="3792" w:leader="none"/>
      </w:tabs>
      <w:spacing w:lineRule="exact" w:line="238"/>
      <w:ind w:hanging="0" w:start="50" w:end="50"/>
    </w:pPr>
    <w:rPr>
      <w:rFonts w:ascii="Courier New" w:hAnsi="Courier New" w:cs="Courier New"/>
      <w:sz w:val="20"/>
      <w:lang w:val="en-CA"/>
    </w:rPr>
  </w:style>
  <w:style w:type="paragraph" w:styleId="OmniPage4">
    <w:name w:val="OmniPage #4"/>
    <w:basedOn w:val="Normal"/>
    <w:qFormat/>
    <w:pPr>
      <w:tabs>
        <w:tab w:val="clear" w:pos="720"/>
        <w:tab w:val="left" w:pos="783" w:leader="none"/>
        <w:tab w:val="right" w:pos="7431" w:leader="none"/>
      </w:tabs>
      <w:spacing w:lineRule="exact" w:line="243"/>
      <w:ind w:hanging="0" w:start="50" w:end="50"/>
    </w:pPr>
    <w:rPr>
      <w:rFonts w:ascii="Courier New" w:hAnsi="Courier New" w:cs="Courier New"/>
      <w:sz w:val="20"/>
      <w:lang w:val="en-CA"/>
    </w:rPr>
  </w:style>
  <w:style w:type="paragraph" w:styleId="OmniPage5">
    <w:name w:val="OmniPage #5"/>
    <w:basedOn w:val="Normal"/>
    <w:qFormat/>
    <w:pPr>
      <w:tabs>
        <w:tab w:val="clear" w:pos="720"/>
        <w:tab w:val="right" w:pos="8814" w:leader="none"/>
      </w:tabs>
      <w:spacing w:lineRule="exact" w:line="238"/>
      <w:ind w:hanging="0" w:start="50" w:end="50"/>
    </w:pPr>
    <w:rPr>
      <w:rFonts w:ascii="Courier New" w:hAnsi="Courier New" w:cs="Courier New"/>
      <w:sz w:val="20"/>
      <w:lang w:val="en-CA"/>
    </w:rPr>
  </w:style>
  <w:style w:type="paragraph" w:styleId="OmniPage6">
    <w:name w:val="OmniPage #6"/>
    <w:basedOn w:val="Normal"/>
    <w:qFormat/>
    <w:pPr>
      <w:tabs>
        <w:tab w:val="clear" w:pos="720"/>
        <w:tab w:val="right" w:pos="8796" w:leader="none"/>
      </w:tabs>
      <w:spacing w:lineRule="exact" w:line="241"/>
      <w:ind w:hanging="0" w:start="50" w:end="50"/>
      <w:jc w:val="both"/>
    </w:pPr>
    <w:rPr>
      <w:rFonts w:ascii="Courier New" w:hAnsi="Courier New" w:cs="Courier New"/>
      <w:sz w:val="20"/>
      <w:lang w:val="en-CA"/>
    </w:rPr>
  </w:style>
  <w:style w:type="paragraph" w:styleId="OmniPage7">
    <w:name w:val="OmniPage #7"/>
    <w:basedOn w:val="Normal"/>
    <w:qFormat/>
    <w:pPr>
      <w:tabs>
        <w:tab w:val="clear" w:pos="720"/>
        <w:tab w:val="right" w:pos="8839" w:leader="none"/>
      </w:tabs>
      <w:spacing w:lineRule="exact" w:line="243"/>
      <w:ind w:hanging="0" w:start="50" w:end="50"/>
      <w:jc w:val="both"/>
    </w:pPr>
    <w:rPr>
      <w:rFonts w:ascii="Courier New" w:hAnsi="Courier New" w:cs="Courier New"/>
      <w:sz w:val="20"/>
      <w:lang w:val="en-CA"/>
    </w:rPr>
  </w:style>
  <w:style w:type="paragraph" w:styleId="OmniPage257">
    <w:name w:val="OmniPage #257"/>
    <w:basedOn w:val="Normal"/>
    <w:qFormat/>
    <w:pPr>
      <w:tabs>
        <w:tab w:val="clear" w:pos="720"/>
        <w:tab w:val="right" w:pos="588" w:leader="none"/>
      </w:tabs>
      <w:spacing w:lineRule="exact" w:line="534"/>
      <w:ind w:hanging="0" w:start="50" w:end="50"/>
    </w:pPr>
    <w:rPr>
      <w:rFonts w:ascii="Courier New" w:hAnsi="Courier New" w:cs="Courier New"/>
      <w:sz w:val="20"/>
      <w:lang w:val="en-CA"/>
    </w:rPr>
  </w:style>
  <w:style w:type="paragraph" w:styleId="OmniPage258">
    <w:name w:val="OmniPage #258"/>
    <w:basedOn w:val="Normal"/>
    <w:qFormat/>
    <w:pPr>
      <w:tabs>
        <w:tab w:val="clear" w:pos="720"/>
        <w:tab w:val="right" w:pos="2624" w:leader="none"/>
      </w:tabs>
      <w:spacing w:lineRule="exact" w:line="240"/>
      <w:ind w:hanging="0" w:start="50" w:end="50"/>
    </w:pPr>
    <w:rPr>
      <w:rFonts w:ascii="Courier New" w:hAnsi="Courier New" w:cs="Courier New"/>
      <w:sz w:val="20"/>
      <w:lang w:val="en-CA"/>
    </w:rPr>
  </w:style>
  <w:style w:type="paragraph" w:styleId="OmniPage259">
    <w:name w:val="OmniPage #259"/>
    <w:basedOn w:val="Normal"/>
    <w:qFormat/>
    <w:pPr>
      <w:tabs>
        <w:tab w:val="clear" w:pos="720"/>
        <w:tab w:val="right" w:pos="8770" w:leader="none"/>
      </w:tabs>
      <w:spacing w:lineRule="exact" w:line="240"/>
      <w:ind w:hanging="0" w:start="50" w:end="50"/>
      <w:jc w:val="both"/>
    </w:pPr>
    <w:rPr>
      <w:rFonts w:ascii="Courier New" w:hAnsi="Courier New" w:cs="Courier New"/>
      <w:sz w:val="20"/>
      <w:lang w:val="en-CA"/>
    </w:rPr>
  </w:style>
  <w:style w:type="paragraph" w:styleId="OmniPage260">
    <w:name w:val="OmniPage #260"/>
    <w:basedOn w:val="Normal"/>
    <w:qFormat/>
    <w:pPr>
      <w:tabs>
        <w:tab w:val="clear" w:pos="720"/>
        <w:tab w:val="right" w:pos="8784" w:leader="none"/>
      </w:tabs>
      <w:spacing w:lineRule="exact" w:line="241"/>
      <w:ind w:hanging="0" w:start="50" w:end="50"/>
      <w:jc w:val="both"/>
    </w:pPr>
    <w:rPr>
      <w:rFonts w:ascii="Courier New" w:hAnsi="Courier New" w:cs="Courier New"/>
      <w:sz w:val="20"/>
      <w:lang w:val="en-CA"/>
    </w:rPr>
  </w:style>
  <w:style w:type="paragraph" w:styleId="OmniPage261">
    <w:name w:val="OmniPage #261"/>
    <w:basedOn w:val="Normal"/>
    <w:qFormat/>
    <w:pPr>
      <w:tabs>
        <w:tab w:val="clear" w:pos="720"/>
        <w:tab w:val="right" w:pos="8867" w:leader="none"/>
      </w:tabs>
      <w:spacing w:lineRule="exact" w:line="240"/>
      <w:ind w:hanging="0" w:start="50" w:end="50"/>
      <w:jc w:val="both"/>
    </w:pPr>
    <w:rPr>
      <w:rFonts w:ascii="Courier New" w:hAnsi="Courier New" w:cs="Courier New"/>
      <w:sz w:val="20"/>
      <w:lang w:val="en-CA"/>
    </w:rPr>
  </w:style>
  <w:style w:type="paragraph" w:styleId="OmniPage262">
    <w:name w:val="OmniPage #262"/>
    <w:basedOn w:val="Normal"/>
    <w:qFormat/>
    <w:pPr>
      <w:tabs>
        <w:tab w:val="clear" w:pos="720"/>
        <w:tab w:val="right" w:pos="8814" w:leader="none"/>
      </w:tabs>
      <w:spacing w:lineRule="exact" w:line="242"/>
      <w:ind w:hanging="0" w:start="50" w:end="50"/>
      <w:jc w:val="both"/>
    </w:pPr>
    <w:rPr>
      <w:rFonts w:ascii="Courier New" w:hAnsi="Courier New" w:cs="Courier New"/>
      <w:sz w:val="20"/>
      <w:lang w:val="en-CA"/>
    </w:rPr>
  </w:style>
  <w:style w:type="paragraph" w:styleId="OmniPage263">
    <w:name w:val="OmniPage #263"/>
    <w:basedOn w:val="Normal"/>
    <w:qFormat/>
    <w:pPr>
      <w:tabs>
        <w:tab w:val="clear" w:pos="720"/>
        <w:tab w:val="right" w:pos="8818" w:leader="none"/>
      </w:tabs>
      <w:spacing w:lineRule="exact" w:line="241"/>
      <w:ind w:hanging="0" w:start="50" w:end="50"/>
      <w:jc w:val="both"/>
    </w:pPr>
    <w:rPr>
      <w:rFonts w:ascii="Courier New" w:hAnsi="Courier New" w:cs="Courier New"/>
      <w:sz w:val="20"/>
      <w:lang w:val="en-CA"/>
    </w:rPr>
  </w:style>
  <w:style w:type="paragraph" w:styleId="OmniPage513">
    <w:name w:val="OmniPage #513"/>
    <w:basedOn w:val="Normal"/>
    <w:qFormat/>
    <w:pPr>
      <w:tabs>
        <w:tab w:val="clear" w:pos="720"/>
        <w:tab w:val="right" w:pos="2631" w:leader="none"/>
      </w:tabs>
      <w:spacing w:lineRule="exact" w:line="238"/>
      <w:ind w:hanging="0" w:start="50" w:end="50"/>
    </w:pPr>
    <w:rPr>
      <w:rFonts w:ascii="Courier New" w:hAnsi="Courier New" w:cs="Courier New"/>
      <w:sz w:val="20"/>
      <w:lang w:val="en-CA"/>
    </w:rPr>
  </w:style>
  <w:style w:type="paragraph" w:styleId="OmniPage514">
    <w:name w:val="OmniPage #514"/>
    <w:basedOn w:val="Normal"/>
    <w:qFormat/>
    <w:pPr>
      <w:tabs>
        <w:tab w:val="clear" w:pos="720"/>
        <w:tab w:val="right" w:pos="8793" w:leader="none"/>
      </w:tabs>
      <w:spacing w:lineRule="exact" w:line="239"/>
      <w:ind w:hanging="0" w:start="50" w:end="50"/>
      <w:jc w:val="both"/>
    </w:pPr>
    <w:rPr>
      <w:rFonts w:ascii="Courier New" w:hAnsi="Courier New" w:cs="Courier New"/>
      <w:sz w:val="20"/>
      <w:lang w:val="en-CA"/>
    </w:rPr>
  </w:style>
  <w:style w:type="paragraph" w:styleId="OmniPage515">
    <w:name w:val="OmniPage #515"/>
    <w:basedOn w:val="Normal"/>
    <w:qFormat/>
    <w:pPr>
      <w:tabs>
        <w:tab w:val="clear" w:pos="720"/>
        <w:tab w:val="right" w:pos="8807" w:leader="none"/>
      </w:tabs>
      <w:spacing w:lineRule="exact" w:line="241"/>
      <w:ind w:hanging="0" w:start="50" w:end="50"/>
      <w:jc w:val="both"/>
    </w:pPr>
    <w:rPr>
      <w:rFonts w:ascii="Courier New" w:hAnsi="Courier New" w:cs="Courier New"/>
      <w:sz w:val="20"/>
      <w:lang w:val="en-CA"/>
    </w:rPr>
  </w:style>
  <w:style w:type="paragraph" w:styleId="OmniPage516">
    <w:name w:val="OmniPage #516"/>
    <w:basedOn w:val="Normal"/>
    <w:qFormat/>
    <w:pPr>
      <w:tabs>
        <w:tab w:val="clear" w:pos="720"/>
        <w:tab w:val="right" w:pos="8812" w:leader="none"/>
      </w:tabs>
      <w:spacing w:lineRule="exact" w:line="242"/>
      <w:ind w:hanging="0" w:start="50" w:end="50"/>
      <w:jc w:val="both"/>
    </w:pPr>
    <w:rPr>
      <w:rFonts w:ascii="Courier New" w:hAnsi="Courier New" w:cs="Courier New"/>
      <w:sz w:val="20"/>
      <w:lang w:val="en-CA"/>
    </w:rPr>
  </w:style>
  <w:style w:type="paragraph" w:styleId="OmniPage517">
    <w:name w:val="OmniPage #517"/>
    <w:basedOn w:val="Normal"/>
    <w:qFormat/>
    <w:pPr>
      <w:tabs>
        <w:tab w:val="clear" w:pos="720"/>
        <w:tab w:val="right" w:pos="8804" w:leader="none"/>
      </w:tabs>
      <w:spacing w:lineRule="exact" w:line="243"/>
      <w:ind w:hanging="0" w:start="50" w:end="50"/>
      <w:jc w:val="both"/>
    </w:pPr>
    <w:rPr>
      <w:rFonts w:ascii="Courier New" w:hAnsi="Courier New" w:cs="Courier New"/>
      <w:sz w:val="20"/>
      <w:lang w:val="en-CA"/>
    </w:rPr>
  </w:style>
  <w:style w:type="paragraph" w:styleId="OmniPage769">
    <w:name w:val="OmniPage #769"/>
    <w:basedOn w:val="Normal"/>
    <w:qFormat/>
    <w:pPr>
      <w:tabs>
        <w:tab w:val="clear" w:pos="720"/>
        <w:tab w:val="right" w:pos="2653" w:leader="none"/>
      </w:tabs>
      <w:spacing w:lineRule="exact" w:line="237"/>
      <w:ind w:hanging="0" w:start="50" w:end="50"/>
    </w:pPr>
    <w:rPr>
      <w:rFonts w:ascii="Courier New" w:hAnsi="Courier New" w:cs="Courier New"/>
      <w:sz w:val="20"/>
      <w:lang w:val="en-CA"/>
    </w:rPr>
  </w:style>
  <w:style w:type="paragraph" w:styleId="OmniPage770">
    <w:name w:val="OmniPage #770"/>
    <w:basedOn w:val="Normal"/>
    <w:qFormat/>
    <w:pPr>
      <w:tabs>
        <w:tab w:val="clear" w:pos="720"/>
        <w:tab w:val="right" w:pos="8822" w:leader="none"/>
      </w:tabs>
      <w:spacing w:lineRule="exact" w:line="241"/>
      <w:ind w:hanging="0" w:start="50" w:end="50"/>
      <w:jc w:val="both"/>
    </w:pPr>
    <w:rPr>
      <w:rFonts w:ascii="Courier New" w:hAnsi="Courier New" w:cs="Courier New"/>
      <w:sz w:val="20"/>
      <w:lang w:val="en-CA"/>
    </w:rPr>
  </w:style>
  <w:style w:type="paragraph" w:styleId="OmniPage771">
    <w:name w:val="OmniPage #771"/>
    <w:basedOn w:val="Normal"/>
    <w:qFormat/>
    <w:pPr>
      <w:tabs>
        <w:tab w:val="clear" w:pos="720"/>
        <w:tab w:val="right" w:pos="8802" w:leader="none"/>
      </w:tabs>
      <w:spacing w:lineRule="exact" w:line="241"/>
      <w:ind w:hanging="0" w:start="50" w:end="50"/>
      <w:jc w:val="both"/>
    </w:pPr>
    <w:rPr>
      <w:rFonts w:ascii="Courier New" w:hAnsi="Courier New" w:cs="Courier New"/>
      <w:sz w:val="20"/>
      <w:lang w:val="en-CA"/>
    </w:rPr>
  </w:style>
  <w:style w:type="paragraph" w:styleId="OmniPage772">
    <w:name w:val="OmniPage #772"/>
    <w:basedOn w:val="Normal"/>
    <w:qFormat/>
    <w:pPr>
      <w:tabs>
        <w:tab w:val="clear" w:pos="720"/>
        <w:tab w:val="right" w:pos="8822" w:leader="none"/>
      </w:tabs>
      <w:spacing w:lineRule="exact" w:line="242"/>
      <w:ind w:hanging="0" w:start="50" w:end="50"/>
      <w:jc w:val="both"/>
    </w:pPr>
    <w:rPr>
      <w:rFonts w:ascii="Courier New" w:hAnsi="Courier New" w:cs="Courier New"/>
      <w:sz w:val="20"/>
      <w:lang w:val="en-CA"/>
    </w:rPr>
  </w:style>
  <w:style w:type="paragraph" w:styleId="OmniPage773">
    <w:name w:val="OmniPage #773"/>
    <w:basedOn w:val="Normal"/>
    <w:qFormat/>
    <w:pPr>
      <w:tabs>
        <w:tab w:val="clear" w:pos="720"/>
        <w:tab w:val="right" w:pos="8829" w:leader="none"/>
      </w:tabs>
      <w:spacing w:lineRule="exact" w:line="242"/>
      <w:ind w:hanging="0" w:start="50" w:end="50"/>
      <w:jc w:val="both"/>
    </w:pPr>
    <w:rPr>
      <w:rFonts w:ascii="Courier New" w:hAnsi="Courier New" w:cs="Courier New"/>
      <w:sz w:val="20"/>
      <w:lang w:val="en-CA"/>
    </w:rPr>
  </w:style>
  <w:style w:type="paragraph" w:styleId="OmniPage1025">
    <w:name w:val="OmniPage #1025"/>
    <w:basedOn w:val="Normal"/>
    <w:qFormat/>
    <w:pPr>
      <w:tabs>
        <w:tab w:val="clear" w:pos="720"/>
        <w:tab w:val="right" w:pos="2653" w:leader="none"/>
      </w:tabs>
      <w:spacing w:lineRule="exact" w:line="240"/>
      <w:ind w:hanging="0" w:start="50" w:end="50"/>
    </w:pPr>
    <w:rPr>
      <w:rFonts w:ascii="Courier New" w:hAnsi="Courier New" w:cs="Courier New"/>
      <w:sz w:val="20"/>
      <w:lang w:val="en-CA"/>
    </w:rPr>
  </w:style>
  <w:style w:type="paragraph" w:styleId="OmniPage1026">
    <w:name w:val="OmniPage #1026"/>
    <w:basedOn w:val="Normal"/>
    <w:qFormat/>
    <w:pPr>
      <w:tabs>
        <w:tab w:val="clear" w:pos="720"/>
        <w:tab w:val="right" w:pos="5546" w:leader="none"/>
      </w:tabs>
      <w:spacing w:lineRule="exact" w:line="238"/>
      <w:ind w:hanging="0" w:start="50" w:end="50"/>
    </w:pPr>
    <w:rPr>
      <w:rFonts w:ascii="Courier New" w:hAnsi="Courier New" w:cs="Courier New"/>
      <w:sz w:val="20"/>
      <w:lang w:val="en-CA"/>
    </w:rPr>
  </w:style>
  <w:style w:type="paragraph" w:styleId="OmniPage1027">
    <w:name w:val="OmniPage #1027"/>
    <w:basedOn w:val="Normal"/>
    <w:qFormat/>
    <w:pPr>
      <w:tabs>
        <w:tab w:val="clear" w:pos="720"/>
        <w:tab w:val="left" w:pos="810" w:leader="none"/>
        <w:tab w:val="right" w:pos="8032" w:leader="none"/>
      </w:tabs>
      <w:spacing w:lineRule="exact" w:line="241"/>
      <w:ind w:hanging="710" w:start="760" w:end="50"/>
    </w:pPr>
    <w:rPr>
      <w:rFonts w:ascii="Courier New" w:hAnsi="Courier New" w:cs="Courier New"/>
      <w:sz w:val="20"/>
      <w:lang w:val="en-CA"/>
    </w:rPr>
  </w:style>
  <w:style w:type="paragraph" w:styleId="OmniPage1028">
    <w:name w:val="OmniPage #1028"/>
    <w:basedOn w:val="Normal"/>
    <w:qFormat/>
    <w:pPr>
      <w:tabs>
        <w:tab w:val="clear" w:pos="720"/>
        <w:tab w:val="left" w:pos="766" w:leader="none"/>
        <w:tab w:val="right" w:pos="8069" w:leader="none"/>
      </w:tabs>
      <w:spacing w:lineRule="exact" w:line="238"/>
      <w:ind w:hanging="0" w:start="50" w:end="50"/>
    </w:pPr>
    <w:rPr>
      <w:rFonts w:ascii="Courier New" w:hAnsi="Courier New" w:cs="Courier New"/>
      <w:sz w:val="20"/>
      <w:lang w:val="en-CA"/>
    </w:rPr>
  </w:style>
  <w:style w:type="paragraph" w:styleId="OmniPage1029">
    <w:name w:val="OmniPage #1029"/>
    <w:basedOn w:val="Normal"/>
    <w:qFormat/>
    <w:pPr>
      <w:tabs>
        <w:tab w:val="clear" w:pos="720"/>
        <w:tab w:val="left" w:pos="819" w:leader="none"/>
        <w:tab w:val="right" w:pos="8031" w:leader="none"/>
      </w:tabs>
      <w:spacing w:lineRule="exact" w:line="237"/>
      <w:ind w:hanging="719" w:start="769" w:end="50"/>
      <w:jc w:val="both"/>
    </w:pPr>
    <w:rPr>
      <w:rFonts w:ascii="Courier New" w:hAnsi="Courier New" w:cs="Courier New"/>
      <w:sz w:val="20"/>
      <w:lang w:val="en-CA"/>
    </w:rPr>
  </w:style>
  <w:style w:type="paragraph" w:styleId="OmniPage1030">
    <w:name w:val="OmniPage #1030"/>
    <w:basedOn w:val="Normal"/>
    <w:qFormat/>
    <w:pPr>
      <w:tabs>
        <w:tab w:val="clear" w:pos="720"/>
        <w:tab w:val="left" w:pos="770" w:leader="none"/>
        <w:tab w:val="right" w:pos="8074" w:leader="none"/>
      </w:tabs>
      <w:spacing w:lineRule="exact" w:line="238"/>
      <w:ind w:hanging="0" w:start="50" w:end="50"/>
    </w:pPr>
    <w:rPr>
      <w:rFonts w:ascii="Courier New" w:hAnsi="Courier New" w:cs="Courier New"/>
      <w:sz w:val="20"/>
      <w:lang w:val="en-CA"/>
    </w:rPr>
  </w:style>
  <w:style w:type="paragraph" w:styleId="OmniPage1031">
    <w:name w:val="OmniPage #1031"/>
    <w:basedOn w:val="Normal"/>
    <w:qFormat/>
    <w:pPr>
      <w:tabs>
        <w:tab w:val="clear" w:pos="720"/>
        <w:tab w:val="left" w:pos="816" w:leader="none"/>
        <w:tab w:val="right" w:pos="8038" w:leader="none"/>
      </w:tabs>
      <w:spacing w:lineRule="exact" w:line="242"/>
      <w:ind w:hanging="716" w:start="766" w:end="50"/>
      <w:jc w:val="both"/>
    </w:pPr>
    <w:rPr>
      <w:rFonts w:ascii="Courier New" w:hAnsi="Courier New" w:cs="Courier New"/>
      <w:sz w:val="20"/>
      <w:lang w:val="en-CA"/>
    </w:rPr>
  </w:style>
  <w:style w:type="paragraph" w:styleId="OmniPage1032">
    <w:name w:val="OmniPage #1032"/>
    <w:basedOn w:val="Normal"/>
    <w:qFormat/>
    <w:pPr>
      <w:tabs>
        <w:tab w:val="clear" w:pos="720"/>
        <w:tab w:val="right" w:pos="415" w:leader="none"/>
      </w:tabs>
      <w:spacing w:lineRule="exact" w:line="238"/>
      <w:ind w:hanging="0" w:start="50" w:end="50"/>
    </w:pPr>
    <w:rPr>
      <w:rFonts w:ascii="Courier New" w:hAnsi="Courier New" w:cs="Courier New"/>
      <w:sz w:val="20"/>
      <w:lang w:val="en-CA"/>
    </w:rPr>
  </w:style>
  <w:style w:type="paragraph" w:styleId="OmniPage1033">
    <w:name w:val="OmniPage #1033"/>
    <w:basedOn w:val="Normal"/>
    <w:qFormat/>
    <w:pPr>
      <w:tabs>
        <w:tab w:val="clear" w:pos="720"/>
        <w:tab w:val="right" w:pos="558" w:leader="none"/>
      </w:tabs>
      <w:spacing w:lineRule="exact" w:line="238"/>
      <w:ind w:hanging="0" w:start="50" w:end="50"/>
    </w:pPr>
    <w:rPr>
      <w:rFonts w:ascii="Courier New" w:hAnsi="Courier New" w:cs="Courier New"/>
      <w:sz w:val="20"/>
      <w:lang w:val="en-CA"/>
    </w:rPr>
  </w:style>
  <w:style w:type="paragraph" w:styleId="OmniPage1034">
    <w:name w:val="OmniPage #1034"/>
    <w:basedOn w:val="Normal"/>
    <w:qFormat/>
    <w:pPr>
      <w:tabs>
        <w:tab w:val="clear" w:pos="720"/>
        <w:tab w:val="right" w:pos="562" w:leader="none"/>
      </w:tabs>
      <w:spacing w:lineRule="exact" w:line="238"/>
      <w:ind w:hanging="0" w:start="50" w:end="50"/>
    </w:pPr>
    <w:rPr>
      <w:rFonts w:ascii="Courier New" w:hAnsi="Courier New" w:cs="Courier New"/>
      <w:sz w:val="20"/>
      <w:lang w:val="en-CA"/>
    </w:rPr>
  </w:style>
  <w:style w:type="paragraph" w:styleId="OmniPage1035">
    <w:name w:val="OmniPage #1035"/>
    <w:basedOn w:val="Normal"/>
    <w:qFormat/>
    <w:pPr>
      <w:tabs>
        <w:tab w:val="clear" w:pos="720"/>
        <w:tab w:val="right" w:pos="7342" w:leader="none"/>
      </w:tabs>
      <w:spacing w:lineRule="exact" w:line="240"/>
      <w:ind w:hanging="0" w:start="50" w:end="50"/>
    </w:pPr>
    <w:rPr>
      <w:rFonts w:ascii="Courier New" w:hAnsi="Courier New" w:cs="Courier New"/>
      <w:sz w:val="20"/>
      <w:lang w:val="en-CA"/>
    </w:rPr>
  </w:style>
  <w:style w:type="paragraph" w:styleId="OmniPage1036">
    <w:name w:val="OmniPage #1036"/>
    <w:basedOn w:val="Normal"/>
    <w:qFormat/>
    <w:pPr>
      <w:tabs>
        <w:tab w:val="clear" w:pos="720"/>
        <w:tab w:val="right" w:pos="7320" w:leader="none"/>
      </w:tabs>
      <w:spacing w:lineRule="exact" w:line="240"/>
      <w:ind w:hanging="0" w:start="50" w:end="50"/>
    </w:pPr>
    <w:rPr>
      <w:rFonts w:ascii="Courier New" w:hAnsi="Courier New" w:cs="Courier New"/>
      <w:sz w:val="20"/>
      <w:lang w:val="en-CA"/>
    </w:rPr>
  </w:style>
  <w:style w:type="paragraph" w:styleId="OmniPage1037">
    <w:name w:val="OmniPage #1037"/>
    <w:basedOn w:val="Normal"/>
    <w:qFormat/>
    <w:pPr>
      <w:tabs>
        <w:tab w:val="clear" w:pos="720"/>
        <w:tab w:val="right" w:pos="7334" w:leader="none"/>
      </w:tabs>
      <w:spacing w:lineRule="exact" w:line="235"/>
      <w:ind w:hanging="0" w:start="50" w:end="50"/>
    </w:pPr>
    <w:rPr>
      <w:rFonts w:ascii="Courier New" w:hAnsi="Courier New" w:cs="Courier New"/>
      <w:sz w:val="20"/>
      <w:lang w:val="en-CA"/>
    </w:rPr>
  </w:style>
  <w:style w:type="paragraph" w:styleId="OmniPage1038">
    <w:name w:val="OmniPage #1038"/>
    <w:basedOn w:val="Normal"/>
    <w:qFormat/>
    <w:pPr>
      <w:tabs>
        <w:tab w:val="clear" w:pos="720"/>
        <w:tab w:val="left" w:pos="750" w:leader="none"/>
        <w:tab w:val="right" w:pos="8038" w:leader="none"/>
      </w:tabs>
      <w:spacing w:lineRule="exact" w:line="238"/>
      <w:ind w:hanging="0" w:start="50" w:end="50"/>
    </w:pPr>
    <w:rPr>
      <w:rFonts w:ascii="Courier New" w:hAnsi="Courier New" w:cs="Courier New"/>
      <w:sz w:val="20"/>
      <w:lang w:val="en-CA"/>
    </w:rPr>
  </w:style>
  <w:style w:type="paragraph" w:styleId="OmniPage1039">
    <w:name w:val="OmniPage #1039"/>
    <w:basedOn w:val="Normal"/>
    <w:qFormat/>
    <w:pPr>
      <w:tabs>
        <w:tab w:val="clear" w:pos="720"/>
        <w:tab w:val="left" w:pos="815" w:leader="none"/>
        <w:tab w:val="right" w:pos="8031" w:leader="none"/>
      </w:tabs>
      <w:spacing w:lineRule="exact" w:line="245"/>
      <w:ind w:hanging="715" w:start="765" w:end="50"/>
      <w:jc w:val="both"/>
    </w:pPr>
    <w:rPr>
      <w:rFonts w:ascii="Courier New" w:hAnsi="Courier New" w:cs="Courier New"/>
      <w:sz w:val="20"/>
      <w:lang w:val="en-CA"/>
    </w:rPr>
  </w:style>
  <w:style w:type="paragraph" w:styleId="OmniPage1040">
    <w:name w:val="OmniPage #1040"/>
    <w:basedOn w:val="Normal"/>
    <w:qFormat/>
    <w:pPr>
      <w:tabs>
        <w:tab w:val="clear" w:pos="720"/>
        <w:tab w:val="left" w:pos="811" w:leader="none"/>
        <w:tab w:val="right" w:pos="8032" w:leader="none"/>
      </w:tabs>
      <w:spacing w:lineRule="exact" w:line="235"/>
      <w:ind w:hanging="711" w:start="761" w:end="50"/>
      <w:jc w:val="both"/>
    </w:pPr>
    <w:rPr>
      <w:rFonts w:ascii="Courier New" w:hAnsi="Courier New" w:cs="Courier New"/>
      <w:sz w:val="20"/>
      <w:lang w:val="en-CA"/>
    </w:rPr>
  </w:style>
  <w:style w:type="paragraph" w:styleId="OmniPage1041">
    <w:name w:val="OmniPage #1041"/>
    <w:basedOn w:val="Normal"/>
    <w:qFormat/>
    <w:pPr>
      <w:tabs>
        <w:tab w:val="clear" w:pos="720"/>
        <w:tab w:val="left" w:pos="766" w:leader="none"/>
        <w:tab w:val="right" w:pos="6843" w:leader="none"/>
      </w:tabs>
      <w:spacing w:lineRule="exact" w:line="238"/>
      <w:ind w:hanging="0" w:start="50" w:end="50"/>
    </w:pPr>
    <w:rPr>
      <w:rFonts w:ascii="Courier New" w:hAnsi="Courier New" w:cs="Courier New"/>
      <w:sz w:val="20"/>
      <w:lang w:val="en-CA"/>
    </w:rPr>
  </w:style>
  <w:style w:type="paragraph" w:styleId="OmniPage1042">
    <w:name w:val="OmniPage #1042"/>
    <w:basedOn w:val="Normal"/>
    <w:qFormat/>
    <w:pPr>
      <w:tabs>
        <w:tab w:val="clear" w:pos="720"/>
        <w:tab w:val="left" w:pos="761" w:leader="none"/>
        <w:tab w:val="right" w:pos="6676" w:leader="none"/>
      </w:tabs>
      <w:spacing w:lineRule="exact" w:line="238"/>
      <w:ind w:hanging="0" w:start="50" w:end="50"/>
    </w:pPr>
    <w:rPr>
      <w:rFonts w:ascii="Courier New" w:hAnsi="Courier New" w:cs="Courier New"/>
      <w:sz w:val="20"/>
      <w:lang w:val="en-CA"/>
    </w:rPr>
  </w:style>
  <w:style w:type="paragraph" w:styleId="OmniPage1281">
    <w:name w:val="OmniPage #1281"/>
    <w:basedOn w:val="Normal"/>
    <w:qFormat/>
    <w:pPr>
      <w:tabs>
        <w:tab w:val="clear" w:pos="720"/>
        <w:tab w:val="right" w:pos="2563" w:leader="none"/>
      </w:tabs>
      <w:spacing w:lineRule="exact" w:line="240"/>
      <w:ind w:hanging="0" w:start="50" w:end="50"/>
    </w:pPr>
    <w:rPr>
      <w:rFonts w:ascii="Courier New" w:hAnsi="Courier New" w:cs="Courier New"/>
      <w:sz w:val="20"/>
      <w:lang w:val="en-CA"/>
    </w:rPr>
  </w:style>
  <w:style w:type="paragraph" w:styleId="OmniPage1282">
    <w:name w:val="OmniPage #1282"/>
    <w:basedOn w:val="Normal"/>
    <w:qFormat/>
    <w:pPr>
      <w:tabs>
        <w:tab w:val="clear" w:pos="720"/>
        <w:tab w:val="right" w:pos="605" w:leader="none"/>
      </w:tabs>
      <w:spacing w:lineRule="exact" w:line="577"/>
      <w:ind w:hanging="0" w:start="50" w:end="50"/>
    </w:pPr>
    <w:rPr>
      <w:rFonts w:ascii="Courier New" w:hAnsi="Courier New" w:cs="Courier New"/>
      <w:sz w:val="20"/>
      <w:lang w:val="en-CA"/>
    </w:rPr>
  </w:style>
  <w:style w:type="paragraph" w:styleId="OmniPage1283">
    <w:name w:val="OmniPage #1283"/>
    <w:basedOn w:val="Normal"/>
    <w:qFormat/>
    <w:pPr>
      <w:tabs>
        <w:tab w:val="clear" w:pos="720"/>
        <w:tab w:val="right" w:pos="7342" w:leader="none"/>
      </w:tabs>
      <w:spacing w:lineRule="exact" w:line="240"/>
      <w:ind w:hanging="0" w:start="50" w:end="50"/>
    </w:pPr>
    <w:rPr>
      <w:rFonts w:ascii="Courier New" w:hAnsi="Courier New" w:cs="Courier New"/>
      <w:sz w:val="20"/>
      <w:lang w:val="en-CA"/>
    </w:rPr>
  </w:style>
  <w:style w:type="paragraph" w:styleId="OmniPage1284">
    <w:name w:val="OmniPage #1284"/>
    <w:basedOn w:val="Normal"/>
    <w:qFormat/>
    <w:pPr>
      <w:tabs>
        <w:tab w:val="clear" w:pos="720"/>
        <w:tab w:val="left" w:pos="790" w:leader="none"/>
        <w:tab w:val="right" w:pos="8023" w:leader="none"/>
      </w:tabs>
      <w:spacing w:lineRule="exact" w:line="248"/>
      <w:ind w:hanging="690" w:start="740" w:end="50"/>
    </w:pPr>
    <w:rPr>
      <w:rFonts w:ascii="Courier New" w:hAnsi="Courier New" w:cs="Courier New"/>
      <w:sz w:val="20"/>
      <w:lang w:val="en-CA"/>
    </w:rPr>
  </w:style>
  <w:style w:type="paragraph" w:styleId="OmniPage1285">
    <w:name w:val="OmniPage #1285"/>
    <w:basedOn w:val="Normal"/>
    <w:qFormat/>
    <w:pPr>
      <w:tabs>
        <w:tab w:val="clear" w:pos="720"/>
        <w:tab w:val="left" w:pos="795" w:leader="none"/>
        <w:tab w:val="right" w:pos="8041" w:leader="none"/>
      </w:tabs>
      <w:spacing w:lineRule="exact" w:line="253"/>
      <w:ind w:hanging="695" w:start="745" w:end="50"/>
    </w:pPr>
    <w:rPr>
      <w:rFonts w:ascii="Courier New" w:hAnsi="Courier New" w:cs="Courier New"/>
      <w:sz w:val="20"/>
      <w:lang w:val="en-CA"/>
    </w:rPr>
  </w:style>
  <w:style w:type="paragraph" w:styleId="OmniPage1286">
    <w:name w:val="OmniPage #1286"/>
    <w:basedOn w:val="Normal"/>
    <w:qFormat/>
    <w:pPr>
      <w:tabs>
        <w:tab w:val="clear" w:pos="720"/>
        <w:tab w:val="left" w:pos="791" w:leader="none"/>
        <w:tab w:val="right" w:pos="8037" w:leader="none"/>
      </w:tabs>
      <w:spacing w:lineRule="exact" w:line="248"/>
      <w:ind w:hanging="691" w:start="741" w:end="50"/>
    </w:pPr>
    <w:rPr>
      <w:rFonts w:ascii="Courier New" w:hAnsi="Courier New" w:cs="Courier New"/>
      <w:sz w:val="20"/>
      <w:lang w:val="en-CA"/>
    </w:rPr>
  </w:style>
  <w:style w:type="paragraph" w:styleId="OmniPage1287">
    <w:name w:val="OmniPage #1287"/>
    <w:basedOn w:val="Normal"/>
    <w:qFormat/>
    <w:pPr>
      <w:tabs>
        <w:tab w:val="clear" w:pos="720"/>
        <w:tab w:val="left" w:pos="799" w:leader="none"/>
        <w:tab w:val="right" w:pos="8018" w:leader="none"/>
      </w:tabs>
      <w:spacing w:lineRule="exact" w:line="243"/>
      <w:ind w:hanging="699" w:start="749" w:end="50"/>
    </w:pPr>
    <w:rPr>
      <w:rFonts w:ascii="Courier New" w:hAnsi="Courier New" w:cs="Courier New"/>
      <w:sz w:val="20"/>
      <w:lang w:val="en-CA"/>
    </w:rPr>
  </w:style>
  <w:style w:type="paragraph" w:styleId="OmniPage1288">
    <w:name w:val="OmniPage #1288"/>
    <w:basedOn w:val="Normal"/>
    <w:qFormat/>
    <w:pPr>
      <w:tabs>
        <w:tab w:val="clear" w:pos="720"/>
        <w:tab w:val="right" w:pos="689" w:leader="none"/>
      </w:tabs>
      <w:spacing w:lineRule="exact" w:line="238"/>
      <w:ind w:hanging="0" w:start="50" w:end="50"/>
    </w:pPr>
    <w:rPr>
      <w:rFonts w:ascii="Courier New" w:hAnsi="Courier New" w:cs="Courier New"/>
      <w:sz w:val="20"/>
      <w:lang w:val="en-CA"/>
    </w:rPr>
  </w:style>
  <w:style w:type="paragraph" w:styleId="OmniPage1289">
    <w:name w:val="OmniPage #1289"/>
    <w:basedOn w:val="Normal"/>
    <w:qFormat/>
    <w:pPr>
      <w:tabs>
        <w:tab w:val="clear" w:pos="720"/>
        <w:tab w:val="right" w:pos="689" w:leader="none"/>
      </w:tabs>
      <w:spacing w:lineRule="exact" w:line="238"/>
      <w:ind w:hanging="0" w:start="53" w:end="50"/>
    </w:pPr>
    <w:rPr>
      <w:rFonts w:ascii="Courier New" w:hAnsi="Courier New" w:cs="Courier New"/>
      <w:sz w:val="20"/>
      <w:lang w:val="en-CA"/>
    </w:rPr>
  </w:style>
  <w:style w:type="paragraph" w:styleId="OmniPage1290">
    <w:name w:val="OmniPage #1290"/>
    <w:basedOn w:val="Normal"/>
    <w:qFormat/>
    <w:pPr>
      <w:tabs>
        <w:tab w:val="clear" w:pos="720"/>
        <w:tab w:val="right" w:pos="6715" w:leader="none"/>
      </w:tabs>
      <w:spacing w:lineRule="exact" w:line="238"/>
      <w:ind w:hanging="0" w:start="50" w:end="50"/>
    </w:pPr>
    <w:rPr>
      <w:rFonts w:ascii="Courier New" w:hAnsi="Courier New" w:cs="Courier New"/>
      <w:sz w:val="20"/>
      <w:lang w:val="en-CA"/>
    </w:rPr>
  </w:style>
  <w:style w:type="paragraph" w:styleId="OmniPage1291">
    <w:name w:val="OmniPage #1291"/>
    <w:basedOn w:val="Normal"/>
    <w:qFormat/>
    <w:pPr>
      <w:tabs>
        <w:tab w:val="clear" w:pos="720"/>
        <w:tab w:val="right" w:pos="7441" w:leader="none"/>
      </w:tabs>
      <w:spacing w:lineRule="exact" w:line="238"/>
      <w:ind w:hanging="0" w:start="50" w:end="50"/>
    </w:pPr>
    <w:rPr>
      <w:rFonts w:ascii="Courier New" w:hAnsi="Courier New" w:cs="Courier New"/>
      <w:sz w:val="20"/>
      <w:lang w:val="en-CA"/>
    </w:rPr>
  </w:style>
  <w:style w:type="paragraph" w:styleId="OmniPage1292">
    <w:name w:val="OmniPage #1292"/>
    <w:basedOn w:val="Normal"/>
    <w:qFormat/>
    <w:pPr>
      <w:tabs>
        <w:tab w:val="clear" w:pos="720"/>
        <w:tab w:val="left" w:pos="470" w:leader="none"/>
        <w:tab w:val="right" w:pos="7863" w:leader="none"/>
      </w:tabs>
      <w:spacing w:lineRule="exact" w:line="238"/>
      <w:ind w:hanging="0" w:start="50" w:end="50"/>
    </w:pPr>
    <w:rPr>
      <w:rFonts w:ascii="Courier New" w:hAnsi="Courier New" w:cs="Courier New"/>
      <w:sz w:val="20"/>
      <w:lang w:val="en-CA"/>
    </w:rPr>
  </w:style>
  <w:style w:type="paragraph" w:styleId="OmniPage1293">
    <w:name w:val="OmniPage #1293"/>
    <w:basedOn w:val="Normal"/>
    <w:qFormat/>
    <w:pPr>
      <w:tabs>
        <w:tab w:val="clear" w:pos="720"/>
        <w:tab w:val="right" w:pos="7330" w:leader="none"/>
      </w:tabs>
      <w:spacing w:lineRule="exact" w:line="235"/>
      <w:ind w:hanging="0" w:start="50" w:end="50"/>
    </w:pPr>
    <w:rPr>
      <w:rFonts w:ascii="Courier New" w:hAnsi="Courier New" w:cs="Courier New"/>
      <w:sz w:val="20"/>
      <w:lang w:val="en-CA"/>
    </w:rPr>
  </w:style>
  <w:style w:type="paragraph" w:styleId="OmniPage1294">
    <w:name w:val="OmniPage #1294"/>
    <w:basedOn w:val="Normal"/>
    <w:qFormat/>
    <w:pPr>
      <w:tabs>
        <w:tab w:val="clear" w:pos="720"/>
        <w:tab w:val="right" w:pos="8830" w:leader="none"/>
      </w:tabs>
      <w:spacing w:lineRule="exact" w:line="241"/>
      <w:ind w:hanging="0" w:start="50" w:end="50"/>
      <w:jc w:val="both"/>
    </w:pPr>
    <w:rPr>
      <w:rFonts w:ascii="Courier New" w:hAnsi="Courier New" w:cs="Courier New"/>
      <w:sz w:val="20"/>
      <w:lang w:val="en-CA"/>
    </w:rPr>
  </w:style>
  <w:style w:type="paragraph" w:styleId="OmniPage1295">
    <w:name w:val="OmniPage #1295"/>
    <w:basedOn w:val="Normal"/>
    <w:qFormat/>
    <w:pPr>
      <w:tabs>
        <w:tab w:val="clear" w:pos="720"/>
        <w:tab w:val="right" w:pos="8816" w:leader="none"/>
      </w:tabs>
      <w:spacing w:lineRule="exact" w:line="242"/>
      <w:ind w:hanging="0" w:start="50" w:end="50"/>
      <w:jc w:val="both"/>
    </w:pPr>
    <w:rPr>
      <w:rFonts w:ascii="Courier New" w:hAnsi="Courier New" w:cs="Courier New"/>
      <w:sz w:val="20"/>
      <w:lang w:val="en-CA"/>
    </w:rPr>
  </w:style>
  <w:style w:type="paragraph" w:styleId="OmniPage1296">
    <w:name w:val="OmniPage #1296"/>
    <w:basedOn w:val="Normal"/>
    <w:qFormat/>
    <w:pPr>
      <w:tabs>
        <w:tab w:val="clear" w:pos="720"/>
        <w:tab w:val="right" w:pos="8820" w:leader="none"/>
      </w:tabs>
      <w:spacing w:lineRule="exact" w:line="242"/>
      <w:ind w:hanging="0" w:start="50" w:end="50"/>
      <w:jc w:val="both"/>
    </w:pPr>
    <w:rPr>
      <w:rFonts w:ascii="Courier New" w:hAnsi="Courier New" w:cs="Courier New"/>
      <w:sz w:val="20"/>
      <w:lang w:val="en-CA"/>
    </w:rPr>
  </w:style>
  <w:style w:type="paragraph" w:styleId="OmniPage1537">
    <w:name w:val="OmniPage #1537"/>
    <w:basedOn w:val="Normal"/>
    <w:qFormat/>
    <w:pPr>
      <w:tabs>
        <w:tab w:val="clear" w:pos="720"/>
        <w:tab w:val="right" w:pos="2662" w:leader="none"/>
      </w:tabs>
      <w:spacing w:lineRule="exact" w:line="240"/>
      <w:ind w:hanging="0" w:start="50" w:end="50"/>
    </w:pPr>
    <w:rPr>
      <w:rFonts w:ascii="Courier New" w:hAnsi="Courier New" w:cs="Courier New"/>
      <w:sz w:val="20"/>
      <w:lang w:val="en-CA"/>
    </w:rPr>
  </w:style>
  <w:style w:type="paragraph" w:styleId="OmniPage1538">
    <w:name w:val="OmniPage #1538"/>
    <w:basedOn w:val="Normal"/>
    <w:qFormat/>
    <w:pPr>
      <w:tabs>
        <w:tab w:val="clear" w:pos="720"/>
        <w:tab w:val="right" w:pos="8790" w:leader="none"/>
      </w:tabs>
      <w:spacing w:lineRule="exact" w:line="240"/>
      <w:ind w:hanging="0" w:start="50" w:end="50"/>
      <w:jc w:val="both"/>
    </w:pPr>
    <w:rPr>
      <w:rFonts w:ascii="Courier New" w:hAnsi="Courier New" w:cs="Courier New"/>
      <w:sz w:val="20"/>
      <w:lang w:val="en-CA"/>
    </w:rPr>
  </w:style>
  <w:style w:type="paragraph" w:styleId="OmniPage1539">
    <w:name w:val="OmniPage #1539"/>
    <w:basedOn w:val="Normal"/>
    <w:qFormat/>
    <w:pPr>
      <w:tabs>
        <w:tab w:val="clear" w:pos="720"/>
        <w:tab w:val="right" w:pos="8815" w:leader="none"/>
      </w:tabs>
      <w:spacing w:lineRule="exact" w:line="241"/>
      <w:ind w:hanging="0" w:start="50" w:end="50"/>
      <w:jc w:val="both"/>
    </w:pPr>
    <w:rPr>
      <w:rFonts w:ascii="Courier New" w:hAnsi="Courier New" w:cs="Courier New"/>
      <w:sz w:val="20"/>
      <w:lang w:val="en-CA"/>
    </w:rPr>
  </w:style>
  <w:style w:type="paragraph" w:styleId="OmniPage1540">
    <w:name w:val="OmniPage #1540"/>
    <w:basedOn w:val="Normal"/>
    <w:qFormat/>
    <w:pPr>
      <w:tabs>
        <w:tab w:val="clear" w:pos="720"/>
        <w:tab w:val="right" w:pos="8808" w:leader="none"/>
      </w:tabs>
      <w:spacing w:lineRule="exact" w:line="239"/>
      <w:ind w:hanging="0" w:start="50" w:end="50"/>
      <w:jc w:val="both"/>
    </w:pPr>
    <w:rPr>
      <w:rFonts w:ascii="Courier New" w:hAnsi="Courier New" w:cs="Courier New"/>
      <w:sz w:val="20"/>
      <w:lang w:val="en-CA"/>
    </w:rPr>
  </w:style>
  <w:style w:type="paragraph" w:styleId="OmniPage1541">
    <w:name w:val="OmniPage #1541"/>
    <w:basedOn w:val="Normal"/>
    <w:qFormat/>
    <w:pPr>
      <w:tabs>
        <w:tab w:val="clear" w:pos="720"/>
        <w:tab w:val="right" w:pos="8806" w:leader="none"/>
      </w:tabs>
      <w:spacing w:lineRule="exact" w:line="244"/>
      <w:ind w:hanging="0" w:start="50" w:end="50"/>
      <w:jc w:val="both"/>
    </w:pPr>
    <w:rPr>
      <w:rFonts w:ascii="Courier New" w:hAnsi="Courier New" w:cs="Courier New"/>
      <w:sz w:val="20"/>
      <w:lang w:val="en-CA"/>
    </w:rPr>
  </w:style>
  <w:style w:type="paragraph" w:styleId="OmniPage1542">
    <w:name w:val="OmniPage #1542"/>
    <w:basedOn w:val="Normal"/>
    <w:qFormat/>
    <w:pPr>
      <w:tabs>
        <w:tab w:val="clear" w:pos="720"/>
        <w:tab w:val="right" w:pos="8831" w:leader="none"/>
      </w:tabs>
      <w:spacing w:lineRule="exact" w:line="244"/>
      <w:ind w:hanging="0" w:start="50" w:end="50"/>
      <w:jc w:val="both"/>
    </w:pPr>
    <w:rPr>
      <w:rFonts w:ascii="Courier New" w:hAnsi="Courier New" w:cs="Courier New"/>
      <w:sz w:val="20"/>
      <w:lang w:val="en-CA"/>
    </w:rPr>
  </w:style>
  <w:style w:type="paragraph" w:styleId="OmniPage1543">
    <w:name w:val="OmniPage #1543"/>
    <w:basedOn w:val="Normal"/>
    <w:qFormat/>
    <w:pPr>
      <w:tabs>
        <w:tab w:val="clear" w:pos="720"/>
        <w:tab w:val="right" w:pos="8819" w:leader="none"/>
      </w:tabs>
      <w:spacing w:lineRule="exact" w:line="246"/>
      <w:ind w:hanging="0" w:start="50" w:end="50"/>
      <w:jc w:val="both"/>
    </w:pPr>
    <w:rPr>
      <w:rFonts w:ascii="Courier New" w:hAnsi="Courier New" w:cs="Courier New"/>
      <w:sz w:val="20"/>
      <w:lang w:val="en-CA"/>
    </w:rPr>
  </w:style>
  <w:style w:type="paragraph" w:styleId="OmniPage1793">
    <w:name w:val="OmniPage #1793"/>
    <w:basedOn w:val="Normal"/>
    <w:qFormat/>
    <w:pPr>
      <w:tabs>
        <w:tab w:val="clear" w:pos="720"/>
        <w:tab w:val="right" w:pos="2631" w:leader="none"/>
      </w:tabs>
      <w:spacing w:lineRule="exact" w:line="242"/>
      <w:ind w:hanging="0" w:start="50" w:end="50"/>
    </w:pPr>
    <w:rPr>
      <w:rFonts w:ascii="Courier New" w:hAnsi="Courier New" w:cs="Courier New"/>
      <w:sz w:val="20"/>
      <w:lang w:val="en-CA"/>
    </w:rPr>
  </w:style>
  <w:style w:type="paragraph" w:styleId="OmniPage1794">
    <w:name w:val="OmniPage #1794"/>
    <w:basedOn w:val="Normal"/>
    <w:qFormat/>
    <w:pPr>
      <w:tabs>
        <w:tab w:val="clear" w:pos="720"/>
        <w:tab w:val="right" w:pos="8780" w:leader="none"/>
      </w:tabs>
      <w:spacing w:lineRule="exact" w:line="240"/>
      <w:ind w:hanging="0" w:start="50" w:end="50"/>
      <w:jc w:val="both"/>
    </w:pPr>
    <w:rPr>
      <w:rFonts w:ascii="Courier New" w:hAnsi="Courier New" w:cs="Courier New"/>
      <w:sz w:val="20"/>
      <w:lang w:val="en-CA"/>
    </w:rPr>
  </w:style>
  <w:style w:type="paragraph" w:styleId="OmniPage1795">
    <w:name w:val="OmniPage #1795"/>
    <w:basedOn w:val="Normal"/>
    <w:qFormat/>
    <w:pPr>
      <w:tabs>
        <w:tab w:val="clear" w:pos="720"/>
        <w:tab w:val="right" w:pos="8812" w:leader="none"/>
      </w:tabs>
      <w:spacing w:lineRule="exact" w:line="241"/>
      <w:ind w:hanging="0" w:start="50" w:end="50"/>
      <w:jc w:val="both"/>
    </w:pPr>
    <w:rPr>
      <w:rFonts w:ascii="Courier New" w:hAnsi="Courier New" w:cs="Courier New"/>
      <w:sz w:val="20"/>
      <w:lang w:val="en-CA"/>
    </w:rPr>
  </w:style>
  <w:style w:type="paragraph" w:styleId="OmniPage1796">
    <w:name w:val="OmniPage #1796"/>
    <w:basedOn w:val="Normal"/>
    <w:qFormat/>
    <w:pPr>
      <w:tabs>
        <w:tab w:val="clear" w:pos="720"/>
        <w:tab w:val="right" w:pos="8805" w:leader="none"/>
      </w:tabs>
      <w:spacing w:lineRule="exact" w:line="243"/>
      <w:ind w:hanging="0" w:start="50" w:end="50"/>
      <w:jc w:val="both"/>
    </w:pPr>
    <w:rPr>
      <w:rFonts w:ascii="Courier New" w:hAnsi="Courier New" w:cs="Courier New"/>
      <w:sz w:val="20"/>
      <w:lang w:val="en-CA"/>
    </w:rPr>
  </w:style>
  <w:style w:type="paragraph" w:styleId="OmniPage1797">
    <w:name w:val="OmniPage #1797"/>
    <w:basedOn w:val="Normal"/>
    <w:qFormat/>
    <w:pPr>
      <w:tabs>
        <w:tab w:val="clear" w:pos="720"/>
        <w:tab w:val="right" w:pos="8829" w:leader="none"/>
      </w:tabs>
      <w:spacing w:lineRule="exact" w:line="242"/>
      <w:ind w:hanging="0" w:start="50" w:end="50"/>
      <w:jc w:val="both"/>
    </w:pPr>
    <w:rPr>
      <w:rFonts w:ascii="Courier New" w:hAnsi="Courier New" w:cs="Courier New"/>
      <w:sz w:val="20"/>
      <w:lang w:val="en-CA"/>
    </w:rPr>
  </w:style>
  <w:style w:type="paragraph" w:styleId="OmniPage2049">
    <w:name w:val="OmniPage #2049"/>
    <w:basedOn w:val="Normal"/>
    <w:qFormat/>
    <w:pPr>
      <w:tabs>
        <w:tab w:val="clear" w:pos="720"/>
        <w:tab w:val="right" w:pos="8797" w:leader="none"/>
      </w:tabs>
      <w:spacing w:lineRule="exact" w:line="240"/>
      <w:ind w:hanging="0" w:start="50" w:end="50"/>
      <w:jc w:val="both"/>
    </w:pPr>
    <w:rPr>
      <w:rFonts w:ascii="Courier New" w:hAnsi="Courier New" w:cs="Courier New"/>
      <w:sz w:val="20"/>
      <w:lang w:val="en-CA"/>
    </w:rPr>
  </w:style>
  <w:style w:type="paragraph" w:styleId="OmniPage2050">
    <w:name w:val="OmniPage #2050"/>
    <w:basedOn w:val="Normal"/>
    <w:qFormat/>
    <w:pPr>
      <w:tabs>
        <w:tab w:val="clear" w:pos="720"/>
        <w:tab w:val="right" w:pos="593" w:leader="none"/>
      </w:tabs>
      <w:spacing w:lineRule="exact" w:line="549"/>
      <w:ind w:hanging="0" w:start="50" w:end="50"/>
    </w:pPr>
    <w:rPr>
      <w:rFonts w:ascii="Courier New" w:hAnsi="Courier New" w:cs="Courier New"/>
      <w:sz w:val="20"/>
      <w:lang w:val="en-CA"/>
    </w:rPr>
  </w:style>
  <w:style w:type="paragraph" w:styleId="OmniPage2051">
    <w:name w:val="OmniPage #2051"/>
    <w:basedOn w:val="Normal"/>
    <w:qFormat/>
    <w:pPr>
      <w:tabs>
        <w:tab w:val="clear" w:pos="720"/>
        <w:tab w:val="right" w:pos="8771" w:leader="none"/>
      </w:tabs>
      <w:spacing w:lineRule="exact" w:line="240"/>
      <w:ind w:hanging="0" w:start="50" w:end="50"/>
      <w:jc w:val="both"/>
    </w:pPr>
    <w:rPr>
      <w:rFonts w:ascii="Courier New" w:hAnsi="Courier New" w:cs="Courier New"/>
      <w:sz w:val="20"/>
      <w:lang w:val="en-CA"/>
    </w:rPr>
  </w:style>
  <w:style w:type="paragraph" w:styleId="OmniPage2052">
    <w:name w:val="OmniPage #2052"/>
    <w:basedOn w:val="Normal"/>
    <w:qFormat/>
    <w:pPr>
      <w:tabs>
        <w:tab w:val="clear" w:pos="720"/>
        <w:tab w:val="right" w:pos="8792" w:leader="none"/>
      </w:tabs>
      <w:spacing w:lineRule="exact" w:line="241"/>
      <w:ind w:hanging="0" w:start="50" w:end="50"/>
      <w:jc w:val="both"/>
    </w:pPr>
    <w:rPr>
      <w:rFonts w:ascii="Courier New" w:hAnsi="Courier New" w:cs="Courier New"/>
      <w:sz w:val="20"/>
      <w:lang w:val="en-CA"/>
    </w:rPr>
  </w:style>
  <w:style w:type="paragraph" w:styleId="OmniPage2053">
    <w:name w:val="OmniPage #2053"/>
    <w:basedOn w:val="Normal"/>
    <w:qFormat/>
    <w:pPr>
      <w:tabs>
        <w:tab w:val="clear" w:pos="720"/>
        <w:tab w:val="right" w:pos="8796" w:leader="none"/>
      </w:tabs>
      <w:spacing w:lineRule="exact" w:line="235"/>
      <w:ind w:hanging="0" w:start="50" w:end="50"/>
      <w:jc w:val="both"/>
    </w:pPr>
    <w:rPr>
      <w:rFonts w:ascii="Courier New" w:hAnsi="Courier New" w:cs="Courier New"/>
      <w:sz w:val="20"/>
      <w:lang w:val="en-CA"/>
    </w:rPr>
  </w:style>
  <w:style w:type="paragraph" w:styleId="OmniPage2054">
    <w:name w:val="OmniPage #2054"/>
    <w:basedOn w:val="Normal"/>
    <w:qFormat/>
    <w:pPr>
      <w:tabs>
        <w:tab w:val="clear" w:pos="720"/>
        <w:tab w:val="right" w:pos="8782" w:leader="none"/>
      </w:tabs>
      <w:spacing w:lineRule="exact" w:line="238"/>
      <w:ind w:hanging="0" w:start="50" w:end="50"/>
      <w:jc w:val="both"/>
    </w:pPr>
    <w:rPr>
      <w:rFonts w:ascii="Courier New" w:hAnsi="Courier New" w:cs="Courier New"/>
      <w:sz w:val="20"/>
      <w:lang w:val="en-CA"/>
    </w:rPr>
  </w:style>
  <w:style w:type="paragraph" w:styleId="OmniPage2055">
    <w:name w:val="OmniPage #2055"/>
    <w:basedOn w:val="Normal"/>
    <w:qFormat/>
    <w:pPr>
      <w:tabs>
        <w:tab w:val="clear" w:pos="720"/>
        <w:tab w:val="right" w:pos="2779" w:leader="none"/>
      </w:tabs>
      <w:spacing w:lineRule="exact" w:line="238"/>
      <w:ind w:hanging="0" w:start="50" w:end="50"/>
    </w:pPr>
    <w:rPr>
      <w:rFonts w:ascii="Courier New" w:hAnsi="Courier New" w:cs="Courier New"/>
      <w:sz w:val="20"/>
      <w:lang w:val="en-CA"/>
    </w:rPr>
  </w:style>
  <w:style w:type="paragraph" w:styleId="OmniPage2056">
    <w:name w:val="OmniPage #2056"/>
    <w:basedOn w:val="Normal"/>
    <w:qFormat/>
    <w:pPr>
      <w:tabs>
        <w:tab w:val="clear" w:pos="720"/>
        <w:tab w:val="right" w:pos="1353" w:leader="none"/>
      </w:tabs>
      <w:spacing w:lineRule="exact" w:line="192"/>
      <w:ind w:hanging="0" w:start="50" w:end="50"/>
    </w:pPr>
    <w:rPr>
      <w:rFonts w:ascii="Courier New" w:hAnsi="Courier New" w:cs="Courier New"/>
      <w:sz w:val="20"/>
      <w:lang w:val="en-CA"/>
    </w:rPr>
  </w:style>
  <w:style w:type="paragraph" w:styleId="OmniPage2057">
    <w:name w:val="OmniPage #2057"/>
    <w:basedOn w:val="Normal"/>
    <w:qFormat/>
    <w:pPr>
      <w:tabs>
        <w:tab w:val="clear" w:pos="720"/>
        <w:tab w:val="right" w:pos="2635" w:leader="none"/>
      </w:tabs>
      <w:spacing w:lineRule="exact" w:line="238"/>
      <w:ind w:hanging="0" w:start="50" w:end="50"/>
    </w:pPr>
    <w:rPr>
      <w:rFonts w:ascii="Courier New" w:hAnsi="Courier New" w:cs="Courier New"/>
      <w:sz w:val="20"/>
      <w:lang w:val="en-CA"/>
    </w:rPr>
  </w:style>
  <w:style w:type="paragraph" w:styleId="OmniPage2058">
    <w:name w:val="OmniPage #2058"/>
    <w:basedOn w:val="Normal"/>
    <w:qFormat/>
    <w:pPr>
      <w:tabs>
        <w:tab w:val="clear" w:pos="720"/>
        <w:tab w:val="right" w:pos="3207" w:leader="none"/>
      </w:tabs>
      <w:spacing w:lineRule="exact" w:line="238"/>
      <w:ind w:hanging="0" w:start="50" w:end="50"/>
    </w:pPr>
    <w:rPr>
      <w:rFonts w:ascii="Courier New" w:hAnsi="Courier New" w:cs="Courier New"/>
      <w:sz w:val="20"/>
      <w:lang w:val="en-CA"/>
    </w:rPr>
  </w:style>
  <w:style w:type="paragraph" w:styleId="OmniPage2059">
    <w:name w:val="OmniPage #2059"/>
    <w:basedOn w:val="Normal"/>
    <w:qFormat/>
    <w:pPr>
      <w:tabs>
        <w:tab w:val="clear" w:pos="720"/>
        <w:tab w:val="right" w:pos="2043" w:leader="none"/>
      </w:tabs>
      <w:spacing w:lineRule="exact" w:line="238"/>
      <w:ind w:hanging="0" w:start="50" w:end="50"/>
    </w:pPr>
    <w:rPr>
      <w:rFonts w:ascii="Courier New" w:hAnsi="Courier New" w:cs="Courier New"/>
      <w:sz w:val="20"/>
      <w:lang w:val="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Template>
  <TotalTime>295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2000-05-08T11:23:00Z</dcterms:created>
  <dc:creator>Christi Catherine Cobb</dc:creator>
  <dc:description/>
  <dc:language>en-CA</dc:language>
  <cp:lastModifiedBy>Kerry E. Notestine</cp:lastModifiedBy>
  <cp:lastPrinted>2000-05-10T10:03:00Z</cp:lastPrinted>
  <dcterms:modified xsi:type="dcterms:W3CDTF">2000-05-10T12:14:00Z</dcterms:modified>
  <cp:revision>14</cp:revision>
  <dc:subject/>
  <dc:title>April 24, 2000</dc:title>
</cp:coreProperties>
</file>