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ketnumber"/>
        <w:rPr>
          <w:sz w:val="24"/>
        </w:rPr>
      </w:pPr>
      <w:r>
        <w:rPr>
          <w:sz w:val="24"/>
        </w:rPr>
        <w:t>DOCKET NO. 24770</w:t>
      </w:r>
    </w:p>
    <w:p>
      <w:pPr>
        <w:pStyle w:val="Docketnumber"/>
        <w:rPr>
          <w:sz w:val="24"/>
        </w:rPr>
      </w:pPr>
      <w:r>
        <w:rPr>
          <w:sz w:val="24"/>
        </w:rPr>
      </w:r>
    </w:p>
    <w:p>
      <w:pPr>
        <w:pStyle w:val="Documentheading"/>
        <w:rPr>
          <w:sz w:val="24"/>
        </w:rPr>
      </w:pPr>
      <w:r>
        <w:rPr>
          <w:sz w:val="24"/>
        </w:rPr>
      </w:r>
    </w:p>
    <w:tbl>
      <w:tblPr>
        <w:tblW w:w="9738" w:type="dxa"/>
        <w:jc w:val="start"/>
        <w:tblInd w:w="0" w:type="dxa"/>
        <w:tblLayout w:type="fixed"/>
        <w:tblCellMar>
          <w:top w:w="0" w:type="dxa"/>
          <w:start w:w="108" w:type="dxa"/>
          <w:bottom w:w="0" w:type="dxa"/>
          <w:end w:w="108" w:type="dxa"/>
        </w:tblCellMar>
      </w:tblPr>
      <w:tblGrid>
        <w:gridCol w:w="4608"/>
        <w:gridCol w:w="450"/>
        <w:gridCol w:w="4680"/>
      </w:tblGrid>
      <w:tr>
        <w:trPr/>
        <w:tc>
          <w:tcPr>
            <w:tcW w:w="4608" w:type="dxa"/>
            <w:tcBorders/>
          </w:tcPr>
          <w:p>
            <w:pPr>
              <w:pStyle w:val="Documentheading"/>
              <w:jc w:val="start"/>
              <w:rPr>
                <w:sz w:val="24"/>
              </w:rPr>
            </w:pPr>
            <w:r>
              <w:rPr>
                <w:sz w:val="24"/>
              </w:rPr>
              <w:t>REPORT OF THE ELECTRIC RELIABILITY COUNCIL OF TEXAS (ERCOT) TO THE PUCT REGARDING IMPLEMENTATION OF THE ERCOT PROTOCOLS</w:t>
            </w:r>
          </w:p>
        </w:tc>
        <w:tc>
          <w:tcPr>
            <w:tcW w:w="450" w:type="dxa"/>
            <w:tcBorders/>
          </w:tcPr>
          <w:p>
            <w:pPr>
              <w:pStyle w:val="Documentheading"/>
              <w:rPr>
                <w:sz w:val="24"/>
              </w:rPr>
            </w:pPr>
            <w:r>
              <w:rPr>
                <w:sz w:val="24"/>
              </w:rPr>
              <w:t>§</w:t>
            </w:r>
          </w:p>
          <w:p>
            <w:pPr>
              <w:pStyle w:val="Documentheading"/>
              <w:rPr>
                <w:sz w:val="24"/>
              </w:rPr>
            </w:pPr>
            <w:r>
              <w:rPr>
                <w:sz w:val="24"/>
              </w:rPr>
              <w:t>§</w:t>
            </w:r>
          </w:p>
          <w:p>
            <w:pPr>
              <w:pStyle w:val="Documentheading"/>
              <w:rPr>
                <w:sz w:val="24"/>
              </w:rPr>
            </w:pPr>
            <w:r>
              <w:rPr>
                <w:sz w:val="24"/>
              </w:rPr>
              <w:t>§</w:t>
            </w:r>
          </w:p>
          <w:p>
            <w:pPr>
              <w:pStyle w:val="Documentheading"/>
              <w:rPr>
                <w:sz w:val="24"/>
              </w:rPr>
            </w:pPr>
            <w:r>
              <w:rPr>
                <w:sz w:val="24"/>
              </w:rPr>
              <w:t>§</w:t>
            </w:r>
          </w:p>
          <w:p>
            <w:pPr>
              <w:pStyle w:val="Documentheading"/>
              <w:rPr>
                <w:sz w:val="24"/>
              </w:rPr>
            </w:pPr>
            <w:r>
              <w:rPr>
                <w:sz w:val="24"/>
              </w:rPr>
              <w:t>§</w:t>
            </w:r>
          </w:p>
          <w:p>
            <w:pPr>
              <w:pStyle w:val="Documentheading"/>
              <w:rPr>
                <w:sz w:val="24"/>
              </w:rPr>
            </w:pPr>
            <w:r>
              <w:rPr>
                <w:sz w:val="24"/>
              </w:rPr>
            </w:r>
          </w:p>
        </w:tc>
        <w:tc>
          <w:tcPr>
            <w:tcW w:w="4680" w:type="dxa"/>
            <w:tcBorders/>
          </w:tcPr>
          <w:p>
            <w:pPr>
              <w:pStyle w:val="Documentheading"/>
              <w:rPr>
                <w:sz w:val="24"/>
              </w:rPr>
            </w:pPr>
            <w:r>
              <w:rPr>
                <w:sz w:val="24"/>
              </w:rPr>
              <w:t>PUBLIC UTILITY COMMISSION</w:t>
            </w:r>
          </w:p>
          <w:p>
            <w:pPr>
              <w:pStyle w:val="Documentheading"/>
              <w:rPr>
                <w:sz w:val="24"/>
              </w:rPr>
            </w:pPr>
            <w:r>
              <w:rPr>
                <w:sz w:val="24"/>
              </w:rPr>
            </w:r>
          </w:p>
          <w:p>
            <w:pPr>
              <w:pStyle w:val="Documentheading"/>
              <w:rPr>
                <w:sz w:val="24"/>
              </w:rPr>
            </w:pPr>
            <w:r>
              <w:rPr>
                <w:sz w:val="24"/>
              </w:rPr>
            </w:r>
          </w:p>
          <w:p>
            <w:pPr>
              <w:pStyle w:val="Documentheading"/>
              <w:rPr>
                <w:sz w:val="24"/>
              </w:rPr>
            </w:pPr>
            <w:r>
              <w:rPr>
                <w:sz w:val="24"/>
              </w:rPr>
            </w:r>
          </w:p>
          <w:p>
            <w:pPr>
              <w:pStyle w:val="Documentheading"/>
              <w:rPr>
                <w:sz w:val="24"/>
              </w:rPr>
            </w:pPr>
            <w:r>
              <w:rPr>
                <w:sz w:val="24"/>
              </w:rPr>
              <w:t>OF TEXAS</w:t>
            </w:r>
          </w:p>
        </w:tc>
      </w:tr>
    </w:tbl>
    <w:p>
      <w:pPr>
        <w:pStyle w:val="Documentheading"/>
        <w:rPr>
          <w:sz w:val="24"/>
        </w:rPr>
      </w:pPr>
      <w:r>
        <w:rPr>
          <w:sz w:val="24"/>
        </w:rPr>
      </w:r>
    </w:p>
    <w:p>
      <w:pPr>
        <w:pStyle w:val="Documentheading"/>
        <w:rPr>
          <w:sz w:val="24"/>
        </w:rPr>
      </w:pPr>
      <w:r>
        <w:rPr>
          <w:sz w:val="24"/>
        </w:rPr>
        <w:t>order no. 1</w:t>
      </w:r>
    </w:p>
    <w:p>
      <w:pPr>
        <w:pStyle w:val="Documentheading"/>
        <w:rPr>
          <w:sz w:val="24"/>
        </w:rPr>
      </w:pPr>
      <w:r>
        <w:rPr>
          <w:sz w:val="24"/>
        </w:rPr>
        <w:t>Addressing notice; severing ercot attachment c; Establishing Intervention deadline; setting prehearing conference</w:t>
      </w:r>
    </w:p>
    <w:p>
      <w:pPr>
        <w:pStyle w:val="Documentheading"/>
        <w:rPr>
          <w:sz w:val="24"/>
        </w:rPr>
      </w:pPr>
      <w:r>
        <w:rPr>
          <w:sz w:val="24"/>
        </w:rPr>
      </w:r>
    </w:p>
    <w:p>
      <w:pPr>
        <w:pStyle w:val="Paragraphdouble"/>
        <w:spacing w:lineRule="auto" w:line="360" w:before="0" w:after="120"/>
        <w:rPr/>
      </w:pPr>
      <w:r>
        <w:rPr/>
        <w:t>On October 1, 2001, the Electric Reliability Council of Texas (ERCOT) filed its Report to the Commission Regarding Implementation of the ERCOT Protocols (Report) pursuant to the Commission’s final order in Docket No. 23220</w:t>
      </w:r>
      <w:r>
        <w:rPr>
          <w:rStyle w:val="FootnoteCharacters"/>
          <w:rStyle w:val="FootnoteReference"/>
          <w:sz w:val="20"/>
        </w:rPr>
        <w:footnoteReference w:id="2"/>
      </w:r>
      <w:r>
        <w:rPr>
          <w:sz w:val="20"/>
        </w:rPr>
        <w:t xml:space="preserve"> </w:t>
      </w:r>
      <w:r>
        <w:rPr/>
        <w:t xml:space="preserve">in which the Commission approved the initial set of ERCOT Protocols for the restructured ERCOT market.  </w:t>
      </w:r>
    </w:p>
    <w:p>
      <w:pPr>
        <w:pStyle w:val="Paragraphdouble"/>
        <w:spacing w:lineRule="auto" w:line="360" w:before="0" w:after="120"/>
        <w:rPr/>
      </w:pPr>
      <w:r>
        <w:rPr/>
        <w:t>On October 9, 2001, Commission Staff filed its Motion for Approval of Notice and Intervention Deadline and to Sever Demand-Side Report.  Staff requested (1) that Attachment C to ERCOT’s Report be severed from this docket and transferred to Project No. 24333</w:t>
      </w:r>
      <w:r>
        <w:rPr>
          <w:rStyle w:val="FootnoteCharacters"/>
          <w:rStyle w:val="FootnoteReference"/>
          <w:sz w:val="20"/>
        </w:rPr>
        <w:footnoteReference w:id="3"/>
      </w:r>
      <w:r>
        <w:rPr/>
        <w:t>; (2) that ERCOT provide notice to parties in this docket and in Project No. 23220 by email exploder, fax, and first-class mail where a fax number is not available; and (3) that the ALJ establish an intervention deadline and set a prehearing conference.</w:t>
      </w:r>
    </w:p>
    <w:p>
      <w:pPr>
        <w:pStyle w:val="Normaldouble"/>
        <w:spacing w:lineRule="auto" w:line="360" w:before="0" w:after="120"/>
        <w:rPr>
          <w:b/>
          <w:i/>
          <w:i/>
        </w:rPr>
      </w:pPr>
      <w:r>
        <w:rPr>
          <w:b/>
          <w:i/>
        </w:rPr>
        <w:t>Severance of ERCOT’s Attachment C</w:t>
      </w:r>
    </w:p>
    <w:p>
      <w:pPr>
        <w:pStyle w:val="Paragraphdouble"/>
        <w:spacing w:lineRule="auto" w:line="360" w:before="0" w:after="120"/>
        <w:rPr/>
      </w:pPr>
      <w:r>
        <w:rPr/>
        <w:t>Attachment C, unofficial status report, is hereby severed from this docket and transferred to Project No. 24333, so that the collaborative process occurring in this project may continue with respect to certain market design issues.</w:t>
      </w:r>
    </w:p>
    <w:p>
      <w:pPr>
        <w:pStyle w:val="Paragraphdouble"/>
        <w:spacing w:lineRule="auto" w:line="360" w:before="0" w:after="120"/>
        <w:ind w:hanging="0" w:end="0"/>
        <w:rPr>
          <w:b/>
          <w:i/>
          <w:i/>
        </w:rPr>
      </w:pPr>
      <w:r>
        <w:rPr>
          <w:b/>
          <w:i/>
        </w:rPr>
        <w:t xml:space="preserve">Notice  </w:t>
      </w:r>
    </w:p>
    <w:p>
      <w:pPr>
        <w:pStyle w:val="Paragraphdouble"/>
        <w:spacing w:lineRule="auto" w:line="360" w:before="0" w:after="120"/>
        <w:rPr/>
      </w:pPr>
      <w:r>
        <w:rPr/>
        <w:t>ERCOT  shall  serve a copy  of this  Order on  the  retail  users  group  (RUG)  through  the  RUG  email  exploder  (</w:t>
      </w:r>
      <w:hyperlink r:id="rId2">
        <w:r>
          <w:rPr>
            <w:rStyle w:val="Hyperlink"/>
          </w:rPr>
          <w:t>isonp@ercot.com</w:t>
        </w:r>
      </w:hyperlink>
      <w:r>
        <w:rPr/>
        <w:t xml:space="preserve">)  and  shall post a copy of this Order and its Report under the Protocols section on the ERCOT website.  In addition, ERCOT shall serve a copy of this Order on parties in Project No. 23220, </w:t>
      </w:r>
      <w:r>
        <w:rPr>
          <w:i/>
        </w:rPr>
        <w:t>Petition of the Electric Reliability Council of Texas for Approval of the ERCOT Protocols</w:t>
      </w:r>
      <w:r>
        <w:rPr/>
        <w:t>,</w:t>
      </w:r>
      <w:r>
        <w:rPr>
          <w:i/>
        </w:rPr>
        <w:t xml:space="preserve"> </w:t>
      </w:r>
      <w:r>
        <w:rPr/>
        <w:t>by fax where available and first-class mail where a fax number is not available.  ERCOT shall complete notice by October 17, 2001 and shall file proof of notice by October 30, 2001.</w:t>
      </w:r>
    </w:p>
    <w:p>
      <w:pPr>
        <w:pStyle w:val="Paragraphdouble"/>
        <w:spacing w:lineRule="auto" w:line="360" w:before="0" w:after="120"/>
        <w:rPr/>
      </w:pPr>
      <w:r>
        <w:rPr/>
        <w:t xml:space="preserve">Additionally, the Commission will provide notice of this docket in the </w:t>
      </w:r>
      <w:r>
        <w:rPr>
          <w:i/>
        </w:rPr>
        <w:t>Texas Register</w:t>
      </w:r>
      <w:r>
        <w:rPr/>
        <w:t>.</w:t>
      </w:r>
    </w:p>
    <w:p>
      <w:pPr>
        <w:pStyle w:val="Normaldouble"/>
        <w:spacing w:lineRule="auto" w:line="360" w:before="0" w:after="120"/>
        <w:rPr>
          <w:b/>
          <w:i/>
          <w:i/>
        </w:rPr>
      </w:pPr>
      <w:r>
        <w:rPr>
          <w:b/>
          <w:i/>
        </w:rPr>
        <w:t>Motions to Intervene</w:t>
      </w:r>
    </w:p>
    <w:p>
      <w:pPr>
        <w:pStyle w:val="Paragraphdouble"/>
        <w:spacing w:lineRule="auto" w:line="360" w:before="0" w:after="120"/>
        <w:rPr/>
      </w:pPr>
      <w:r>
        <w:rPr/>
        <w:t xml:space="preserve">The deadline for motions to intervene in this proceeding is November 5, 2001, which is 24 days after the date of this Order as requested by Staff.  </w:t>
      </w:r>
    </w:p>
    <w:p>
      <w:pPr>
        <w:pStyle w:val="Normaldouble"/>
        <w:spacing w:lineRule="auto" w:line="360" w:before="0" w:after="120"/>
        <w:rPr>
          <w:b/>
          <w:i/>
          <w:i/>
        </w:rPr>
      </w:pPr>
      <w:r>
        <w:rPr>
          <w:b/>
          <w:i/>
        </w:rPr>
        <w:t>Prehearing Conference</w:t>
      </w:r>
    </w:p>
    <w:p>
      <w:pPr>
        <w:pStyle w:val="Paragraphdouble"/>
        <w:spacing w:lineRule="auto" w:line="360" w:before="0" w:after="120"/>
        <w:rPr/>
      </w:pPr>
      <w:r>
        <w:rPr/>
        <w:t>The undersigned will convene a prehearing conference in this proceeding on Tuesday, November 13, 2001, beginning at 1:30 p.m.</w:t>
      </w:r>
      <w:r>
        <w:rPr>
          <w:rStyle w:val="FootnoteCharacters"/>
          <w:rStyle w:val="FootnoteReference"/>
          <w:sz w:val="20"/>
        </w:rPr>
        <w:footnoteReference w:id="4"/>
      </w:r>
      <w:r>
        <w:rPr/>
        <w:t xml:space="preserve"> in the Commissioners’ Hearing Room, to discuss the following:</w:t>
      </w:r>
    </w:p>
    <w:p>
      <w:pPr>
        <w:pStyle w:val="Paragraphdouble"/>
        <w:spacing w:lineRule="auto" w:line="360" w:before="0" w:after="120"/>
        <w:ind w:hanging="720" w:start="1440" w:end="0"/>
        <w:rPr/>
      </w:pPr>
      <w:r>
        <w:rPr/>
        <w:t>1.</w:t>
        <w:tab/>
        <w:t xml:space="preserve">the manner in which this docket will be processed; </w:t>
      </w:r>
    </w:p>
    <w:p>
      <w:pPr>
        <w:pStyle w:val="Paragraphdouble"/>
        <w:spacing w:lineRule="auto" w:line="360" w:before="0" w:after="120"/>
        <w:ind w:hanging="720" w:start="1440" w:end="0"/>
        <w:rPr/>
      </w:pPr>
      <w:r>
        <w:rPr/>
        <w:t>2.</w:t>
        <w:tab/>
        <w:t>any pending motions filed with the Commission by 12:00 p.m., noon, on Tuesday, November 12, 2001; and</w:t>
      </w:r>
    </w:p>
    <w:p>
      <w:pPr>
        <w:pStyle w:val="Paragraphdouble"/>
        <w:spacing w:lineRule="auto" w:line="360" w:before="0" w:after="120"/>
        <w:ind w:hanging="720" w:start="1440" w:end="0"/>
        <w:rPr/>
      </w:pPr>
      <w:r>
        <w:rPr/>
        <w:t>3.</w:t>
        <w:tab/>
        <w:t>any other matters to aid in the simplification of these proceedings and the disposition of issues in controversy.</w:t>
      </w:r>
    </w:p>
    <w:p>
      <w:pPr>
        <w:pStyle w:val="Normal"/>
        <w:spacing w:lineRule="auto" w:line="360"/>
        <w:ind w:firstLine="720" w:end="0"/>
        <w:rPr/>
      </w:pPr>
      <w:r>
        <w:rPr>
          <w:b/>
        </w:rPr>
        <w:t xml:space="preserve">SIGNED AT AUSTIN, TEXAS the </w:t>
      </w:r>
      <w:r>
        <w:rPr>
          <w:b/>
          <w:u w:val="single"/>
        </w:rPr>
        <w:t>______</w:t>
      </w:r>
      <w:r>
        <w:rPr>
          <w:b/>
        </w:rPr>
        <w:t xml:space="preserve"> day of October 2001.</w:t>
      </w:r>
    </w:p>
    <w:p>
      <w:pPr>
        <w:pStyle w:val="Normal"/>
        <w:tabs>
          <w:tab w:val="clear" w:pos="720"/>
          <w:tab w:val="left" w:pos="4320" w:leader="none"/>
          <w:tab w:val="left" w:pos="8640" w:leader="none"/>
        </w:tabs>
        <w:rPr>
          <w:b/>
        </w:rPr>
      </w:pPr>
      <w:r>
        <w:rPr>
          <w:b/>
        </w:rPr>
        <w:tab/>
      </w:r>
    </w:p>
    <w:p>
      <w:pPr>
        <w:pStyle w:val="Normal"/>
        <w:tabs>
          <w:tab w:val="clear" w:pos="720"/>
          <w:tab w:val="left" w:pos="4320" w:leader="none"/>
          <w:tab w:val="left" w:pos="8640" w:leader="none"/>
        </w:tabs>
        <w:rPr>
          <w:b/>
        </w:rPr>
      </w:pPr>
      <w:r>
        <w:rPr>
          <w:b/>
        </w:rPr>
      </w:r>
    </w:p>
    <w:p>
      <w:pPr>
        <w:pStyle w:val="Normal"/>
        <w:tabs>
          <w:tab w:val="clear" w:pos="720"/>
          <w:tab w:val="left" w:pos="3600" w:leader="none"/>
          <w:tab w:val="left" w:pos="8640" w:leader="none"/>
        </w:tabs>
        <w:spacing w:before="240" w:after="0"/>
        <w:rPr/>
      </w:pPr>
      <w:r>
        <w:rPr>
          <w:b/>
        </w:rPr>
        <w:tab/>
      </w:r>
      <w:r>
        <w:rPr>
          <w:b/>
          <w:u w:val="single"/>
        </w:rPr>
        <w:tab/>
      </w:r>
    </w:p>
    <w:p>
      <w:pPr>
        <w:pStyle w:val="Docketstyle"/>
        <w:tabs>
          <w:tab w:val="clear" w:pos="4770"/>
          <w:tab w:val="clear" w:pos="5400"/>
          <w:tab w:val="left" w:pos="3600" w:leader="none"/>
          <w:tab w:val="left" w:pos="8640" w:leader="none"/>
        </w:tabs>
        <w:spacing w:lineRule="auto" w:line="240"/>
        <w:rPr>
          <w:caps w:val="false"/>
          <w:smallCaps w:val="false"/>
        </w:rPr>
      </w:pPr>
      <w:r>
        <w:rPr>
          <w:caps w:val="false"/>
          <w:smallCaps w:val="false"/>
        </w:rPr>
        <w:tab/>
        <w:t>TAMMY COOPER</w:t>
      </w:r>
    </w:p>
    <w:p>
      <w:pPr>
        <w:pStyle w:val="Docketstyle"/>
        <w:tabs>
          <w:tab w:val="clear" w:pos="4770"/>
          <w:tab w:val="clear" w:pos="5400"/>
          <w:tab w:val="left" w:pos="3600" w:leader="none"/>
          <w:tab w:val="left" w:pos="8640" w:leader="none"/>
        </w:tabs>
        <w:spacing w:lineRule="auto" w:line="240"/>
        <w:rPr>
          <w:caps w:val="false"/>
          <w:smallCaps w:val="false"/>
        </w:rPr>
      </w:pPr>
      <w:r>
        <w:rPr>
          <w:caps w:val="false"/>
          <w:smallCaps w:val="false"/>
        </w:rPr>
        <w:tab/>
        <w:t xml:space="preserve">DIRECTOR, DOCKET MANAGEMENT </w:t>
      </w:r>
    </w:p>
    <w:p>
      <w:pPr>
        <w:pStyle w:val="Docketstyle"/>
        <w:tabs>
          <w:tab w:val="clear" w:pos="4770"/>
          <w:tab w:val="clear" w:pos="5400"/>
          <w:tab w:val="left" w:pos="3600" w:leader="none"/>
          <w:tab w:val="left" w:pos="8640" w:leader="none"/>
        </w:tabs>
        <w:spacing w:lineRule="auto" w:line="240"/>
        <w:rPr>
          <w:caps w:val="false"/>
          <w:smallCaps w:val="false"/>
        </w:rPr>
      </w:pPr>
      <w:r>
        <w:rPr>
          <w:caps w:val="false"/>
          <w:smallCaps w:val="false"/>
        </w:rPr>
        <w:tab/>
        <w:t>POLICY DEVELOPMENT DIVISION</w:t>
      </w:r>
    </w:p>
    <w:p>
      <w:pPr>
        <w:pStyle w:val="Paragraphdouble"/>
        <w:rPr>
          <w:caps/>
          <w:sz w:val="20"/>
        </w:rPr>
      </w:pPr>
      <w:r>
        <w:rPr>
          <w:caps/>
          <w:sz w:val="20"/>
        </w:rPr>
      </w:r>
    </w:p>
    <w:p>
      <w:pPr>
        <w:pStyle w:val="Paragraphdouble"/>
        <w:rPr>
          <w:sz w:val="20"/>
        </w:rPr>
      </w:pPr>
      <w:r>
        <w:rPr>
          <w:sz w:val="20"/>
        </w:rPr>
        <w:t>q:\opd\docket\elec\24770-1.doc</w:t>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emperorPS">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i/>
        </w:rPr>
        <w:t>Petition of the Electric Reliability Council of Texas for Approval of the ERCOT Protocols</w:t>
      </w:r>
      <w:r>
        <w:rPr/>
        <w:t>, Docket No. 23220, Order on Rehearing, page 53.</w:t>
      </w:r>
    </w:p>
    <w:p>
      <w:pPr>
        <w:pStyle w:val="FootnoteText"/>
        <w:ind w:firstLine="720" w:end="0"/>
        <w:rPr/>
      </w:pPr>
      <w:r>
        <w:rPr/>
        <w:t xml:space="preserve"> </w:t>
      </w:r>
    </w:p>
  </w:footnote>
  <w:footnote w:id="3">
    <w:p>
      <w:pPr>
        <w:pStyle w:val="FootnoteText"/>
        <w:ind w:firstLine="720" w:end="0"/>
        <w:rPr/>
      </w:pPr>
      <w:r>
        <w:rPr>
          <w:rStyle w:val="FootnoteCharacters"/>
        </w:rPr>
        <w:footnoteRef/>
      </w:r>
      <w:r>
        <w:rPr>
          <w:i/>
        </w:rPr>
        <w:t>PUC Activities Promoting Price-Responsive Demand for Electricity</w:t>
      </w:r>
      <w:r>
        <w:rPr/>
        <w:t xml:space="preserve">, Project No. 24333. </w:t>
      </w:r>
    </w:p>
  </w:footnote>
  <w:footnote w:id="4">
    <w:p>
      <w:pPr>
        <w:pStyle w:val="FootnoteText"/>
        <w:ind w:firstLine="720" w:end="0"/>
        <w:rPr/>
      </w:pPr>
      <w:r>
        <w:rPr>
          <w:rStyle w:val="FootnoteCharacters"/>
        </w:rPr>
        <w:footnoteRef/>
      </w:r>
      <w:r>
        <w:rPr/>
        <w:t xml:space="preserve">Unless one or both parties contact Kennedy Reporting and indicate that they wish to purchase a transcript, the proceeding will not be transcribed by a court reporter.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Docket No. 24770</w:t>
      <w:tab/>
      <w:t>Order No. 1</w:t>
      <w:tab/>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2</w:t>
    </w:r>
    <w:r>
      <w:rPr>
        <w:rStyle w:val="PageNumber"/>
        <w:sz w:val="20"/>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DGA-%1"/>
      <w:lvlJc w:val="start"/>
      <w:pPr>
        <w:tabs>
          <w:tab w:val="num" w:pos="720"/>
        </w:tabs>
        <w:ind w:start="720" w:hanging="720"/>
      </w:pPr>
      <w:rPr>
        <w:sz w:val="24"/>
        <w:i w:val="false"/>
        <w:b w:val="false"/>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before="0" w:after="120"/>
      <w:ind w:hanging="720" w:start="720" w:end="0"/>
      <w:jc w:val="center"/>
      <w:outlineLvl w:val="0"/>
    </w:pPr>
    <w:rPr>
      <w:b/>
      <w:caps/>
      <w:sz w:val="28"/>
    </w:rPr>
  </w:style>
  <w:style w:type="paragraph" w:styleId="Heading2">
    <w:name w:val="heading 2"/>
    <w:basedOn w:val="Heading1"/>
    <w:next w:val="Normal"/>
    <w:qFormat/>
    <w:pPr>
      <w:numPr>
        <w:ilvl w:val="1"/>
        <w:numId w:val="1"/>
      </w:numPr>
      <w:jc w:val="start"/>
      <w:outlineLvl w:val="1"/>
    </w:pPr>
    <w:rPr>
      <w:caps w:val="false"/>
      <w:smallCaps w:val="false"/>
    </w:rPr>
  </w:style>
  <w:style w:type="paragraph" w:styleId="Heading3">
    <w:name w:val="heading 3"/>
    <w:basedOn w:val="Heading2"/>
    <w:next w:val="Normal"/>
    <w:qFormat/>
    <w:pPr>
      <w:numPr>
        <w:ilvl w:val="2"/>
        <w:numId w:val="1"/>
      </w:numPr>
      <w:ind w:hanging="720" w:start="1440" w:end="0"/>
      <w:outlineLvl w:val="2"/>
    </w:pPr>
    <w:rPr/>
  </w:style>
  <w:style w:type="paragraph" w:styleId="Heading4">
    <w:name w:val="heading 4"/>
    <w:basedOn w:val="Heading3"/>
    <w:next w:val="Normal"/>
    <w:qFormat/>
    <w:pPr>
      <w:numPr>
        <w:ilvl w:val="3"/>
        <w:numId w:val="1"/>
      </w:numPr>
      <w:ind w:hanging="720" w:start="2160" w:end="0"/>
      <w:outlineLvl w:val="3"/>
    </w:pPr>
    <w:rPr/>
  </w:style>
  <w:style w:type="paragraph" w:styleId="Heading5">
    <w:name w:val="heading 5"/>
    <w:basedOn w:val="Heading4"/>
    <w:next w:val="Normal"/>
    <w:qFormat/>
    <w:pPr>
      <w:numPr>
        <w:ilvl w:val="4"/>
        <w:numId w:val="1"/>
      </w:numPr>
      <w:ind w:hanging="720" w:start="2880" w:end="0"/>
      <w:outlineLvl w:val="4"/>
    </w:pPr>
    <w:rPr/>
  </w:style>
  <w:style w:type="paragraph" w:styleId="Heading6">
    <w:name w:val="heading 6"/>
    <w:basedOn w:val="Heading5"/>
    <w:next w:val="Normal"/>
    <w:qFormat/>
    <w:pPr>
      <w:numPr>
        <w:ilvl w:val="5"/>
        <w:numId w:val="1"/>
      </w:numPr>
      <w:ind w:hanging="720" w:start="3600" w:end="0"/>
      <w:outlineLvl w:val="5"/>
    </w:pPr>
    <w:rPr/>
  </w:style>
  <w:style w:type="paragraph" w:styleId="Heading7">
    <w:name w:val="heading 7"/>
    <w:basedOn w:val="Heading6"/>
    <w:next w:val="Normal"/>
    <w:qFormat/>
    <w:pPr>
      <w:numPr>
        <w:ilvl w:val="6"/>
        <w:numId w:val="1"/>
      </w:numPr>
      <w:ind w:hanging="720" w:start="4320" w:end="0"/>
      <w:outlineLvl w:val="6"/>
    </w:pPr>
    <w:rPr/>
  </w:style>
  <w:style w:type="paragraph" w:styleId="Heading8">
    <w:name w:val="heading 8"/>
    <w:basedOn w:val="Heading7"/>
    <w:next w:val="Normal"/>
    <w:qFormat/>
    <w:pPr>
      <w:numPr>
        <w:ilvl w:val="7"/>
        <w:numId w:val="1"/>
      </w:numPr>
      <w:ind w:hanging="720" w:start="5040" w:end="0"/>
      <w:outlineLvl w:val="7"/>
    </w:pPr>
    <w:rPr/>
  </w:style>
  <w:style w:type="paragraph" w:styleId="Heading9">
    <w:name w:val="heading 9"/>
    <w:basedOn w:val="Heading8"/>
    <w:next w:val="Normal"/>
    <w:qFormat/>
    <w:pPr>
      <w:numPr>
        <w:ilvl w:val="8"/>
        <w:numId w:val="1"/>
      </w:numPr>
      <w:ind w:hanging="720" w:start="5760" w:end="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val="false"/>
      <w:i w:val="false"/>
      <w:sz w:val="24"/>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St1z0">
    <w:name w:val="WW8NumSt1z0"/>
    <w:qFormat/>
    <w:rPr>
      <w:rFonts w:ascii="Symbol" w:hAnsi="Symbol" w:cs="Symbol"/>
    </w:rPr>
  </w:style>
  <w:style w:type="character" w:styleId="WW8NumSt15z0">
    <w:name w:val="WW8NumSt15z0"/>
    <w:qFormat/>
    <w:rPr>
      <w:rFonts w:ascii="Symbol" w:hAnsi="Symbol" w:cs="Symbol"/>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Docketnumber">
    <w:name w:val="Docket number"/>
    <w:basedOn w:val="Normal"/>
    <w:qFormat/>
    <w:pPr>
      <w:jc w:val="center"/>
    </w:pPr>
    <w:rPr>
      <w:b/>
      <w:caps/>
      <w:sz w:val="28"/>
    </w:rPr>
  </w:style>
  <w:style w:type="paragraph" w:styleId="Docketstyle">
    <w:name w:val="Docket style"/>
    <w:basedOn w:val="Normal"/>
    <w:qFormat/>
    <w:pPr>
      <w:keepNext w:val="true"/>
      <w:tabs>
        <w:tab w:val="clear" w:pos="720"/>
        <w:tab w:val="center" w:pos="4770" w:leader="none"/>
        <w:tab w:val="left" w:pos="5400" w:leader="none"/>
      </w:tabs>
      <w:spacing w:lineRule="auto" w:line="288"/>
    </w:pPr>
    <w:rPr>
      <w:b/>
      <w:caps/>
    </w:rPr>
  </w:style>
  <w:style w:type="paragraph" w:styleId="Documentheading">
    <w:name w:val="Document heading"/>
    <w:basedOn w:val="Normal"/>
    <w:qFormat/>
    <w:pPr>
      <w:keepNext w:val="true"/>
      <w:jc w:val="center"/>
    </w:pPr>
    <w:rPr>
      <w:b/>
      <w:caps/>
      <w:sz w:val="28"/>
    </w:rPr>
  </w:style>
  <w:style w:type="paragraph" w:styleId="Filename">
    <w:name w:val="Filename"/>
    <w:basedOn w:val="Normal"/>
    <w:qFormat/>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tLeast" w:line="240"/>
    </w:pPr>
    <w:rPr>
      <w:sz w:val="16"/>
    </w:rPr>
  </w:style>
  <w:style w:type="paragraph" w:styleId="FootnoteText">
    <w:name w:val="footnote text"/>
    <w:basedOn w:val="Normal"/>
    <w:next w:val="Footnoteparagraph"/>
    <w:pPr/>
    <w:rPr>
      <w:sz w:val="20"/>
    </w:rPr>
  </w:style>
  <w:style w:type="paragraph" w:styleId="Footnoteparagraph">
    <w:name w:val="Footnote paragraph"/>
    <w:basedOn w:val="FootnoteText"/>
    <w:qFormat/>
    <w:pPr>
      <w:spacing w:before="0" w:after="0"/>
      <w:ind w:firstLine="720" w:start="0" w:end="0"/>
    </w:pPr>
    <w:rPr/>
  </w:style>
  <w:style w:type="paragraph" w:styleId="Footnotequote">
    <w:name w:val="Footnote quote"/>
    <w:basedOn w:val="FootnoteText"/>
    <w:qFormat/>
    <w:pPr>
      <w:spacing w:lineRule="exact" w:line="180" w:before="0" w:after="0"/>
      <w:ind w:hanging="0" w:start="720" w:end="720"/>
    </w:pPr>
    <w:rPr/>
  </w:style>
  <w:style w:type="paragraph" w:styleId="Header">
    <w:name w:val="header"/>
    <w:basedOn w:val="Normal"/>
    <w:pPr>
      <w:tabs>
        <w:tab w:val="clear" w:pos="720"/>
        <w:tab w:val="center" w:pos="4680" w:leader="none"/>
        <w:tab w:val="right" w:pos="9360" w:leader="none"/>
      </w:tabs>
    </w:pPr>
    <w:rPr/>
  </w:style>
  <w:style w:type="paragraph" w:styleId="Indent1">
    <w:name w:val="Indent 1"/>
    <w:basedOn w:val="Normal"/>
    <w:qFormat/>
    <w:pPr>
      <w:ind w:hanging="0" w:start="720" w:end="0"/>
    </w:pPr>
    <w:rPr/>
  </w:style>
  <w:style w:type="paragraph" w:styleId="Indent2">
    <w:name w:val="Indent 2"/>
    <w:basedOn w:val="Indent1"/>
    <w:qFormat/>
    <w:pPr>
      <w:ind w:hanging="0" w:start="1440" w:end="0"/>
    </w:pPr>
    <w:rPr/>
  </w:style>
  <w:style w:type="paragraph" w:styleId="Indent3">
    <w:name w:val="Indent 3"/>
    <w:basedOn w:val="Indent2"/>
    <w:qFormat/>
    <w:pPr>
      <w:ind w:hanging="0" w:start="2160" w:end="0"/>
    </w:pPr>
    <w:rPr/>
  </w:style>
  <w:style w:type="paragraph" w:styleId="Indent4">
    <w:name w:val="Indent 4"/>
    <w:basedOn w:val="Indent3"/>
    <w:qFormat/>
    <w:pPr>
      <w:ind w:hanging="0" w:start="2880" w:end="0"/>
    </w:pPr>
    <w:rPr/>
  </w:style>
  <w:style w:type="paragraph" w:styleId="Indent5">
    <w:name w:val="Indent 5"/>
    <w:basedOn w:val="Indent4"/>
    <w:qFormat/>
    <w:pPr>
      <w:ind w:hanging="0" w:start="3600" w:end="0"/>
    </w:pPr>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rFonts w:ascii="CG Times" w:hAnsi="CG Times" w:cs="CG Times"/>
      <w:spacing w:val="-3"/>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rFonts w:ascii="CG Times" w:hAnsi="CG Times" w:cs="CG Times"/>
      <w:spacing w:val="-3"/>
    </w:rPr>
  </w:style>
  <w:style w:type="paragraph" w:styleId="MEE-RFI">
    <w:name w:val="MEE-RFI"/>
    <w:basedOn w:val="Normal"/>
    <w:qFormat/>
    <w:pPr>
      <w:ind w:hanging="1440" w:start="1440" w:end="0"/>
    </w:pPr>
    <w:rPr/>
  </w:style>
  <w:style w:type="paragraph" w:styleId="Normaldouble">
    <w:name w:val="Normal double"/>
    <w:basedOn w:val="Normal"/>
    <w:qFormat/>
    <w:pPr>
      <w:spacing w:lineRule="auto" w:line="480"/>
    </w:pPr>
    <w:rPr/>
  </w:style>
  <w:style w:type="paragraph" w:styleId="NormalIndent">
    <w:name w:val="Normal Indent"/>
    <w:basedOn w:val="Normal"/>
    <w:qFormat/>
    <w:pPr>
      <w:ind w:hanging="0" w:start="720" w:end="0"/>
    </w:pPr>
    <w:rPr/>
  </w:style>
  <w:style w:type="paragraph" w:styleId="Paragraph">
    <w:name w:val="Paragraph"/>
    <w:basedOn w:val="Normal"/>
    <w:qFormat/>
    <w:pPr>
      <w:ind w:firstLine="720" w:start="0" w:end="0"/>
    </w:pPr>
    <w:rPr/>
  </w:style>
  <w:style w:type="paragraph" w:styleId="Paragraphdouble">
    <w:name w:val="Paragraph double"/>
    <w:basedOn w:val="Paragraph"/>
    <w:qFormat/>
    <w:pPr>
      <w:spacing w:lineRule="auto" w:line="480"/>
    </w:pPr>
    <w:rPr/>
  </w:style>
  <w:style w:type="paragraph" w:styleId="Quoteindent">
    <w:name w:val="Quote indent"/>
    <w:basedOn w:val="Normal"/>
    <w:next w:val="Normal"/>
    <w:qFormat/>
    <w:pPr>
      <w:spacing w:lineRule="exact" w:line="220" w:before="0" w:after="60"/>
      <w:ind w:hanging="0" w:start="720" w:end="720"/>
    </w:pPr>
    <w:rPr>
      <w:sz w:val="22"/>
    </w:rPr>
  </w:style>
  <w:style w:type="paragraph" w:styleId="Quoteparagraph">
    <w:name w:val="Quote paragraph"/>
    <w:basedOn w:val="Quoteindent"/>
    <w:qFormat/>
    <w:pPr>
      <w:ind w:firstLine="720" w:start="720" w:end="720"/>
    </w:pPr>
    <w:rPr/>
  </w:style>
  <w:style w:type="paragraph" w:styleId="RE">
    <w:name w:val="RE"/>
    <w:basedOn w:val="Normal"/>
    <w:qFormat/>
    <w:pPr>
      <w:ind w:hanging="720" w:start="720" w:end="0"/>
    </w:pPr>
    <w:rPr/>
  </w:style>
  <w:style w:type="paragraph" w:styleId="Sectionheading">
    <w:name w:val="Section heading"/>
    <w:basedOn w:val="Normal"/>
    <w:next w:val="Normal"/>
    <w:qFormat/>
    <w:pPr>
      <w:keepNext w:val="true"/>
      <w:spacing w:lineRule="auto" w:line="480"/>
      <w:jc w:val="center"/>
    </w:pPr>
    <w:rPr>
      <w:b/>
    </w:rPr>
  </w:style>
  <w:style w:type="paragraph" w:styleId="Sectionnumber">
    <w:name w:val="Section number"/>
    <w:basedOn w:val="Normal"/>
    <w:next w:val="Paragraphdouble"/>
    <w:qFormat/>
    <w:pPr>
      <w:keepNext w:val="true"/>
      <w:spacing w:lineRule="auto" w:line="480"/>
      <w:jc w:val="center"/>
    </w:pPr>
    <w:rPr>
      <w:b/>
      <w:caps/>
    </w:rPr>
  </w:style>
  <w:style w:type="paragraph" w:styleId="TableofAuthorities">
    <w:name w:val="Table of Authorities"/>
    <w:basedOn w:val="Normal"/>
    <w:next w:val="Normal"/>
    <w:qFormat/>
    <w:pPr>
      <w:tabs>
        <w:tab w:val="clear" w:pos="720"/>
        <w:tab w:val="right" w:pos="9360" w:leader="dot"/>
      </w:tabs>
      <w:ind w:hanging="240" w:start="240" w:end="0"/>
      <w:jc w:val="start"/>
    </w:pPr>
    <w:rPr>
      <w:sz w:val="20"/>
    </w:rPr>
  </w:style>
  <w:style w:type="paragraph" w:styleId="TOAHeading">
    <w:name w:val="TOA Heading"/>
    <w:basedOn w:val="Normal"/>
    <w:next w:val="Normal"/>
    <w:qFormat/>
    <w:pPr>
      <w:keepNext w:val="true"/>
      <w:spacing w:before="240" w:after="120"/>
      <w:jc w:val="start"/>
    </w:pPr>
    <w:rPr>
      <w:b/>
      <w:caps/>
      <w:sz w:val="20"/>
    </w:rPr>
  </w:style>
  <w:style w:type="paragraph" w:styleId="TOC1">
    <w:name w:val="toc 1"/>
    <w:basedOn w:val="Heading1"/>
    <w:next w:val="Normal"/>
    <w:pPr>
      <w:keepNext w:val="false"/>
      <w:numPr>
        <w:ilvl w:val="0"/>
        <w:numId w:val="0"/>
      </w:numPr>
      <w:tabs>
        <w:tab w:val="clear" w:pos="720"/>
        <w:tab w:val="right" w:pos="9360" w:leader="dot"/>
      </w:tabs>
      <w:suppressAutoHyphens w:val="true"/>
      <w:spacing w:before="0" w:after="0"/>
      <w:ind w:hanging="720" w:start="720"/>
      <w:jc w:val="start"/>
      <w:outlineLvl w:val="9"/>
    </w:pPr>
    <w:rPr>
      <w:b w:val="false"/>
      <w:sz w:val="24"/>
    </w:rPr>
  </w:style>
  <w:style w:type="paragraph" w:styleId="TOC2">
    <w:name w:val="toc 2"/>
    <w:basedOn w:val="TOC1"/>
    <w:next w:val="Normal"/>
    <w:pPr>
      <w:ind w:hanging="720" w:start="1440" w:end="0"/>
    </w:pPr>
    <w:rPr/>
  </w:style>
  <w:style w:type="paragraph" w:styleId="TOC3">
    <w:name w:val="toc 3"/>
    <w:basedOn w:val="TOC2"/>
    <w:next w:val="Normal"/>
    <w:pPr>
      <w:ind w:hanging="720" w:start="2160" w:end="0"/>
    </w:pPr>
    <w:rPr/>
  </w:style>
  <w:style w:type="paragraph" w:styleId="TOC4">
    <w:name w:val="toc 4"/>
    <w:basedOn w:val="TOC3"/>
    <w:next w:val="Normal"/>
    <w:pPr>
      <w:ind w:hanging="720" w:start="2880" w:end="0"/>
    </w:pPr>
    <w:rPr/>
  </w:style>
  <w:style w:type="paragraph" w:styleId="TOC5">
    <w:name w:val="toc 5"/>
    <w:basedOn w:val="TOC4"/>
    <w:next w:val="Normal"/>
    <w:pPr>
      <w:ind w:hanging="720" w:start="3600" w:end="0"/>
    </w:pPr>
    <w:rPr/>
  </w:style>
  <w:style w:type="paragraph" w:styleId="TOC6">
    <w:name w:val="toc 6"/>
    <w:basedOn w:val="TOC5"/>
    <w:next w:val="Normal"/>
    <w:pPr>
      <w:ind w:hanging="720" w:start="4320" w:end="0"/>
    </w:pPr>
    <w:rPr/>
  </w:style>
  <w:style w:type="paragraph" w:styleId="TOC7">
    <w:name w:val="toc 7"/>
    <w:basedOn w:val="TOC6"/>
    <w:next w:val="Normal"/>
    <w:pPr>
      <w:ind w:hanging="720" w:start="5040" w:end="0"/>
    </w:pPr>
    <w:rPr/>
  </w:style>
  <w:style w:type="paragraph" w:styleId="TOC8">
    <w:name w:val="toc 8"/>
    <w:basedOn w:val="TOC7"/>
    <w:next w:val="Normal"/>
    <w:pPr>
      <w:ind w:hanging="720" w:start="5760" w:end="0"/>
    </w:pPr>
    <w:rPr/>
  </w:style>
  <w:style w:type="paragraph" w:styleId="TOC9">
    <w:name w:val="toc 9"/>
    <w:basedOn w:val="TOC8"/>
    <w:next w:val="Normal"/>
    <w:pPr>
      <w:ind w:hanging="720" w:start="6480" w:end="0"/>
    </w:pPr>
    <w:rPr/>
  </w:style>
  <w:style w:type="paragraph" w:styleId="label-normal">
    <w:name w:val="label-normal"/>
    <w:basedOn w:val="Normal"/>
    <w:qFormat/>
    <w:pPr>
      <w:spacing w:lineRule="auto" w:line="216"/>
      <w:ind w:hanging="0" w:start="187" w:end="101"/>
      <w:jc w:val="start"/>
    </w:pPr>
    <w:rPr>
      <w:sz w:val="20"/>
    </w:rPr>
  </w:style>
  <w:style w:type="paragraph" w:styleId="Testimony">
    <w:name w:val="Testimony"/>
    <w:basedOn w:val="Normal"/>
    <w:qFormat/>
    <w:pPr>
      <w:spacing w:lineRule="auto" w:line="480"/>
      <w:ind w:hanging="720" w:start="720" w:end="0"/>
    </w:pPr>
    <w:rPr/>
  </w:style>
  <w:style w:type="paragraph" w:styleId="fq1">
    <w:name w:val="fq1"/>
    <w:basedOn w:val="FootnoteText"/>
    <w:qFormat/>
    <w:pPr>
      <w:ind w:hanging="720" w:start="720" w:end="0"/>
    </w:pPr>
    <w:rPr/>
  </w:style>
  <w:style w:type="paragraph" w:styleId="Bullet-one">
    <w:name w:val="Bullet-one"/>
    <w:basedOn w:val="Paragraphdouble"/>
    <w:qFormat/>
    <w:pPr>
      <w:numPr>
        <w:ilvl w:val="0"/>
        <w:numId w:val="3"/>
      </w:numPr>
      <w:spacing w:lineRule="auto" w:line="360" w:before="0" w:after="120"/>
      <w:ind w:hanging="360" w:start="1080" w:end="0"/>
    </w:pPr>
    <w:rPr/>
  </w:style>
  <w:style w:type="paragraph" w:styleId="DOCKETNO">
    <w:name w:val="DOCKET NO."/>
    <w:qFormat/>
    <w:pPr>
      <w:widowControl/>
      <w:bidi w:val="0"/>
      <w:spacing w:lineRule="exact" w:line="240" w:before="0" w:after="480"/>
      <w:jc w:val="center"/>
    </w:pPr>
    <w:rPr>
      <w:rFonts w:ascii="Times New Roman" w:hAnsi="Times New Roman" w:eastAsia="Times New Roman" w:cs="Times New Roman"/>
      <w:b/>
      <w:caps/>
      <w:color w:val="auto"/>
      <w:sz w:val="28"/>
      <w:szCs w:val="20"/>
      <w:lang w:val="en-US" w:bidi="ar-SA" w:eastAsia="zh-CN"/>
    </w:rPr>
  </w:style>
  <w:style w:type="paragraph" w:styleId="DOCKETSTYLE1">
    <w:name w:val="DOCKET STYLE1"/>
    <w:qFormat/>
    <w:pPr>
      <w:widowControl/>
      <w:tabs>
        <w:tab w:val="clear" w:pos="720"/>
        <w:tab w:val="left" w:pos="4608" w:leader="none"/>
        <w:tab w:val="left" w:pos="5616" w:leader="none"/>
        <w:tab w:val="left" w:pos="6912" w:leader="none"/>
      </w:tabs>
      <w:bidi w:val="0"/>
      <w:spacing w:lineRule="exact" w:line="240" w:before="0" w:after="240"/>
    </w:pPr>
    <w:rPr>
      <w:rFonts w:ascii="Times New Roman" w:hAnsi="Times New Roman" w:eastAsia="Times New Roman" w:cs="Times New Roman"/>
      <w:b/>
      <w:caps/>
      <w:color w:val="auto"/>
      <w:sz w:val="24"/>
      <w:szCs w:val="20"/>
      <w:lang w:val="en-US" w:bidi="ar-SA" w:eastAsia="zh-CN"/>
    </w:rPr>
  </w:style>
  <w:style w:type="paragraph" w:styleId="PL">
    <w:name w:val="PL"/>
    <w:qFormat/>
    <w:pPr>
      <w:widowControl/>
      <w:bidi w:val="0"/>
      <w:spacing w:lineRule="exact" w:line="480"/>
      <w:ind w:firstLine="720" w:start="0" w:end="0"/>
      <w:jc w:val="both"/>
    </w:pPr>
    <w:rPr>
      <w:rFonts w:ascii="Times New Roman" w:hAnsi="Times New Roman" w:eastAsia="Times New Roman" w:cs="Times New Roman"/>
      <w:color w:val="auto"/>
      <w:sz w:val="24"/>
      <w:szCs w:val="20"/>
      <w:lang w:val="en-US" w:bidi="ar-SA" w:eastAsia="zh-CN"/>
    </w:rPr>
  </w:style>
  <w:style w:type="paragraph" w:styleId="REFERENCELINEMEMO">
    <w:name w:val="REFERENCE LINE MEMO"/>
    <w:qFormat/>
    <w:pPr>
      <w:widowControl/>
      <w:tabs>
        <w:tab w:val="clear" w:pos="720"/>
        <w:tab w:val="left" w:pos="2016" w:leader="none"/>
      </w:tabs>
      <w:bidi w:val="0"/>
      <w:spacing w:lineRule="exact" w:line="240" w:before="0" w:after="240"/>
      <w:ind w:hanging="2016" w:start="2016" w:end="0"/>
      <w:jc w:val="both"/>
    </w:pPr>
    <w:rPr>
      <w:rFonts w:ascii="emperorPS" w:hAnsi="emperorPS" w:eastAsia="Times New Roman" w:cs="emperorPS"/>
      <w:color w:val="auto"/>
      <w:sz w:val="24"/>
      <w:szCs w:val="20"/>
      <w:lang w:val="en-US" w:bidi="ar-SA" w:eastAsia="zh-CN"/>
    </w:rPr>
  </w:style>
  <w:style w:type="paragraph" w:styleId="single">
    <w:name w:val="single"/>
    <w:basedOn w:val="Normal"/>
    <w:qFormat/>
    <w:pPr>
      <w:keepNext w:val="true"/>
      <w:keepLines/>
      <w:tabs>
        <w:tab w:val="clear" w:pos="720"/>
        <w:tab w:val="left" w:pos="0" w:leader="none"/>
      </w:tabs>
      <w:suppressAutoHyphens w:val="true"/>
    </w:pPr>
    <w:rPr>
      <w:spacing w:val="-3"/>
    </w:rPr>
  </w:style>
  <w:style w:type="paragraph" w:styleId="qa">
    <w:name w:val="qa"/>
    <w:basedOn w:val="Normal"/>
    <w:qFormat/>
    <w:pPr>
      <w:ind w:hanging="360" w:start="1080" w:end="720"/>
    </w:pPr>
    <w:rPr/>
  </w:style>
  <w:style w:type="paragraph" w:styleId="BodyTextIndent">
    <w:name w:val="Body Text Indent"/>
    <w:basedOn w:val="Normal"/>
    <w:pPr>
      <w:spacing w:lineRule="auto" w:line="360" w:before="0" w:after="120"/>
      <w:ind w:hanging="720" w:start="1440" w:end="0"/>
    </w:pPr>
    <w:rPr/>
  </w:style>
  <w:style w:type="paragraph" w:styleId="BodyTextIndent2">
    <w:name w:val="Body Text Indent 2"/>
    <w:basedOn w:val="Normal"/>
    <w:qFormat/>
    <w:pPr>
      <w:tabs>
        <w:tab w:val="clear" w:pos="720"/>
        <w:tab w:val="left" w:pos="900" w:leader="none"/>
        <w:tab w:val="left" w:pos="2160" w:leader="none"/>
      </w:tabs>
      <w:ind w:hanging="907" w:start="907" w:end="0"/>
    </w:pPr>
    <w:rPr>
      <w:rFonts w:ascii="Arial" w:hAnsi="Arial" w:cs="Arial"/>
    </w:rPr>
  </w:style>
  <w:style w:type="paragraph" w:styleId="BlockText">
    <w:name w:val="Block Text"/>
    <w:basedOn w:val="Normal"/>
    <w:qFormat/>
    <w:pPr>
      <w:ind w:hanging="1080" w:start="1440" w:end="360"/>
      <w:jc w:val="start"/>
    </w:pPr>
    <w:rPr/>
  </w:style>
  <w:style w:type="paragraph" w:styleId="BodyTextIndent3">
    <w:name w:val="Body Text Indent 3"/>
    <w:basedOn w:val="Normal"/>
    <w:qFormat/>
    <w:pPr>
      <w:tabs>
        <w:tab w:val="clear" w:pos="720"/>
        <w:tab w:val="left" w:pos="1080" w:leader="none"/>
        <w:tab w:val="left" w:pos="2160" w:leader="none"/>
      </w:tabs>
      <w:ind w:hanging="1080" w:start="1080" w:end="0"/>
    </w:pPr>
    <w:rPr/>
  </w:style>
  <w:style w:type="paragraph" w:styleId="RFIQ">
    <w:name w:val="RFI Q"/>
    <w:basedOn w:val="Normal"/>
    <w:qFormat/>
    <w:pPr>
      <w:numPr>
        <w:ilvl w:val="0"/>
        <w:numId w:val="2"/>
      </w:numPr>
      <w:spacing w:before="120" w:after="12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sonp@ercot.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2001-10-17T14:16:00Z</dcterms:created>
  <dc:creator>RLD</dc:creator>
  <dc:description>All changes look good.</dc:description>
  <dc:language>en-CA</dc:language>
  <cp:lastModifiedBy>Mitzie Mann</cp:lastModifiedBy>
  <cp:lastPrinted>2001-10-11T14:07:00Z</cp:lastPrinted>
  <dcterms:modified xsi:type="dcterms:W3CDTF">2001-10-17T14:16:00Z</dcterms:modified>
  <cp:revision>2</cp:revision>
  <dc:subject/>
  <dc:title>SOAH DOCKET NO. 473-99-0023</dc:title>
</cp:coreProperties>
</file>