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PUBLIC UTILITY COMMISSION OF TEXAS</w:t>
      </w:r>
    </w:p>
    <w:p>
      <w:pPr>
        <w:pStyle w:val="Normal"/>
        <w:jc w:val="center"/>
        <w:rPr>
          <w:b/>
        </w:rPr>
      </w:pPr>
      <w:r>
        <w:rPr>
          <w:b/>
        </w:rPr>
        <w:t xml:space="preserve">NOTICE OF ERCOT'S FILING OF ITS REPORT TO THE COMMISSIONERS </w:t>
      </w:r>
    </w:p>
    <w:p>
      <w:pPr>
        <w:pStyle w:val="Normal"/>
        <w:jc w:val="center"/>
        <w:rPr>
          <w:b/>
        </w:rPr>
      </w:pPr>
      <w:r>
        <w:rPr>
          <w:b/>
        </w:rPr>
        <w:t>REGARDING IMPLEMENTATION OF ITS PROTOCOLS</w:t>
      </w:r>
    </w:p>
    <w:p>
      <w:pPr>
        <w:pStyle w:val="Normal"/>
        <w:jc w:val="center"/>
        <w:rPr>
          <w:b/>
        </w:rPr>
      </w:pPr>
      <w:r>
        <w:rPr>
          <w:b/>
        </w:rPr>
      </w:r>
    </w:p>
    <w:p>
      <w:pPr>
        <w:pStyle w:val="Normal"/>
        <w:rPr>
          <w:b/>
        </w:rPr>
      </w:pPr>
      <w:r>
        <w:rPr>
          <w:b/>
        </w:rPr>
      </w:r>
    </w:p>
    <w:p>
      <w:pPr>
        <w:pStyle w:val="Normal"/>
        <w:spacing w:lineRule="auto" w:line="360"/>
        <w:jc w:val="both"/>
        <w:rPr/>
      </w:pPr>
      <w:r>
        <w:rPr/>
        <w:t>Notice is given to the public of the filing with the Public Utility Commission of Texas (commission) of the Report of the Electric Reliability Council of Texas (ERCOT) Regarding Certain Market Design Issues on October 1, 2001.</w:t>
      </w:r>
    </w:p>
    <w:p>
      <w:pPr>
        <w:pStyle w:val="Normal"/>
        <w:spacing w:lineRule="auto" w:line="360"/>
        <w:jc w:val="both"/>
        <w:rPr/>
      </w:pPr>
      <w:r>
        <w:rPr/>
      </w:r>
    </w:p>
    <w:p>
      <w:pPr>
        <w:pStyle w:val="Normal"/>
        <w:spacing w:lineRule="auto" w:line="360"/>
        <w:jc w:val="both"/>
        <w:rPr/>
      </w:pPr>
      <w:r>
        <w:rPr>
          <w:u w:val="single"/>
        </w:rPr>
        <w:t>Docket Style and Number:</w:t>
      </w:r>
      <w:r>
        <w:rPr/>
        <w:t xml:space="preserve">  Report of the Electric Reliability Council of Texas (ERCOT) to the PUCT Regarding Implementation of the ERCOT Protocols.  Docket Number 24770.</w:t>
      </w:r>
    </w:p>
    <w:p>
      <w:pPr>
        <w:pStyle w:val="Normal"/>
        <w:spacing w:lineRule="auto" w:line="360"/>
        <w:jc w:val="both"/>
        <w:rPr/>
      </w:pPr>
      <w:r>
        <w:rPr/>
      </w:r>
    </w:p>
    <w:p>
      <w:pPr>
        <w:pStyle w:val="Normal"/>
        <w:spacing w:lineRule="auto" w:line="360"/>
        <w:jc w:val="both"/>
        <w:rPr/>
      </w:pPr>
      <w:r>
        <w:rPr/>
        <w:t>Persons who wish to intervene in the proceeding or comment upon the action sought should contact the Public Utility Commission of Texas, P.O. Box 13326, Austin, Texas 78711-3326, or call the commission’s Customer Protection Division at (512) 936-7120.  Hearing- and speech-impaired individuals with text telephones (TTY) may contact the commission at (512) 936-7136.</w:t>
      </w:r>
    </w:p>
    <w:p>
      <w:pPr>
        <w:pStyle w:val="Normal"/>
        <w:spacing w:lineRule="auto" w:line="360"/>
        <w:jc w:val="both"/>
        <w:rPr/>
      </w:pPr>
      <w:r>
        <w:rPr/>
      </w:r>
    </w:p>
    <w:p>
      <w:pPr>
        <w:pStyle w:val="Normal"/>
        <w:spacing w:lineRule="auto" w:line="360"/>
        <w:rPr/>
      </w:pPr>
      <w:r>
        <w:rPr/>
      </w:r>
      <w:r>
        <mc:AlternateContent>
          <mc:Choice Requires="wps">
            <w:drawing>
              <wp:anchor behindDoc="0" distT="0" distB="0" distL="0" distR="0" simplePos="0" locked="0" layoutInCell="0" allowOverlap="1" relativeHeight="2">
                <wp:simplePos x="0" y="0"/>
                <wp:positionH relativeFrom="margin">
                  <wp:posOffset>-68580</wp:posOffset>
                </wp:positionH>
                <wp:positionV relativeFrom="paragraph">
                  <wp:posOffset>635</wp:posOffset>
                </wp:positionV>
                <wp:extent cx="6012180" cy="1099185"/>
                <wp:effectExtent l="0" t="0" r="0" b="0"/>
                <wp:wrapSquare wrapText="bothSides"/>
                <wp:docPr id="1" name="Frame1"/>
                <a:graphic xmlns:a="http://schemas.openxmlformats.org/drawingml/2006/main">
                  <a:graphicData uri="http://schemas.microsoft.com/office/word/2010/wordprocessingShape">
                    <wps:wsp>
                      <wps:cNvSpPr txBox="1"/>
                      <wps:spPr>
                        <a:xfrm>
                          <a:off x="0" y="0"/>
                          <a:ext cx="6012180" cy="1099185"/>
                        </a:xfrm>
                        <a:prstGeom prst="rect"/>
                        <a:solidFill>
                          <a:srgbClr val="FFFFFF">
                            <a:alpha val="0"/>
                          </a:srgbClr>
                        </a:solidFill>
                      </wps:spPr>
                      <wps:txbx>
                        <w:txbxContent>
                          <w:tbl>
                            <w:tblPr>
                              <w:tblW w:w="9468" w:type="dxa"/>
                              <w:jc w:val="start"/>
                              <w:tblInd w:w="108" w:type="dxa"/>
                              <w:tblLayout w:type="fixed"/>
                              <w:tblCellMar>
                                <w:top w:w="0" w:type="dxa"/>
                                <w:start w:w="108" w:type="dxa"/>
                                <w:bottom w:w="0" w:type="dxa"/>
                                <w:end w:w="108" w:type="dxa"/>
                              </w:tblCellMar>
                            </w:tblPr>
                            <w:tblGrid>
                              <w:gridCol w:w="1728"/>
                              <w:gridCol w:w="7740"/>
                            </w:tblGrid>
                            <w:tr>
                              <w:trPr/>
                              <w:tc>
                                <w:tcPr>
                                  <w:tcW w:w="1728" w:type="dxa"/>
                                  <w:tcBorders/>
                                </w:tcPr>
                                <w:p>
                                  <w:pPr>
                                    <w:pStyle w:val="Normal"/>
                                    <w:rPr/>
                                  </w:pPr>
                                  <w:r>
                                    <w:rPr/>
                                    <w:drawing>
                                      <wp:inline distT="0" distB="0" distL="0" distR="0">
                                        <wp:extent cx="940435" cy="9220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940435" cy="922020"/>
                                                </a:xfrm>
                                                <a:prstGeom prst="rect">
                                                  <a:avLst/>
                                                </a:prstGeom>
                                                <a:noFill/>
                                              </pic:spPr>
                                            </pic:pic>
                                          </a:graphicData>
                                        </a:graphic>
                                      </wp:inline>
                                    </w:drawing>
                                  </w:r>
                                </w:p>
                                <w:p>
                                  <w:pPr>
                                    <w:pStyle w:val="Normal"/>
                                    <w:rPr/>
                                  </w:pPr>
                                  <w:r>
                                    <w:rPr/>
                                  </w:r>
                                </w:p>
                              </w:tc>
                              <w:tc>
                                <w:tcPr>
                                  <w:tcW w:w="7740" w:type="dxa"/>
                                  <w:tcBorders/>
                                </w:tcPr>
                                <w:p>
                                  <w:pPr>
                                    <w:pStyle w:val="Normal"/>
                                    <w:snapToGrid w:val="false"/>
                                    <w:jc w:val="center"/>
                                    <w:rPr>
                                      <w:b/>
                                    </w:rPr>
                                  </w:pPr>
                                  <w:r>
                                    <w:rPr>
                                      <w:b/>
                                    </w:rPr>
                                  </w:r>
                                </w:p>
                                <w:p>
                                  <w:pPr>
                                    <w:pStyle w:val="Normal"/>
                                    <w:jc w:val="center"/>
                                    <w:rPr>
                                      <w:b/>
                                    </w:rPr>
                                  </w:pPr>
                                  <w:r>
                                    <w:rPr>
                                      <w:b/>
                                    </w:rPr>
                                    <w:t>ISSUED BY THE POLICY DEVELOPMENT DIVISION</w:t>
                                  </w:r>
                                </w:p>
                                <w:p>
                                  <w:pPr>
                                    <w:pStyle w:val="Normal"/>
                                    <w:jc w:val="center"/>
                                    <w:rPr>
                                      <w:b/>
                                    </w:rPr>
                                  </w:pPr>
                                  <w:r>
                                    <w:rPr>
                                      <w:b/>
                                    </w:rPr>
                                    <w:t>ON BEHALF OF THE PUBLIC UTILITY COMMISSION OF TEXAS</w:t>
                                  </w:r>
                                </w:p>
                                <w:p>
                                  <w:pPr>
                                    <w:pStyle w:val="Normal"/>
                                    <w:jc w:val="center"/>
                                    <w:rPr>
                                      <w:b/>
                                    </w:rPr>
                                  </w:pPr>
                                  <w:r>
                                    <w:rPr>
                                      <w:b/>
                                    </w:rPr>
                                    <w:t>ON THE 12th DAY OF OCTOBER, 2001</w:t>
                                  </w:r>
                                </w:p>
                                <w:p>
                                  <w:pPr>
                                    <w:pStyle w:val="Normal"/>
                                    <w:rPr>
                                      <w:b/>
                                    </w:rPr>
                                  </w:pPr>
                                  <w:r>
                                    <w:rPr>
                                      <w:b/>
                                    </w:rPr>
                                  </w:r>
                                </w:p>
                              </w:tc>
                            </w:tr>
                          </w:tbl>
                        </w:txbxContent>
                      </wps:txbx>
                      <wps:bodyPr anchor="t" lIns="0" tIns="0" rIns="0" bIns="0">
                        <a:noAutofit/>
                      </wps:bodyPr>
                    </wps:wsp>
                  </a:graphicData>
                </a:graphic>
              </wp:anchor>
            </w:drawing>
          </mc:Choice>
          <mc:Fallback>
            <w:pict>
              <v:rect fillcolor="#FFFFFF" style="position:absolute;rotation:-0;width:473.4pt;height:86.55pt;mso-wrap-distance-left:0pt;mso-wrap-distance-right:0pt;mso-wrap-distance-top:0pt;mso-wrap-distance-bottom:0pt;margin-top:0.05pt;mso-position-vertical-relative:text;margin-left:-5.4pt;mso-position-horizontal-relative:margin">
                <v:fill opacity="0f"/>
                <v:textbox inset="0in,0in,0in,0in">
                  <w:txbxContent>
                    <w:tbl>
                      <w:tblPr>
                        <w:tblW w:w="9468" w:type="dxa"/>
                        <w:jc w:val="start"/>
                        <w:tblInd w:w="108" w:type="dxa"/>
                        <w:tblLayout w:type="fixed"/>
                        <w:tblCellMar>
                          <w:top w:w="0" w:type="dxa"/>
                          <w:start w:w="108" w:type="dxa"/>
                          <w:bottom w:w="0" w:type="dxa"/>
                          <w:end w:w="108" w:type="dxa"/>
                        </w:tblCellMar>
                      </w:tblPr>
                      <w:tblGrid>
                        <w:gridCol w:w="1728"/>
                        <w:gridCol w:w="7740"/>
                      </w:tblGrid>
                      <w:tr>
                        <w:trPr/>
                        <w:tc>
                          <w:tcPr>
                            <w:tcW w:w="1728" w:type="dxa"/>
                            <w:tcBorders/>
                          </w:tcPr>
                          <w:p>
                            <w:pPr>
                              <w:pStyle w:val="Normal"/>
                              <w:rPr/>
                            </w:pPr>
                            <w:r>
                              <w:rPr/>
                              <w:drawing>
                                <wp:inline distT="0" distB="0" distL="0" distR="0">
                                  <wp:extent cx="940435" cy="9220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940435" cy="922020"/>
                                          </a:xfrm>
                                          <a:prstGeom prst="rect">
                                            <a:avLst/>
                                          </a:prstGeom>
                                          <a:noFill/>
                                        </pic:spPr>
                                      </pic:pic>
                                    </a:graphicData>
                                  </a:graphic>
                                </wp:inline>
                              </w:drawing>
                            </w:r>
                          </w:p>
                          <w:p>
                            <w:pPr>
                              <w:pStyle w:val="Normal"/>
                              <w:rPr/>
                            </w:pPr>
                            <w:r>
                              <w:rPr/>
                            </w:r>
                          </w:p>
                        </w:tc>
                        <w:tc>
                          <w:tcPr>
                            <w:tcW w:w="7740" w:type="dxa"/>
                            <w:tcBorders/>
                          </w:tcPr>
                          <w:p>
                            <w:pPr>
                              <w:pStyle w:val="Normal"/>
                              <w:snapToGrid w:val="false"/>
                              <w:jc w:val="center"/>
                              <w:rPr>
                                <w:b/>
                              </w:rPr>
                            </w:pPr>
                            <w:r>
                              <w:rPr>
                                <w:b/>
                              </w:rPr>
                            </w:r>
                          </w:p>
                          <w:p>
                            <w:pPr>
                              <w:pStyle w:val="Normal"/>
                              <w:jc w:val="center"/>
                              <w:rPr>
                                <w:b/>
                              </w:rPr>
                            </w:pPr>
                            <w:r>
                              <w:rPr>
                                <w:b/>
                              </w:rPr>
                              <w:t>ISSUED BY THE POLICY DEVELOPMENT DIVISION</w:t>
                            </w:r>
                          </w:p>
                          <w:p>
                            <w:pPr>
                              <w:pStyle w:val="Normal"/>
                              <w:jc w:val="center"/>
                              <w:rPr>
                                <w:b/>
                              </w:rPr>
                            </w:pPr>
                            <w:r>
                              <w:rPr>
                                <w:b/>
                              </w:rPr>
                              <w:t>ON BEHALF OF THE PUBLIC UTILITY COMMISSION OF TEXAS</w:t>
                            </w:r>
                          </w:p>
                          <w:p>
                            <w:pPr>
                              <w:pStyle w:val="Normal"/>
                              <w:jc w:val="center"/>
                              <w:rPr>
                                <w:b/>
                              </w:rPr>
                            </w:pPr>
                            <w:r>
                              <w:rPr>
                                <w:b/>
                              </w:rPr>
                              <w:t>ON THE 12th DAY OF OCTOBER, 2001</w:t>
                            </w:r>
                          </w:p>
                          <w:p>
                            <w:pPr>
                              <w:pStyle w:val="Normal"/>
                              <w:rPr>
                                <w:b/>
                              </w:rPr>
                            </w:pPr>
                            <w:r>
                              <w:rPr>
                                <w:b/>
                              </w:rPr>
                            </w:r>
                          </w:p>
                        </w:tc>
                      </w:tr>
                    </w:tbl>
                  </w:txbxContent>
                </v:textbox>
                <w10:wrap type="square"/>
              </v:rect>
            </w:pict>
          </mc:Fallback>
        </mc:AlternateConten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sz w:val="22"/>
        </w:rPr>
      </w:pPr>
      <w:r>
        <w:rPr>
          <w:sz w:val="22"/>
        </w:rPr>
        <w:fldChar w:fldCharType="begin"/>
      </w:r>
      <w:r>
        <w:rPr>
          <w:sz w:val="22"/>
        </w:rPr>
        <w:instrText xml:space="preserve"> FILENAME \p </w:instrText>
      </w:r>
      <w:r>
        <w:rPr>
          <w:sz w:val="22"/>
        </w:rPr>
        <w:fldChar w:fldCharType="separate"/>
      </w:r>
      <w:r>
        <w:rPr>
          <w:sz w:val="22"/>
        </w:rPr>
        <w:t>/mnt/main-storage/datasets/enron-docs/doc/24770_Notice_of_Ercot_Filing_Report.doc</w:t>
      </w:r>
      <w:r>
        <w:rPr>
          <w:sz w:val="22"/>
        </w:rPr>
        <w:fldChar w:fldCharType="end"/>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Elite">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1440" w:leader="none"/>
        <w:tab w:val="left" w:pos="2160" w:leader="none"/>
        <w:tab w:val="left" w:pos="2880" w:leader="none"/>
        <w:tab w:val="left" w:pos="4680" w:leader="none"/>
        <w:tab w:val="left" w:pos="5760" w:leader="none"/>
        <w:tab w:val="left" w:pos="6912" w:leader="none"/>
      </w:tabs>
      <w:spacing w:lineRule="auto" w:line="360" w:before="480" w:after="0"/>
      <w:ind w:hanging="720" w:start="720" w:end="0"/>
      <w:jc w:val="center"/>
      <w:outlineLvl w:val="0"/>
    </w:pPr>
    <w:rPr>
      <w:b/>
      <w:caps/>
    </w:rPr>
  </w:style>
  <w:style w:type="paragraph" w:styleId="Heading2">
    <w:name w:val="heading 2"/>
    <w:basedOn w:val="Normal"/>
    <w:next w:val="Normal"/>
    <w:qFormat/>
    <w:pPr>
      <w:keepNext w:val="true"/>
      <w:keepLines/>
      <w:numPr>
        <w:ilvl w:val="1"/>
        <w:numId w:val="1"/>
      </w:numPr>
      <w:tabs>
        <w:tab w:val="left" w:pos="720" w:leader="none"/>
        <w:tab w:val="left" w:pos="1440" w:leader="none"/>
        <w:tab w:val="left" w:pos="2160" w:leader="none"/>
        <w:tab w:val="left" w:pos="2880" w:leader="none"/>
        <w:tab w:val="left" w:pos="4680" w:leader="none"/>
        <w:tab w:val="left" w:pos="5760" w:leader="none"/>
        <w:tab w:val="left" w:pos="6912" w:leader="none"/>
      </w:tabs>
      <w:spacing w:lineRule="exact" w:line="240" w:before="360" w:after="0"/>
      <w:jc w:val="both"/>
      <w:outlineLvl w:val="1"/>
    </w:pPr>
    <w:rPr>
      <w:rFonts w:ascii="Letter Gothic" w:hAnsi="Letter Gothic" w:cs="Letter Gothic"/>
      <w:b/>
      <w:i/>
    </w:rPr>
  </w:style>
  <w:style w:type="paragraph" w:styleId="Heading3">
    <w:name w:val="heading 3"/>
    <w:basedOn w:val="Normal"/>
    <w:next w:val="Normal"/>
    <w:qFormat/>
    <w:pPr>
      <w:keepNext w:val="true"/>
      <w:keepLines/>
      <w:numPr>
        <w:ilvl w:val="2"/>
        <w:numId w:val="1"/>
      </w:numPr>
      <w:tabs>
        <w:tab w:val="left" w:pos="720" w:leader="none"/>
        <w:tab w:val="left" w:pos="1440" w:leader="none"/>
        <w:tab w:val="left" w:pos="2160" w:leader="none"/>
        <w:tab w:val="left" w:pos="2880" w:leader="none"/>
        <w:tab w:val="left" w:pos="4680" w:leader="none"/>
        <w:tab w:val="left" w:pos="5760" w:leader="none"/>
        <w:tab w:val="left" w:pos="6912" w:leader="none"/>
      </w:tabs>
      <w:spacing w:lineRule="exact" w:line="240" w:before="360" w:after="0"/>
      <w:jc w:val="both"/>
      <w:outlineLvl w:val="2"/>
    </w:pPr>
    <w:rPr>
      <w:rFonts w:ascii="Letter Gothic" w:hAnsi="Letter Gothic" w:cs="Letter Gothic"/>
      <w:b/>
      <w:i/>
    </w:rPr>
  </w:style>
  <w:style w:type="character" w:styleId="DefaultParagraphFont">
    <w:name w:val="Default Paragraph Font"/>
    <w:qFormat/>
    <w:rPr/>
  </w:style>
  <w:style w:type="character" w:styleId="ALLCAPS">
    <w:name w:val="ALL CAPS"/>
    <w:qFormat/>
    <w:rPr>
      <w:rFonts w:ascii="Letter Gothic" w:hAnsi="Letter Gothic" w:cs="Letter Gothic"/>
      <w:caps/>
      <w:sz w:val="20"/>
    </w:rPr>
  </w:style>
  <w:style w:type="character" w:styleId="BIG10PITCHCOURIERPRINT">
    <w:name w:val="BIG (10 PITCH COURIER) PRINT"/>
    <w:qFormat/>
    <w:rPr/>
  </w:style>
  <w:style w:type="character" w:styleId="BOLDCHARACTERS">
    <w:name w:val="BOLD CHARACTERS"/>
    <w:qFormat/>
    <w:rPr>
      <w:rFonts w:ascii="Letter Gothic" w:hAnsi="Letter Gothic" w:cs="Letter Gothic"/>
      <w:b/>
      <w:sz w:val="20"/>
    </w:rPr>
  </w:style>
  <w:style w:type="character" w:styleId="BOLDITALICCHARACTERS">
    <w:name w:val="BOLD ITALIC CHARACTERS"/>
    <w:qFormat/>
    <w:rPr>
      <w:rFonts w:ascii="Letter Gothic" w:hAnsi="Letter Gothic" w:cs="Letter Gothic"/>
      <w:b/>
      <w:i/>
      <w:sz w:val="20"/>
    </w:rPr>
  </w:style>
  <w:style w:type="character" w:styleId="BOLDUNDERLINEDCHARACTERS">
    <w:name w:val="BOLD UNDERLINED CHARACTERS"/>
    <w:qFormat/>
    <w:rPr>
      <w:rFonts w:ascii="Letter Gothic" w:hAnsi="Letter Gothic" w:cs="Letter Gothic"/>
      <w:b/>
      <w:sz w:val="20"/>
      <w:u w:val="single"/>
    </w:rPr>
  </w:style>
  <w:style w:type="character" w:styleId="Character3">
    <w:name w:val="Character 3"/>
    <w:qFormat/>
    <w:rPr>
      <w:rFonts w:ascii="Letter Gothic" w:hAnsi="Letter Gothic" w:cs="Letter Gothic"/>
      <w:sz w:val="20"/>
    </w:rPr>
  </w:style>
  <w:style w:type="character" w:styleId="Character5">
    <w:name w:val="Character 5"/>
    <w:qFormat/>
    <w:rPr>
      <w:rFonts w:ascii="Letter Gothic" w:hAnsi="Letter Gothic" w:cs="Letter Gothic"/>
      <w:sz w:val="20"/>
    </w:rPr>
  </w:style>
  <w:style w:type="character" w:styleId="FootnoteCharacters">
    <w:name w:val="Footnote Characters"/>
    <w:basedOn w:val="DefaultParagraphFont"/>
    <w:qFormat/>
    <w:rPr>
      <w:rFonts w:ascii="Elite" w:hAnsi="Elite" w:cs="Elite"/>
      <w:sz w:val="17"/>
      <w:vertAlign w:val="superscript"/>
    </w:rPr>
  </w:style>
  <w:style w:type="character" w:styleId="ITALICCHARACTERS">
    <w:name w:val="ITALIC CHARACTERS"/>
    <w:qFormat/>
    <w:rPr>
      <w:rFonts w:ascii="Letter Gothic" w:hAnsi="Letter Gothic" w:cs="Letter Gothic"/>
      <w:i/>
      <w:sz w:val="20"/>
    </w:rPr>
  </w:style>
  <w:style w:type="character" w:styleId="LineDraw">
    <w:name w:val="Line Draw"/>
    <w:qFormat/>
    <w:rPr/>
  </w:style>
  <w:style w:type="character" w:styleId="TINYPRINT">
    <w:name w:val="TINY PRINT"/>
    <w:qFormat/>
    <w:rPr>
      <w:rFonts w:ascii="Elite" w:hAnsi="Elite" w:cs="Elite"/>
      <w:sz w:val="17"/>
    </w:rPr>
  </w:style>
  <w:style w:type="character" w:styleId="UNDERLINEDCHARACTERS">
    <w:name w:val="UNDERLINED CHARACTERS"/>
    <w:qFormat/>
    <w:rPr>
      <w:rFonts w:ascii="Letter Gothic" w:hAnsi="Letter Gothic" w:cs="Letter Gothic"/>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APTION-BOLD">
    <w:name w:val="CAPTION - BOLD"/>
    <w:qFormat/>
    <w:pPr>
      <w:widowControl/>
      <w:tabs>
        <w:tab w:val="clear" w:pos="720"/>
        <w:tab w:val="left" w:pos="4680" w:leader="none"/>
        <w:tab w:val="left" w:pos="5760" w:leader="none"/>
        <w:tab w:val="left" w:pos="6912" w:leader="none"/>
      </w:tabs>
      <w:bidi w:val="0"/>
      <w:spacing w:lineRule="exact" w:line="240"/>
    </w:pPr>
    <w:rPr>
      <w:rFonts w:ascii="Letter Gothic" w:hAnsi="Letter Gothic" w:eastAsia="Times New Roman" w:cs="Letter Gothic"/>
      <w:b/>
      <w:color w:val="auto"/>
      <w:sz w:val="20"/>
      <w:szCs w:val="20"/>
      <w:lang w:val="en-US" w:bidi="ar-SA" w:eastAsia="zh-CN"/>
    </w:rPr>
  </w:style>
  <w:style w:type="paragraph" w:styleId="CENTER">
    <w:name w:val="CENTER"/>
    <w:qFormat/>
    <w:pPr>
      <w:widowControl/>
      <w:bidi w:val="0"/>
      <w:spacing w:lineRule="exact" w:line="240" w:before="240" w:after="0"/>
      <w:ind w:hanging="0" w:start="3096" w:end="3096"/>
    </w:pPr>
    <w:rPr>
      <w:rFonts w:ascii="Letter Gothic" w:hAnsi="Letter Gothic" w:eastAsia="Times New Roman" w:cs="Letter Gothic"/>
      <w:color w:val="auto"/>
      <w:sz w:val="20"/>
      <w:szCs w:val="20"/>
      <w:lang w:val="en-US" w:bidi="ar-SA" w:eastAsia="zh-CN"/>
    </w:rPr>
  </w:style>
  <w:style w:type="paragraph" w:styleId="CLOSINGIndenttomiddle">
    <w:name w:val="CLOSING (Indent to middle)"/>
    <w:qFormat/>
    <w:pPr>
      <w:keepLines/>
      <w:widowControl/>
      <w:tabs>
        <w:tab w:val="left" w:pos="720" w:leader="none"/>
        <w:tab w:val="left" w:pos="1440" w:leader="none"/>
        <w:tab w:val="left" w:pos="2160" w:leader="none"/>
        <w:tab w:val="left" w:pos="2880" w:leader="none"/>
        <w:tab w:val="left" w:pos="4680" w:leader="none"/>
        <w:tab w:val="left" w:pos="5760" w:leader="none"/>
        <w:tab w:val="left" w:pos="6912" w:leader="none"/>
      </w:tabs>
      <w:bidi w:val="0"/>
      <w:spacing w:lineRule="exact" w:line="240"/>
      <w:ind w:hanging="0" w:start="4320" w:end="0"/>
    </w:pPr>
    <w:rPr>
      <w:rFonts w:ascii="Letter Gothic" w:hAnsi="Letter Gothic" w:eastAsia="Times New Roman" w:cs="Letter Gothic"/>
      <w:color w:val="auto"/>
      <w:sz w:val="20"/>
      <w:szCs w:val="20"/>
      <w:lang w:val="en-US" w:bidi="ar-SA" w:eastAsia="zh-CN"/>
    </w:rPr>
  </w:style>
  <w:style w:type="paragraph" w:styleId="FINDINGSOFFACT">
    <w:name w:val="FINDINGS OF FACT"/>
    <w:qFormat/>
    <w:pPr>
      <w:widowControl/>
      <w:tabs>
        <w:tab w:val="left" w:pos="720" w:leader="none"/>
        <w:tab w:val="left" w:pos="1440" w:leader="none"/>
        <w:tab w:val="left" w:pos="2160" w:leader="none"/>
        <w:tab w:val="left" w:pos="2880" w:leader="none"/>
        <w:tab w:val="left" w:pos="4680" w:leader="none"/>
        <w:tab w:val="left" w:pos="5760" w:leader="none"/>
        <w:tab w:val="left" w:pos="6912" w:leader="none"/>
      </w:tabs>
      <w:bidi w:val="0"/>
      <w:spacing w:lineRule="exact" w:line="360"/>
      <w:ind w:hanging="720" w:start="720" w:end="0"/>
      <w:jc w:val="both"/>
    </w:pPr>
    <w:rPr>
      <w:rFonts w:ascii="Letter Gothic" w:hAnsi="Letter Gothic" w:eastAsia="Times New Roman" w:cs="Letter Gothic"/>
      <w:color w:val="auto"/>
      <w:sz w:val="20"/>
      <w:szCs w:val="20"/>
      <w:lang w:val="en-US" w:bidi="ar-SA" w:eastAsia="zh-CN"/>
    </w:rPr>
  </w:style>
  <w:style w:type="paragraph" w:styleId="FootnoteText">
    <w:name w:val="footnote text"/>
    <w:basedOn w:val="Normal"/>
    <w:pPr>
      <w:keepLines/>
      <w:tabs>
        <w:tab w:val="left" w:pos="432" w:leader="none"/>
        <w:tab w:val="left" w:pos="720" w:leader="none"/>
        <w:tab w:val="left" w:pos="1440" w:leader="none"/>
        <w:tab w:val="left" w:pos="2160" w:leader="none"/>
        <w:tab w:val="left" w:pos="2880" w:leader="none"/>
        <w:tab w:val="left" w:pos="4680" w:leader="none"/>
        <w:tab w:val="left" w:pos="5760" w:leader="none"/>
        <w:tab w:val="left" w:pos="6912" w:leader="none"/>
      </w:tabs>
      <w:spacing w:lineRule="exact" w:line="240" w:before="240" w:after="0"/>
      <w:ind w:firstLine="576" w:start="0" w:end="0"/>
      <w:jc w:val="both"/>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keepLines/>
      <w:tabs>
        <w:tab w:val="clear" w:pos="720"/>
        <w:tab w:val="center" w:pos="4680" w:leader="none"/>
        <w:tab w:val="right" w:pos="9360" w:leader="none"/>
      </w:tabs>
      <w:spacing w:lineRule="exact" w:line="240"/>
    </w:pPr>
    <w:rPr>
      <w:b/>
    </w:rPr>
  </w:style>
  <w:style w:type="paragraph" w:styleId="HI">
    <w:name w:val="HI"/>
    <w:qFormat/>
    <w:pPr>
      <w:widowControl/>
      <w:tabs>
        <w:tab w:val="clear" w:pos="720"/>
        <w:tab w:val="left" w:pos="1440" w:leader="none"/>
      </w:tabs>
      <w:bidi w:val="0"/>
      <w:spacing w:lineRule="exact" w:line="360"/>
      <w:ind w:hanging="720" w:start="1440" w:end="0"/>
      <w:jc w:val="both"/>
    </w:pPr>
    <w:rPr>
      <w:rFonts w:ascii="Letter Gothic" w:hAnsi="Letter Gothic" w:eastAsia="Times New Roman" w:cs="Letter Gothic"/>
      <w:color w:val="auto"/>
      <w:sz w:val="20"/>
      <w:szCs w:val="20"/>
      <w:lang w:val="en-US" w:bidi="ar-SA" w:eastAsia="zh-CN"/>
    </w:rPr>
  </w:style>
  <w:style w:type="paragraph" w:styleId="LEFT">
    <w:name w:val="LEFT"/>
    <w:qFormat/>
    <w:pPr>
      <w:widowControl/>
      <w:bidi w:val="0"/>
      <w:spacing w:lineRule="exact" w:line="240" w:before="240" w:after="0"/>
      <w:ind w:hanging="0" w:start="0" w:end="4320"/>
    </w:pPr>
    <w:rPr>
      <w:rFonts w:ascii="Letter Gothic" w:hAnsi="Letter Gothic" w:eastAsia="Times New Roman" w:cs="Letter Gothic"/>
      <w:color w:val="auto"/>
      <w:sz w:val="20"/>
      <w:szCs w:val="20"/>
      <w:lang w:val="en-US" w:bidi="ar-SA" w:eastAsia="zh-CN"/>
    </w:rPr>
  </w:style>
  <w:style w:type="paragraph" w:styleId="Paragraph11">
    <w:name w:val="Paragraph 11"/>
    <w:qFormat/>
    <w:pPr>
      <w:widowControl/>
      <w:bidi w:val="0"/>
      <w:spacing w:lineRule="exact" w:line="240" w:before="240" w:after="0"/>
      <w:ind w:hanging="0" w:start="6192" w:end="0"/>
    </w:pPr>
    <w:rPr>
      <w:rFonts w:ascii="Letter Gothic" w:hAnsi="Letter Gothic" w:eastAsia="Times New Roman" w:cs="Letter Gothic"/>
      <w:color w:val="auto"/>
      <w:sz w:val="20"/>
      <w:szCs w:val="20"/>
      <w:lang w:val="en-US" w:bidi="ar-SA" w:eastAsia="zh-CN"/>
    </w:rPr>
  </w:style>
  <w:style w:type="paragraph" w:styleId="Paragraph8">
    <w:name w:val="Paragraph 8"/>
    <w:qFormat/>
    <w:pPr>
      <w:widowControl/>
      <w:bidi w:val="0"/>
      <w:spacing w:lineRule="exact" w:line="240" w:before="240" w:after="0"/>
      <w:ind w:hanging="0" w:start="0" w:end="6192"/>
    </w:pPr>
    <w:rPr>
      <w:rFonts w:ascii="Letter Gothic" w:hAnsi="Letter Gothic" w:eastAsia="Times New Roman" w:cs="Letter Gothic"/>
      <w:color w:val="auto"/>
      <w:sz w:val="20"/>
      <w:szCs w:val="20"/>
      <w:lang w:val="en-US" w:bidi="ar-SA" w:eastAsia="zh-CN"/>
    </w:rPr>
  </w:style>
  <w:style w:type="paragraph" w:styleId="QUOTES">
    <w:name w:val="QUOTES"/>
    <w:qFormat/>
    <w:pPr>
      <w:widowControl/>
      <w:bidi w:val="0"/>
      <w:spacing w:lineRule="exact" w:line="240" w:before="360" w:after="0"/>
      <w:ind w:hanging="0" w:start="720" w:end="720"/>
      <w:jc w:val="both"/>
    </w:pPr>
    <w:rPr>
      <w:rFonts w:ascii="Letter Gothic" w:hAnsi="Letter Gothic" w:eastAsia="Times New Roman" w:cs="Letter Gothic"/>
      <w:color w:val="auto"/>
      <w:sz w:val="20"/>
      <w:szCs w:val="20"/>
      <w:lang w:val="en-US" w:bidi="ar-SA" w:eastAsia="zh-CN"/>
    </w:rPr>
  </w:style>
  <w:style w:type="paragraph" w:styleId="RIGHT">
    <w:name w:val="RIGHT"/>
    <w:qFormat/>
    <w:pPr>
      <w:widowControl/>
      <w:bidi w:val="0"/>
      <w:spacing w:lineRule="exact" w:line="240" w:before="240" w:after="0"/>
      <w:ind w:hanging="0" w:start="5040" w:end="0"/>
    </w:pPr>
    <w:rPr>
      <w:rFonts w:ascii="Letter Gothic" w:hAnsi="Letter Gothic" w:eastAsia="Times New Roman" w:cs="Letter Gothic"/>
      <w:color w:val="auto"/>
      <w:sz w:val="20"/>
      <w:szCs w:val="20"/>
      <w:lang w:val="en-US" w:bidi="ar-SA" w:eastAsia="zh-CN"/>
    </w:rPr>
  </w:style>
  <w:style w:type="paragraph" w:styleId="SINGLESPACE">
    <w:name w:val="SINGLE SPACE"/>
    <w:qFormat/>
    <w:pPr>
      <w:widowControl/>
      <w:tabs>
        <w:tab w:val="left" w:pos="720" w:leader="none"/>
        <w:tab w:val="left" w:pos="1440" w:leader="none"/>
        <w:tab w:val="left" w:pos="2160" w:leader="none"/>
        <w:tab w:val="left" w:pos="2880" w:leader="none"/>
        <w:tab w:val="left" w:pos="4680" w:leader="none"/>
        <w:tab w:val="left" w:pos="5760" w:leader="none"/>
        <w:tab w:val="left" w:pos="6912" w:leader="none"/>
      </w:tabs>
      <w:bidi w:val="0"/>
      <w:spacing w:lineRule="exact" w:line="240"/>
    </w:pPr>
    <w:rPr>
      <w:rFonts w:ascii="Letter Gothic" w:hAnsi="Letter Gothic" w:eastAsia="Times New Roman" w:cs="Letter Gothic"/>
      <w:color w:val="auto"/>
      <w:sz w:val="20"/>
      <w:szCs w:val="20"/>
      <w:lang w:val="en-US" w:bidi="ar-SA" w:eastAsia="zh-CN"/>
    </w:rPr>
  </w:style>
  <w:style w:type="paragraph" w:styleId="SINGLESPACING">
    <w:name w:val="SINGLE SPACING"/>
    <w:qFormat/>
    <w:pPr>
      <w:widowControl/>
      <w:tabs>
        <w:tab w:val="left" w:pos="720" w:leader="none"/>
        <w:tab w:val="left" w:pos="1440" w:leader="none"/>
        <w:tab w:val="left" w:pos="2160" w:leader="none"/>
        <w:tab w:val="left" w:pos="2880" w:leader="none"/>
        <w:tab w:val="left" w:pos="4680" w:leader="none"/>
        <w:tab w:val="left" w:pos="5760" w:leader="none"/>
        <w:tab w:val="left" w:pos="6912" w:leader="none"/>
      </w:tabs>
      <w:bidi w:val="0"/>
      <w:spacing w:lineRule="exact" w:line="240"/>
      <w:jc w:val="both"/>
    </w:pPr>
    <w:rPr>
      <w:rFonts w:ascii="Letter Gothic" w:hAnsi="Letter Gothic" w:eastAsia="Times New Roman" w:cs="Letter Gothic"/>
      <w:color w:val="auto"/>
      <w:sz w:val="20"/>
      <w:szCs w:val="20"/>
      <w:lang w:val="en-US" w:bidi="ar-SA" w:eastAsia="zh-CN"/>
    </w:rPr>
  </w:style>
  <w:style w:type="paragraph" w:styleId="Style11">
    <w:name w:val="§"/>
    <w:qFormat/>
    <w:pPr>
      <w:widowControl/>
      <w:tabs>
        <w:tab w:val="left" w:pos="720" w:leader="none"/>
        <w:tab w:val="left" w:pos="1440" w:leader="none"/>
        <w:tab w:val="left" w:pos="2160" w:leader="none"/>
        <w:tab w:val="left" w:pos="2880" w:leader="none"/>
        <w:tab w:val="left" w:pos="4680" w:leader="none"/>
        <w:tab w:val="left" w:pos="5760" w:leader="none"/>
        <w:tab w:val="left" w:pos="6912" w:leader="none"/>
      </w:tabs>
      <w:bidi w:val="0"/>
      <w:spacing w:lineRule="exact" w:line="360"/>
      <w:jc w:val="both"/>
    </w:pPr>
    <w:rPr>
      <w:rFonts w:ascii="Letter Gothic" w:hAnsi="Letter Gothic" w:eastAsia="Times New Roman" w:cs="Letter Gothic"/>
      <w:color w:val="auto"/>
      <w:sz w:val="20"/>
      <w:szCs w:val="20"/>
      <w:lang w:val="en-US" w:bidi="ar-SA" w:eastAsia="zh-CN"/>
    </w:rPr>
  </w:style>
  <w:style w:type="paragraph" w:styleId="Style12">
    <w:name w:val="Style1"/>
    <w:basedOn w:val="Heading1"/>
    <w:qFormat/>
    <w:pPr>
      <w:numPr>
        <w:ilvl w:val="0"/>
        <w:numId w:val="0"/>
      </w:numPr>
      <w:ind w:hanging="720" w:start="720"/>
      <w:outlineLvl w:val="9"/>
    </w:pPr>
    <w:rPr>
      <w:caps w:val="false"/>
      <w:smallCaps w:val="false"/>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2001-10-17T14:18:00Z</dcterms:created>
  <dc:creator>Edward Vilano</dc:creator>
  <dc:description/>
  <dc:language>en-CA</dc:language>
  <cp:lastModifiedBy>Mitzie Mann</cp:lastModifiedBy>
  <cp:lastPrinted>2001-10-12T09:06:00Z</cp:lastPrinted>
  <dcterms:modified xsi:type="dcterms:W3CDTF">2001-10-17T14:18:00Z</dcterms:modified>
  <cp:revision>2</cp:revision>
  <dc:subject/>
  <dc:title>NOTICE OF JOINT PETITION</dc:title>
</cp:coreProperties>
</file>