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4230" w:leader="none"/>
        </w:tabs>
        <w:rPr>
          <w:rFonts w:ascii="Times New Roman" w:hAnsi="Times New Roman" w:cs="Times New Roman"/>
        </w:rPr>
      </w:pPr>
      <w:r>
        <w:rPr>
          <w:rFonts w:cs="Times New Roman" w:ascii="Times New Roman" w:hAnsi="Times New Roman"/>
        </w:rPr>
      </w:r>
    </w:p>
    <w:p>
      <w:pPr>
        <w:pStyle w:val="Heading"/>
        <w:widowControl/>
        <w:tabs>
          <w:tab w:val="left" w:pos="4230" w:leader="none"/>
        </w:tabs>
        <w:rPr>
          <w:rFonts w:ascii="Times New Roman" w:hAnsi="Times New Roman" w:cs="Times New Roman"/>
        </w:rPr>
      </w:pPr>
      <w:r>
        <w:rPr>
          <w:rFonts w:cs="Times New Roman" w:ascii="Times New Roman" w:hAnsi="Times New Roman"/>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tabs>
          <w:tab w:val="left" w:pos="4230" w:leader="none"/>
        </w:tabs>
        <w:rPr/>
      </w:pPr>
      <w:r>
        <w:rPr>
          <w:rFonts w:cs="Times New Roman" w:ascii="Times New Roman" w:hAnsi="Times New Roman"/>
        </w:rPr>
        <w:tab/>
        <w:tab/>
        <w:tab/>
        <w:tab/>
      </w:r>
      <w:r>
        <w:rPr>
          <w:rFonts w:cs="Times New Roman" w:ascii="Times New Roman" w:hAnsi="Times New Roman"/>
          <w:u w:val="single"/>
        </w:rPr>
        <w:t>Privileged and Confidential</w:t>
      </w:r>
    </w:p>
    <w:p>
      <w:pPr>
        <w:pStyle w:val="Heading"/>
        <w:widowControl/>
        <w:tabs>
          <w:tab w:val="left" w:pos="4230" w:leader="none"/>
        </w:tabs>
        <w:rPr>
          <w:rFonts w:ascii="Times New Roman" w:hAnsi="Times New Roman" w:cs="Times New Roman"/>
          <w:u w:val="single"/>
        </w:rPr>
      </w:pPr>
      <w:r>
        <w:rPr>
          <w:rFonts w:cs="Times New Roman" w:ascii="Times New Roman" w:hAnsi="Times New Roman"/>
          <w:u w:val="single"/>
        </w:rPr>
      </w:r>
    </w:p>
    <w:tbl>
      <w:tblPr>
        <w:tblW w:w="10590" w:type="dxa"/>
        <w:jc w:val="start"/>
        <w:tblInd w:w="-456" w:type="dxa"/>
        <w:tblLayout w:type="fixed"/>
        <w:tblCellMar>
          <w:top w:w="0" w:type="dxa"/>
          <w:start w:w="120" w:type="dxa"/>
          <w:bottom w:w="0" w:type="dxa"/>
          <w:end w:w="120" w:type="dxa"/>
        </w:tblCellMar>
      </w:tblPr>
      <w:tblGrid>
        <w:gridCol w:w="1392"/>
        <w:gridCol w:w="5046"/>
        <w:gridCol w:w="1985"/>
        <w:gridCol w:w="2167"/>
      </w:tblGrid>
      <w:tr>
        <w:trPr/>
        <w:tc>
          <w:tcPr>
            <w:tcW w:w="1392" w:type="dxa"/>
            <w:tcBorders/>
          </w:tcPr>
          <w:p>
            <w:pPr>
              <w:pStyle w:val="Normal"/>
              <w:widowControl/>
              <w:tabs>
                <w:tab w:val="left" w:pos="-720" w:leader="none"/>
                <w:tab w:val="left" w:pos="-576" w:leader="none"/>
                <w:tab w:val="left" w:pos="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To:</w:t>
            </w:r>
          </w:p>
        </w:tc>
        <w:tc>
          <w:tcPr>
            <w:tcW w:w="5046" w:type="dxa"/>
            <w:tcBorders/>
          </w:tcPr>
          <w:p>
            <w:pPr>
              <w:pStyle w:val="Footer"/>
              <w:widowControl/>
              <w:tabs>
                <w:tab w:val="clear" w:pos="4320"/>
                <w:tab w:val="clear" w:pos="8640"/>
                <w:tab w:val="left" w:pos="-720" w:leader="none"/>
                <w:tab w:val="left" w:pos="540" w:leader="none"/>
                <w:tab w:val="left" w:pos="4230" w:leader="none"/>
              </w:tabs>
              <w:suppressAutoHyphens w:val="true"/>
              <w:spacing w:lineRule="atLeast" w:line="320" w:before="90" w:after="54"/>
              <w:rPr>
                <w:rFonts w:ascii="Times New Roman" w:hAnsi="Times New Roman" w:cs="Times New Roman"/>
                <w:spacing w:val="-3"/>
              </w:rPr>
            </w:pPr>
            <w:r>
              <w:rPr>
                <w:rFonts w:cs="Times New Roman" w:ascii="Times New Roman" w:hAnsi="Times New Roman"/>
                <w:spacing w:val="-3"/>
              </w:rPr>
              <w:t>Jim Derrick (By Hand Delivery and E-mail)</w:t>
            </w:r>
          </w:p>
        </w:tc>
        <w:tc>
          <w:tcPr>
            <w:tcW w:w="1985" w:type="dxa"/>
            <w:tcBorders/>
          </w:tcPr>
          <w:p>
            <w:pPr>
              <w:pStyle w:val="Normal"/>
              <w:widowContro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2167" w:type="dxa"/>
            <w:tcBorders/>
          </w:tcPr>
          <w:p>
            <w:pPr>
              <w:pStyle w:val="Normal"/>
              <w:widowControl/>
              <w:tabs>
                <w:tab w:val="left" w:pos="-720" w:leader="none"/>
                <w:tab w:val="left" w:pos="540" w:leader="none"/>
                <w:tab w:val="left" w:pos="423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r>
      <w:tr>
        <w:trPr/>
        <w:tc>
          <w:tcPr>
            <w:tcW w:w="1392" w:type="dxa"/>
            <w:tcBorders/>
          </w:tcPr>
          <w:p>
            <w:pPr>
              <w:pStyle w:val="Normal"/>
              <w:widowControl/>
              <w:tabs>
                <w:tab w:val="left" w:pos="-72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From:</w:t>
            </w:r>
          </w:p>
        </w:tc>
        <w:tc>
          <w:tcPr>
            <w:tcW w:w="5046" w:type="dxa"/>
            <w:tcBorders/>
          </w:tcPr>
          <w:p>
            <w:pPr>
              <w:pStyle w:val="Footer"/>
              <w:widowControl/>
              <w:tabs>
                <w:tab w:val="clear" w:pos="4320"/>
                <w:tab w:val="clear" w:pos="8640"/>
                <w:tab w:val="left" w:pos="-720" w:leader="none"/>
                <w:tab w:val="left" w:pos="540" w:leader="none"/>
                <w:tab w:val="left" w:pos="4230" w:leader="none"/>
              </w:tabs>
              <w:suppressAutoHyphens w:val="true"/>
              <w:spacing w:lineRule="exact" w:line="280" w:before="120" w:after="0"/>
              <w:rPr>
                <w:rFonts w:ascii="Times New Roman" w:hAnsi="Times New Roman" w:cs="Times New Roman"/>
                <w:spacing w:val="-3"/>
              </w:rPr>
            </w:pPr>
            <w:r>
              <w:rPr>
                <w:rFonts w:cs="Times New Roman" w:ascii="Times New Roman" w:hAnsi="Times New Roman"/>
                <w:spacing w:val="-3"/>
              </w:rPr>
              <w:t>Sharon Butcher</w:t>
            </w:r>
          </w:p>
          <w:p>
            <w:pPr>
              <w:pStyle w:val="Footer"/>
              <w:widowControl/>
              <w:tabs>
                <w:tab w:val="clear" w:pos="4320"/>
                <w:tab w:val="clear" w:pos="8640"/>
                <w:tab w:val="left" w:pos="-720" w:leader="none"/>
                <w:tab w:val="left" w:pos="540" w:leader="none"/>
                <w:tab w:val="left" w:pos="4230" w:leader="none"/>
              </w:tabs>
              <w:suppressAutoHyphens w:val="true"/>
              <w:spacing w:lineRule="exact" w:line="280"/>
              <w:rPr>
                <w:rFonts w:ascii="Times New Roman" w:hAnsi="Times New Roman" w:cs="Times New Roman"/>
                <w:spacing w:val="-3"/>
              </w:rPr>
            </w:pPr>
            <w:r>
              <w:rPr>
                <w:rFonts w:cs="Times New Roman" w:ascii="Times New Roman" w:hAnsi="Times New Roman"/>
                <w:spacing w:val="-3"/>
              </w:rPr>
              <w:t>Michelle Hoogendam Cash</w:t>
            </w:r>
          </w:p>
        </w:tc>
        <w:tc>
          <w:tcPr>
            <w:tcW w:w="1985" w:type="dxa"/>
            <w:tcBorders/>
          </w:tcPr>
          <w:p>
            <w:pPr>
              <w:pStyle w:val="Normal"/>
              <w:widowControl/>
              <w:tabs>
                <w:tab w:val="left" w:pos="-72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Department:</w:t>
            </w:r>
          </w:p>
        </w:tc>
        <w:tc>
          <w:tcPr>
            <w:tcW w:w="2167" w:type="dxa"/>
            <w:tcBorders/>
          </w:tcPr>
          <w:p>
            <w:pPr>
              <w:pStyle w:val="Normal"/>
              <w:widowControl/>
              <w:tabs>
                <w:tab w:val="left" w:pos="-720" w:leader="none"/>
                <w:tab w:val="left" w:pos="540" w:leader="none"/>
                <w:tab w:val="left" w:pos="423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Legal</w:t>
            </w:r>
          </w:p>
        </w:tc>
      </w:tr>
      <w:tr>
        <w:trPr/>
        <w:tc>
          <w:tcPr>
            <w:tcW w:w="1392" w:type="dxa"/>
            <w:tcBorders/>
          </w:tcPr>
          <w:p>
            <w:pPr>
              <w:pStyle w:val="Normal"/>
              <w:widowControl/>
              <w:tabs>
                <w:tab w:val="left" w:pos="-72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Subject:</w:t>
            </w:r>
          </w:p>
        </w:tc>
        <w:tc>
          <w:tcPr>
            <w:tcW w:w="5046" w:type="dxa"/>
            <w:tcBorders/>
          </w:tcPr>
          <w:p>
            <w:pPr>
              <w:pStyle w:val="Footer"/>
              <w:widowControl/>
              <w:tabs>
                <w:tab w:val="clear" w:pos="4320"/>
                <w:tab w:val="clear" w:pos="8640"/>
                <w:tab w:val="left" w:pos="-720" w:leader="none"/>
                <w:tab w:val="left" w:pos="540" w:leader="none"/>
                <w:tab w:val="left" w:pos="4230" w:leader="none"/>
              </w:tabs>
              <w:suppressAutoHyphens w:val="true"/>
              <w:spacing w:lineRule="exact" w:line="340" w:before="90" w:after="54"/>
              <w:rPr>
                <w:rFonts w:ascii="Times New Roman" w:hAnsi="Times New Roman" w:cs="Times New Roman"/>
                <w:spacing w:val="-3"/>
              </w:rPr>
            </w:pPr>
            <w:r>
              <w:rPr>
                <w:rFonts w:cs="Times New Roman" w:ascii="Times New Roman" w:hAnsi="Times New Roman"/>
                <w:spacing w:val="-3"/>
              </w:rPr>
              <w:t xml:space="preserve">Employment Agreement Short Form - </w:t>
            </w:r>
            <w:r>
              <w:rPr>
                <w:rFonts w:cs="Times New Roman" w:ascii="Times New Roman" w:hAnsi="Times New Roman"/>
                <w:b/>
                <w:spacing w:val="-3"/>
              </w:rPr>
              <w:t>Revised</w:t>
            </w:r>
          </w:p>
        </w:tc>
        <w:tc>
          <w:tcPr>
            <w:tcW w:w="1985" w:type="dxa"/>
            <w:tcBorders/>
          </w:tcPr>
          <w:p>
            <w:pPr>
              <w:pStyle w:val="Normal"/>
              <w:widowControl/>
              <w:tabs>
                <w:tab w:val="left" w:pos="-720" w:leader="none"/>
                <w:tab w:val="left" w:pos="540" w:leader="none"/>
                <w:tab w:val="left" w:pos="423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Date:</w:t>
            </w:r>
          </w:p>
        </w:tc>
        <w:tc>
          <w:tcPr>
            <w:tcW w:w="2167" w:type="dxa"/>
            <w:tcBorders/>
          </w:tcPr>
          <w:p>
            <w:pPr>
              <w:pStyle w:val="Normal"/>
              <w:widowControl/>
              <w:tabs>
                <w:tab w:val="left" w:pos="-720" w:leader="none"/>
                <w:tab w:val="left" w:pos="540" w:leader="none"/>
                <w:tab w:val="left" w:pos="4230" w:leader="none"/>
              </w:tabs>
              <w:suppressAutoHyphens w:val="true"/>
              <w:spacing w:before="90" w:after="54"/>
              <w:rPr>
                <w:rFonts w:ascii="Times New Roman" w:hAnsi="Times New Roman" w:cs="Times New Roman"/>
                <w:spacing w:val="-3"/>
              </w:rPr>
            </w:pPr>
            <w:r>
              <w:rPr>
                <w:rFonts w:cs="Times New Roman" w:ascii="Times New Roman" w:hAnsi="Times New Roman"/>
                <w:spacing w:val="-3"/>
              </w:rPr>
              <w:fldChar w:fldCharType="begin"/>
            </w:r>
            <w:r>
              <w:rPr>
                <w:spacing w:val="-3"/>
                <w:rFonts w:cs="Times New Roman" w:ascii="Times New Roman" w:hAnsi="Times New Roman"/>
              </w:rPr>
              <w:instrText xml:space="preserve"> DATE \@"MMMM\ d', 'yyyy" </w:instrText>
            </w:r>
            <w:r>
              <w:rPr>
                <w:spacing w:val="-3"/>
                <w:rFonts w:cs="Times New Roman" w:ascii="Times New Roman" w:hAnsi="Times New Roman"/>
              </w:rPr>
              <w:fldChar w:fldCharType="separate"/>
            </w:r>
            <w:r>
              <w:rPr>
                <w:spacing w:val="-3"/>
                <w:rFonts w:cs="Times New Roman" w:ascii="Times New Roman" w:hAnsi="Times New Roman"/>
              </w:rPr>
              <w:t>September 28, 2025</w:t>
            </w:r>
            <w:r>
              <w:rPr>
                <w:spacing w:val="-3"/>
                <w:rFonts w:cs="Times New Roman" w:ascii="Times New Roman" w:hAnsi="Times New Roman"/>
              </w:rPr>
              <w:fldChar w:fldCharType="end"/>
            </w:r>
          </w:p>
        </w:tc>
      </w:tr>
      <w:tr>
        <w:trPr/>
        <w:tc>
          <w:tcPr>
            <w:tcW w:w="1392" w:type="dxa"/>
            <w:tcBorders>
              <w:bottom w:val="single" w:sz="6" w:space="0" w:color="000000"/>
            </w:tcBorders>
          </w:tcPr>
          <w:p>
            <w:pPr>
              <w:pStyle w:val="Normal"/>
              <w:widowContro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rPr>
            </w:pPr>
            <w:r>
              <w:rPr>
                <w:rFonts w:cs="Times New Roman" w:ascii="Times New Roman" w:hAnsi="Times New Roman"/>
                <w:b/>
                <w:spacing w:val="-2"/>
              </w:rPr>
            </w:r>
          </w:p>
        </w:tc>
        <w:tc>
          <w:tcPr>
            <w:tcW w:w="5046" w:type="dxa"/>
            <w:tcBorders>
              <w:bottom w:val="single" w:sz="6" w:space="0" w:color="000000"/>
            </w:tcBorders>
          </w:tcPr>
          <w:p>
            <w:pPr>
              <w:pStyle w:val="Footer"/>
              <w:widowControl/>
              <w:tabs>
                <w:tab w:val="clear" w:pos="4320"/>
                <w:tab w:val="clear" w:pos="8640"/>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rPr>
            </w:pPr>
            <w:r>
              <w:rPr>
                <w:rFonts w:cs="Times New Roman" w:ascii="Times New Roman" w:hAnsi="Times New Roman"/>
                <w:b/>
                <w:spacing w:val="-3"/>
              </w:rPr>
            </w:r>
          </w:p>
        </w:tc>
        <w:tc>
          <w:tcPr>
            <w:tcW w:w="1985" w:type="dxa"/>
            <w:tcBorders>
              <w:bottom w:val="single" w:sz="6" w:space="0" w:color="000000"/>
            </w:tcBorders>
          </w:tcPr>
          <w:p>
            <w:pPr>
              <w:pStyle w:val="Normal"/>
              <w:widowContro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rPr>
            </w:pPr>
            <w:r>
              <w:rPr>
                <w:rFonts w:cs="Times New Roman" w:ascii="Times New Roman" w:hAnsi="Times New Roman"/>
                <w:b/>
                <w:spacing w:val="-2"/>
              </w:rPr>
            </w:r>
          </w:p>
        </w:tc>
        <w:tc>
          <w:tcPr>
            <w:tcW w:w="2167" w:type="dxa"/>
            <w:tcBorders>
              <w:bottom w:val="single" w:sz="6" w:space="0" w:color="000000"/>
            </w:tcBorders>
          </w:tcPr>
          <w:p>
            <w:pPr>
              <w:pStyle w:val="Normal"/>
              <w:widowContro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rPr>
            </w:pPr>
            <w:r>
              <w:rPr>
                <w:rFonts w:cs="Times New Roman" w:ascii="Times New Roman" w:hAnsi="Times New Roman"/>
                <w:b/>
                <w:spacing w:val="-3"/>
              </w:rPr>
            </w:r>
          </w:p>
        </w:tc>
      </w:tr>
    </w:tbl>
    <w:p>
      <w:pPr>
        <w:pStyle w:val="Body"/>
        <w:widowControl/>
        <w:tabs>
          <w:tab w:val="left" w:pos="720" w:leader="none"/>
        </w:tabs>
        <w:ind w:start="0" w:end="0"/>
        <w:rPr>
          <w:rFonts w:ascii="Times New Roman" w:hAnsi="Times New Roman" w:cs="Times New Roman"/>
          <w:color w:val="auto"/>
          <w:spacing w:val="-3"/>
          <w:sz w:val="24"/>
        </w:rPr>
      </w:pPr>
      <w:r>
        <w:rPr>
          <w:rFonts w:cs="Times New Roman" w:ascii="Times New Roman" w:hAnsi="Times New Roman"/>
          <w:color w:val="auto"/>
          <w:spacing w:val="-3"/>
          <w:sz w:val="24"/>
        </w:rPr>
      </w:r>
    </w:p>
    <w:p>
      <w:pPr>
        <w:pStyle w:val="Body"/>
        <w:widowControl/>
        <w:tabs>
          <w:tab w:val="left" w:pos="720" w:leader="none"/>
        </w:tabs>
        <w:ind w:start="0" w:end="0"/>
        <w:jc w:val="both"/>
        <w:rPr>
          <w:rFonts w:ascii="Times New Roman" w:hAnsi="Times New Roman" w:cs="Times New Roman"/>
          <w:b/>
          <w:color w:val="auto"/>
          <w:spacing w:val="-3"/>
          <w:sz w:val="24"/>
        </w:rPr>
      </w:pPr>
      <w:r>
        <w:rPr>
          <w:rFonts w:cs="Times New Roman" w:ascii="Times New Roman" w:hAnsi="Times New Roman"/>
          <w:b/>
          <w:color w:val="auto"/>
          <w:spacing w:val="-3"/>
          <w:sz w:val="24"/>
        </w:rPr>
        <w:t>Note:  This memorandum is identical to the prior memorandum on this topic except for the bolded language on page 3, which was discussed in Michelle’s voice mail to you.</w:t>
      </w:r>
    </w:p>
    <w:p>
      <w:pPr>
        <w:pStyle w:val="BodyText"/>
        <w:widowControl/>
        <w:rPr>
          <w:rFonts w:ascii="Times New Roman" w:hAnsi="Times New Roman" w:cs="Times New Roman"/>
          <w:b/>
          <w:color w:val="auto"/>
          <w:spacing w:val="-3"/>
          <w:sz w:val="24"/>
        </w:rPr>
      </w:pPr>
      <w:r>
        <w:rPr>
          <w:rFonts w:cs="Times New Roman"/>
          <w:b/>
          <w:color w:val="auto"/>
          <w:spacing w:val="-3"/>
          <w:sz w:val="24"/>
        </w:rPr>
      </w:r>
    </w:p>
    <w:p>
      <w:pPr>
        <w:pStyle w:val="BodyText"/>
        <w:widowControl/>
        <w:rPr/>
      </w:pPr>
      <w:r>
        <w:rPr/>
        <w:t>As we discussed, this memorandum describes potential inserts to the recent draft of the short form employment agreement for Enron Corp. and its affiliates. These inserts to the main text and the exhibits provide the legal basis for the covenant not to compete (i.e., the mutual confidentiality agreements) and also allow Enron to customize the non-competition obligation to the specific individual and the specific job at issue (by using the Exhibits to specify the Scope of the obligation).  We have noted some additional thoughts on the form based upon our experience in negotiating and litigating these contracts.  We are available to discuss these issues at your convenience.</w:t>
      </w:r>
    </w:p>
    <w:p>
      <w:pPr>
        <w:pStyle w:val="BodyText"/>
        <w:widowControl/>
        <w:rPr/>
      </w:pPr>
      <w:r>
        <w:rPr/>
      </w:r>
    </w:p>
    <w:p>
      <w:pPr>
        <w:pStyle w:val="BodyText"/>
        <w:widowControl/>
        <w:rPr>
          <w:b/>
          <w:u w:val="single"/>
        </w:rPr>
      </w:pPr>
      <w:r>
        <w:rPr>
          <w:b/>
          <w:u w:val="single"/>
        </w:rPr>
        <w:t>Inserts to Main Text</w:t>
      </w:r>
    </w:p>
    <w:p>
      <w:pPr>
        <w:pStyle w:val="BodyText"/>
        <w:widowControl/>
        <w:rPr>
          <w:b/>
          <w:u w:val="single"/>
        </w:rPr>
      </w:pPr>
      <w:r>
        <w:rPr>
          <w:b/>
          <w:u w:val="single"/>
        </w:rPr>
      </w:r>
    </w:p>
    <w:p>
      <w:pPr>
        <w:pStyle w:val="BodyText"/>
        <w:widowControl/>
        <w:rPr>
          <w:u w:val="single"/>
        </w:rPr>
      </w:pPr>
      <w:r>
        <w:rPr>
          <w:u w:val="single"/>
        </w:rPr>
        <w:t>Section 2:  Position, Duties, and Geographic Area of Responsibility:</w:t>
      </w:r>
    </w:p>
    <w:p>
      <w:pPr>
        <w:pStyle w:val="BodyText"/>
        <w:widowControl/>
        <w:rPr>
          <w:u w:val="single"/>
        </w:rPr>
      </w:pPr>
      <w:r>
        <w:rPr>
          <w:u w:val="single"/>
        </w:rPr>
      </w:r>
    </w:p>
    <w:p>
      <w:pPr>
        <w:pStyle w:val="BodyText"/>
        <w:widowControl/>
        <w:rPr/>
      </w:pPr>
      <w:r>
        <w:rPr/>
        <w:t xml:space="preserve">The Employee’s “Location” should be included into this section for clarity. </w:t>
      </w:r>
    </w:p>
    <w:p>
      <w:pPr>
        <w:pStyle w:val="BodyText"/>
        <w:widowControl/>
        <w:rPr/>
      </w:pPr>
      <w:r>
        <w:rPr/>
      </w:r>
    </w:p>
    <w:p>
      <w:pPr>
        <w:pStyle w:val="BodyText"/>
        <w:widowControl/>
        <w:rPr/>
      </w:pPr>
      <w:r>
        <w:rPr/>
        <w:t>In addition, we suggest adding the phrase, “Company may assign Employee to a different position or modify Employee’s duties and responsibilities.”  This provision gives Enron the flexibility it needs to restructure its organization and re-deploy its talent without facing claims for breach of contract in the event of restructuring of position or responsibilities.</w:t>
      </w:r>
    </w:p>
    <w:p>
      <w:pPr>
        <w:pStyle w:val="BodyText"/>
        <w:widowControl/>
        <w:rPr/>
      </w:pPr>
      <w:r>
        <w:rPr/>
      </w:r>
    </w:p>
    <w:p>
      <w:pPr>
        <w:pStyle w:val="BodyText"/>
        <w:widowControl/>
        <w:rPr>
          <w:u w:val="single"/>
        </w:rPr>
      </w:pPr>
      <w:r>
        <w:rPr>
          <w:u w:val="single"/>
        </w:rPr>
        <w:t>Section 4:  Termination of Employment</w:t>
      </w:r>
    </w:p>
    <w:p>
      <w:pPr>
        <w:pStyle w:val="BodyText"/>
        <w:widowControl/>
        <w:rPr>
          <w:u w:val="single"/>
        </w:rPr>
      </w:pPr>
      <w:r>
        <w:rPr>
          <w:u w:val="single"/>
        </w:rPr>
      </w:r>
    </w:p>
    <w:p>
      <w:pPr>
        <w:pStyle w:val="BodyText"/>
        <w:widowControl/>
        <w:rPr>
          <w:u w:val="single"/>
        </w:rPr>
      </w:pPr>
      <w:r>
        <w:rPr/>
        <w:t>For subpart (c), the current corporate position appears to be that the Company will pay Employee one year’s total cash compensation, based on the average of the Employee’s last two years of employment at Enron.  Fifty percent of this Amount will be payable in six equal monthly installments for the first six months after the date of termination.  The second 50% shall be paid in a lump-sum payment at the end of the six-month period, provided that Employee has complied with the post-employment obligations.</w:t>
      </w:r>
    </w:p>
    <w:p>
      <w:pPr>
        <w:pStyle w:val="BodyText"/>
        <w:widowControl/>
        <w:rPr>
          <w:u w:val="single"/>
        </w:rPr>
      </w:pPr>
      <w:r>
        <w:rPr>
          <w:u w:val="single"/>
        </w:rPr>
      </w:r>
    </w:p>
    <w:p>
      <w:pPr>
        <w:pStyle w:val="BodyText"/>
        <w:widowControl/>
        <w:rPr>
          <w:u w:val="single"/>
        </w:rPr>
      </w:pPr>
      <w:r>
        <w:rPr>
          <w:u w:val="single"/>
        </w:rPr>
        <w:t>Section 5:  Employee’s Covenants</w:t>
      </w:r>
    </w:p>
    <w:p>
      <w:pPr>
        <w:pStyle w:val="BodyText"/>
        <w:widowControl/>
        <w:rPr/>
      </w:pPr>
      <w:r>
        <w:rPr/>
      </w:r>
    </w:p>
    <w:p>
      <w:pPr>
        <w:pStyle w:val="BodyText"/>
        <w:widowControl/>
        <w:rPr>
          <w:u w:val="single"/>
        </w:rPr>
      </w:pPr>
      <w:r>
        <w:rPr/>
        <w:t>To have an “otherwise enforceable agreement” on which to base a non-compete provision, there must  be mutual agreements about confidentiality, such as the following:</w:t>
      </w:r>
    </w:p>
    <w:p>
      <w:pPr>
        <w:pStyle w:val="BodyText"/>
        <w:widowControl/>
        <w:rPr>
          <w:u w:val="single"/>
        </w:rPr>
      </w:pPr>
      <w:r>
        <w:rPr>
          <w:u w:val="single"/>
        </w:rPr>
      </w:r>
    </w:p>
    <w:p>
      <w:pPr>
        <w:pStyle w:val="BodyText"/>
        <w:widowControl/>
        <w:ind w:start="540" w:end="0"/>
        <w:rPr/>
      </w:pPr>
      <w:r>
        <w:rPr>
          <w:u w:val="single"/>
        </w:rPr>
        <w:t>Confidentiality Agreement</w:t>
      </w:r>
      <w:r>
        <w:rPr/>
        <w:t xml:space="preserve">.  Company agrees to and shall provide Employee with immediate access to Confidential Information and specialized training about Company.  Employee agrees that Employee will not disclose Confidential Information at any time without Company’s prior authorization.  </w:t>
      </w:r>
    </w:p>
    <w:p>
      <w:pPr>
        <w:pStyle w:val="BodyText"/>
        <w:widowControl/>
        <w:rPr/>
      </w:pPr>
      <w:r>
        <w:rPr/>
      </w:r>
    </w:p>
    <w:p>
      <w:pPr>
        <w:pStyle w:val="BodyText"/>
        <w:widowControl/>
        <w:rPr/>
      </w:pPr>
      <w:r>
        <w:rPr/>
        <w:t>Note:  This confidentiality Agreement differs from Section 5(b) of the draft agreement because it extends beyond the Restricted Period, which is the way agreements have been structured in the past.  Limiting the confidentiality obligations to the Restricted Period may not offer sufficient protection of the Confidential Information.</w:t>
      </w:r>
    </w:p>
    <w:p>
      <w:pPr>
        <w:pStyle w:val="Normal"/>
        <w:widowControl/>
        <w:tabs>
          <w:tab w:val="left" w:pos="540" w:leader="none"/>
          <w:tab w:val="left" w:pos="720" w:leader="none"/>
        </w:tabs>
        <w:jc w:val="both"/>
        <w:rPr/>
      </w:pPr>
      <w:r>
        <w:rPr/>
      </w:r>
    </w:p>
    <w:p>
      <w:pPr>
        <w:pStyle w:val="Normal"/>
        <w:widowControl/>
        <w:tabs>
          <w:tab w:val="left" w:pos="540" w:leader="none"/>
          <w:tab w:val="left" w:pos="720" w:leader="none"/>
        </w:tabs>
        <w:jc w:val="both"/>
        <w:rPr>
          <w:u w:val="single"/>
        </w:rPr>
      </w:pPr>
      <w:r>
        <w:rPr>
          <w:rFonts w:cs="Times New Roman" w:ascii="Times New Roman" w:hAnsi="Times New Roman"/>
          <w:u w:val="single"/>
        </w:rPr>
        <w:t>Section 5(d):  Non-Compete</w:t>
      </w:r>
    </w:p>
    <w:p>
      <w:pPr>
        <w:pStyle w:val="Normal"/>
        <w:widowControl/>
        <w:tabs>
          <w:tab w:val="left" w:pos="540" w:leader="none"/>
          <w:tab w:val="left" w:pos="720" w:leader="none"/>
        </w:tabs>
        <w:jc w:val="both"/>
        <w:rPr>
          <w:u w:val="single"/>
        </w:rPr>
      </w:pPr>
      <w:r>
        <w:rPr>
          <w:u w:val="single"/>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t xml:space="preserve">To ensure the enforceability of a post-employment non-compete, it must be tied to the provision of confidential information, as described in this proposed insert: </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ind w:hanging="540" w:start="540" w:end="0"/>
        <w:jc w:val="both"/>
        <w:rPr/>
      </w:pPr>
      <w:r>
        <w:rPr>
          <w:rFonts w:cs="Times New Roman" w:ascii="Times New Roman" w:hAnsi="Times New Roman"/>
        </w:rPr>
        <w:tab/>
      </w:r>
      <w:r>
        <w:rPr>
          <w:rFonts w:cs="Times New Roman" w:ascii="Times New Roman" w:hAnsi="Times New Roman"/>
          <w:u w:val="single"/>
        </w:rPr>
        <w:t>Non-Competition</w:t>
      </w:r>
      <w:r>
        <w:rPr>
          <w:rFonts w:cs="Times New Roman" w:ascii="Times New Roman" w:hAnsi="Times New Roman"/>
        </w:rPr>
        <w:t>.  Ancillary to Company’s agreement to provide Confidential Information and Employee’s agreement to maintain its confidentiality, Employee agrees that during the Restricted Period, Employee will not engage in the Scope of Activities in the Geographic Region.  Before Employee engages in any activities that violate this section, Employee agrees to meet with Company to discuss the possible resolution of such claims.  If that meeting is not successful, the parties agree to use confidential, binding arbitration to resolve the dispute over the non-competition obligations.</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pPr>
      <w:r>
        <w:rPr>
          <w:rFonts w:cs="Times New Roman" w:ascii="Times New Roman" w:hAnsi="Times New Roman"/>
          <w:u w:val="single"/>
        </w:rPr>
        <w:t>Section 5 (c) (ii):  Non-Solicitation of Employees.</w:t>
      </w:r>
      <w:r>
        <w:rPr>
          <w:rFonts w:cs="Times New Roman" w:ascii="Times New Roman" w:hAnsi="Times New Roman"/>
        </w:rPr>
        <w:t xml:space="preserve">  In the current draft, the duration for non-solicitation of employees lasts only for the Restricted Period, which is the duration of the non-compete.  Previously, this period has been 12 months from the date of termination, which is enough time to take precautions against employee raiding.  Therefore, we recommend that this Restricted Period be 12 months from the date of termination.</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pPr>
      <w:r>
        <w:rPr>
          <w:rFonts w:cs="Times New Roman" w:ascii="Times New Roman" w:hAnsi="Times New Roman"/>
          <w:u w:val="single"/>
        </w:rPr>
        <w:t xml:space="preserve">Mediation. </w:t>
      </w:r>
      <w:r>
        <w:rPr>
          <w:rFonts w:cs="Times New Roman" w:ascii="Times New Roman" w:hAnsi="Times New Roman"/>
        </w:rPr>
        <w:t xml:space="preserve"> </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t>The section requiring mediation in the old agreement form has been very useful in litigation and in resolving disputes prior to litigation.  Therefore, we suggest inserting the following provision into the form:</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ind w:hanging="540" w:start="540" w:end="0"/>
        <w:jc w:val="both"/>
        <w:rPr>
          <w:rFonts w:ascii="Times New Roman" w:hAnsi="Times New Roman" w:cs="Times New Roman"/>
        </w:rPr>
      </w:pPr>
      <w:r>
        <w:rPr>
          <w:rFonts w:cs="Times New Roman" w:ascii="Times New Roman" w:hAnsi="Times New Roman"/>
        </w:rPr>
        <w:tab/>
        <w:t>If any dispute between the parties, other than a dispute about Sections ___ and ___ [the confidentiality, non-competition, and non-solicitation obligations], the parties agree to try to settle the dispute amicably by confidential mediation before having recourse to other forums.</w:t>
      </w:r>
    </w:p>
    <w:p>
      <w:pPr>
        <w:pStyle w:val="Normal"/>
        <w:widowControl/>
        <w:tabs>
          <w:tab w:val="left" w:pos="540" w:leader="none"/>
          <w:tab w:val="left" w:pos="720" w:leader="none"/>
        </w:tabs>
        <w:jc w:val="both"/>
        <w:rPr>
          <w:rFonts w:ascii="Times New Roman" w:hAnsi="Times New Roman" w:cs="Times New Roman"/>
          <w:b/>
          <w:u w:val="single"/>
        </w:rPr>
      </w:pPr>
      <w:r>
        <w:rPr>
          <w:rFonts w:cs="Times New Roman" w:ascii="Times New Roman" w:hAnsi="Times New Roman"/>
          <w:b/>
          <w:u w:val="single"/>
        </w:rPr>
      </w:r>
      <w:r>
        <w:br w:type="page"/>
      </w:r>
    </w:p>
    <w:p>
      <w:pPr>
        <w:pStyle w:val="Normal"/>
        <w:widowControl/>
        <w:tabs>
          <w:tab w:val="left" w:pos="540" w:leader="none"/>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u w:val="single"/>
        </w:rPr>
        <w:t>Section 6:  Miscellaneous</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u w:val="single"/>
        </w:rPr>
        <w:t>Section 6(a) Notices</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t>This section refers to the Employee’s address in Exhibit B.  Obtaining every Employee’s current address for every contract creates delays and opportunities for mistakes (e.g., out-of-date addresses, etc.).  Moreover, employees change their addresses without giving notice as required under the contract.  Therefore, instead of including a specific address, it is simpler to provide that notices will be sent to the address Employee most recently provided to Company.</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u w:val="single"/>
        </w:rPr>
        <w:t>Section 6(d) Successors/Assigns</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t>We recommend a broader assignment provision that allows Company to assign the Agreement to any Enron affiliate or to any other entity.  Such a provision allows for smooth transitions in the event of divestitures such as those recently completed by EES.</w:t>
      </w:r>
    </w:p>
    <w:p>
      <w:pPr>
        <w:pStyle w:val="Normal"/>
        <w:widowControl/>
        <w:tabs>
          <w:tab w:val="left" w:pos="540" w:leader="none"/>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widowControl/>
        <w:tabs>
          <w:tab w:val="left" w:pos="540" w:leader="none"/>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widowControl/>
        <w:tabs>
          <w:tab w:val="left" w:pos="540" w:leader="none"/>
          <w:tab w:val="left" w:pos="720" w:leader="none"/>
        </w:tabs>
        <w:jc w:val="both"/>
        <w:rPr>
          <w:rFonts w:ascii="Times New Roman" w:hAnsi="Times New Roman" w:cs="Times New Roman"/>
          <w:b/>
          <w:u w:val="single"/>
        </w:rPr>
      </w:pPr>
      <w:r>
        <w:rPr>
          <w:rFonts w:cs="Times New Roman" w:ascii="Times New Roman" w:hAnsi="Times New Roman"/>
          <w:b/>
          <w:u w:val="single"/>
        </w:rPr>
        <w:t>Inserts to Exhibit “A” (the Definitions Exhibit)</w:t>
      </w:r>
    </w:p>
    <w:p>
      <w:pPr>
        <w:pStyle w:val="Normal"/>
        <w:widowControl/>
        <w:tabs>
          <w:tab w:val="left" w:pos="540" w:leader="none"/>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u w:val="single"/>
        </w:rPr>
        <w:t>Definitions Relating to the Non-Compete</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t>In the proposed language regarding the post-employment non-competition obligations, the specifics for the non-compete (scope, duration, and geography) are tailored to the individual and thus are described on the exhibits.  The following inserts to the definitions exhibit provide those specifics.</w:t>
      </w:r>
    </w:p>
    <w:p>
      <w:pPr>
        <w:pStyle w:val="Normal"/>
        <w:widowControl/>
        <w:tabs>
          <w:tab w:val="left" w:pos="540" w:leader="none"/>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widowControl/>
        <w:tabs>
          <w:tab w:val="left" w:pos="540" w:leader="none"/>
          <w:tab w:val="left" w:pos="720" w:leader="none"/>
        </w:tabs>
        <w:ind w:start="540" w:end="720"/>
        <w:jc w:val="both"/>
        <w:rPr/>
      </w:pPr>
      <w:r>
        <w:rPr>
          <w:rFonts w:cs="Times New Roman" w:ascii="Times New Roman" w:hAnsi="Times New Roman"/>
          <w:u w:val="single"/>
        </w:rPr>
        <w:t>Scope of Activities</w:t>
      </w:r>
      <w:r>
        <w:rPr>
          <w:rFonts w:cs="Times New Roman" w:ascii="Times New Roman" w:hAnsi="Times New Roman"/>
        </w:rPr>
        <w:t>.  The Scope of Activities prohibited during the Restricted Period include Employee’s directly or indirectly:</w:t>
      </w:r>
    </w:p>
    <w:p>
      <w:pPr>
        <w:pStyle w:val="Normal"/>
        <w:widowControl/>
        <w:tabs>
          <w:tab w:val="left" w:pos="540" w:leader="none"/>
          <w:tab w:val="left" w:pos="720" w:leader="none"/>
        </w:tabs>
        <w:ind w:end="720"/>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 w:val="left" w:pos="1440" w:leader="none"/>
        </w:tabs>
        <w:ind w:hanging="720" w:start="1440" w:end="720"/>
        <w:jc w:val="both"/>
        <w:rPr>
          <w:rFonts w:ascii="Times New Roman" w:hAnsi="Times New Roman" w:cs="Times New Roman"/>
        </w:rPr>
      </w:pPr>
      <w:r>
        <w:rPr>
          <w:rFonts w:cs="Times New Roman" w:ascii="Times New Roman" w:hAnsi="Times New Roman"/>
        </w:rPr>
        <w:t>a.</w:t>
        <w:tab/>
        <w:t>Performing any of the Specific Scope of Activities described on Exhibit “B”; and</w:t>
      </w:r>
    </w:p>
    <w:p>
      <w:pPr>
        <w:pStyle w:val="Normal"/>
        <w:widowControl/>
        <w:tabs>
          <w:tab w:val="left" w:pos="540" w:leader="none"/>
          <w:tab w:val="left" w:pos="720" w:leader="none"/>
        </w:tabs>
        <w:ind w:start="720" w:end="72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b/>
        </w:rPr>
        <w:t>b.</w:t>
        <w:tab/>
      </w:r>
      <w:r>
        <w:rPr>
          <w:rFonts w:cs="Times New Roman" w:ascii="Times New Roman" w:hAnsi="Times New Roman"/>
          <w:b/>
          <w:spacing w:val="-2"/>
        </w:rPr>
        <w:t>engage in activities relating to Enron’s business not described in parts a and b of this Article 3.4, to the extent that Employee has knowledge or information about such activities; and</w:t>
      </w:r>
    </w:p>
    <w:p>
      <w:pPr>
        <w:pStyle w:val="Normal"/>
        <w:widowControl/>
        <w:tabs>
          <w:tab w:val="left" w:pos="540" w:leader="none"/>
          <w:tab w:val="left" w:pos="720" w:leader="none"/>
          <w:tab w:val="left" w:pos="1440" w:leader="none"/>
        </w:tabs>
        <w:ind w:hanging="720" w:start="1440" w:end="720"/>
        <w:jc w:val="both"/>
        <w:rPr>
          <w:rFonts w:ascii="Times New Roman" w:hAnsi="Times New Roman" w:cs="Times New Roman"/>
          <w:b/>
          <w:spacing w:val="-2"/>
        </w:rPr>
      </w:pPr>
      <w:r>
        <w:rPr>
          <w:rFonts w:cs="Times New Roman" w:ascii="Times New Roman" w:hAnsi="Times New Roman"/>
          <w:b/>
          <w:spacing w:val="-2"/>
        </w:rPr>
      </w:r>
    </w:p>
    <w:p>
      <w:pPr>
        <w:pStyle w:val="Normal"/>
        <w:widowControl/>
        <w:tabs>
          <w:tab w:val="left" w:pos="540" w:leader="none"/>
          <w:tab w:val="left" w:pos="720" w:leader="none"/>
        </w:tabs>
        <w:ind w:end="720"/>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 w:val="left" w:pos="1440" w:leader="none"/>
        </w:tabs>
        <w:ind w:hanging="720" w:start="1440" w:end="720"/>
        <w:jc w:val="both"/>
        <w:rPr>
          <w:rFonts w:ascii="Times New Roman" w:hAnsi="Times New Roman" w:cs="Times New Roman"/>
        </w:rPr>
      </w:pPr>
      <w:r>
        <w:rPr>
          <w:rFonts w:cs="Times New Roman" w:ascii="Times New Roman" w:hAnsi="Times New Roman"/>
        </w:rPr>
        <w:t>c.</w:t>
        <w:tab/>
        <w:t>Developing systems, information technology, accounting, or risk management with respect to any of the activities described in subparts (a) and (b) above; and</w:t>
      </w:r>
    </w:p>
    <w:p>
      <w:pPr>
        <w:pStyle w:val="Normal"/>
        <w:widowControl/>
        <w:tabs>
          <w:tab w:val="left" w:pos="540" w:leader="none"/>
          <w:tab w:val="left" w:pos="720" w:leader="none"/>
        </w:tabs>
        <w:ind w:end="720"/>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 w:val="left" w:pos="1440" w:leader="none"/>
        </w:tabs>
        <w:ind w:hanging="720" w:start="1440" w:end="720"/>
        <w:jc w:val="both"/>
        <w:rPr>
          <w:rFonts w:ascii="Times New Roman" w:hAnsi="Times New Roman" w:cs="Times New Roman"/>
        </w:rPr>
      </w:pPr>
      <w:r>
        <w:rPr>
          <w:rFonts w:cs="Times New Roman" w:ascii="Times New Roman" w:hAnsi="Times New Roman"/>
        </w:rPr>
        <w:t>d.</w:t>
        <w:tab/>
      </w:r>
      <w:r>
        <w:rPr>
          <w:rFonts w:cs="Times New Roman" w:ascii="Times New Roman" w:hAnsi="Times New Roman"/>
          <w:spacing w:val="-2"/>
        </w:rPr>
        <w:t>render advice or services to, or otherwise assist, any other person, association or entity in the business of “a,” “b,” or “c” above.</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u w:val="single"/>
        </w:rPr>
        <w:t>Confidential Information</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t>We also suggest a more detailed description of confidential information, as follows:</w:t>
      </w:r>
    </w:p>
    <w:p>
      <w:pPr>
        <w:pStyle w:val="Normal"/>
        <w:widowControl/>
        <w:tabs>
          <w:tab w:val="left" w:pos="-720" w:leader="none"/>
          <w:tab w:val="left" w:pos="540" w:leader="none"/>
        </w:tabs>
        <w:suppressAutoHyphens w:val="true"/>
        <w:jc w:val="both"/>
        <w:rPr>
          <w:rFonts w:ascii="Times New Roman" w:hAnsi="Times New Roman" w:cs="Times New Roman"/>
          <w:u w:val="single"/>
        </w:rPr>
      </w:pPr>
      <w:r>
        <w:rPr>
          <w:rFonts w:cs="Times New Roman" w:ascii="Times New Roman" w:hAnsi="Times New Roman"/>
          <w:u w:val="single"/>
        </w:rPr>
      </w:r>
    </w:p>
    <w:p>
      <w:pPr>
        <w:pStyle w:val="Normal"/>
        <w:widowControl/>
        <w:tabs>
          <w:tab w:val="left" w:pos="-720" w:leader="none"/>
          <w:tab w:val="left" w:pos="540" w:leader="none"/>
        </w:tabs>
        <w:suppressAutoHyphens w:val="true"/>
        <w:ind w:start="540" w:end="720"/>
        <w:jc w:val="both"/>
        <w:rPr/>
      </w:pPr>
      <w:r>
        <w:rPr>
          <w:rFonts w:cs="Times New Roman" w:ascii="Times New Roman" w:hAnsi="Times New Roman"/>
          <w:u w:val="single"/>
        </w:rPr>
        <w:t>Confidential Information</w:t>
      </w:r>
      <w:r>
        <w:rPr>
          <w:rFonts w:cs="Times New Roman" w:ascii="Times New Roman" w:hAnsi="Times New Roman"/>
        </w:rPr>
        <w:t xml:space="preserve">. Company agrees to provide Employee with immediate access to Confidential Information relating to Company’s business.  “Confidential Information” means and includes Company’s confidential and/or proprietary information and/or trade secrets that have been and/or will be developed or used and that cannot be obtained readily by third parties from outside sources.  Confidential Information includes, but is not limited to,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information concerning current and prospective customers, investors, and business affiliates; pricing strategies and price curves; positions; plans or strategies for expansion or acquisitions; budgets; research; weather data; emissions information; financial and sales data; trading methodologies and terms; communications information; electronic commerce strategies and information, evaluations, opinions, and interpretations of information and data; marketing and merchandising techniques; grids and maps; electronic databases; models; specifications; computer programs; contracts; bids or proposals; technologies and methods; training methods and processes; organizational structure; personnel information; payments or rates paid to consultants or other service providers; and other such confidential or proprietary information.  </w:t>
      </w:r>
    </w:p>
    <w:p>
      <w:pPr>
        <w:pStyle w:val="Normal"/>
        <w:widowControl/>
        <w:tabs>
          <w:tab w:val="left" w:pos="-720" w:leader="none"/>
          <w:tab w:val="left" w:pos="54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540" w:leader="none"/>
        </w:tabs>
        <w:suppressAutoHyphens w:val="true"/>
        <w:ind w:hanging="540" w:start="540" w:end="720"/>
        <w:jc w:val="both"/>
        <w:rPr/>
      </w:pPr>
      <w:r>
        <w:rPr>
          <w:rFonts w:cs="Times New Roman" w:ascii="Times New Roman" w:hAnsi="Times New Roman"/>
        </w:rPr>
        <w:tab/>
        <w:t>Employee acknowledges that Company’s business is highly competitive, that this Confidential Information constitutes a valuable, special, and unique asset used by Company in its business, and that protection of such Confidential Information against unauthorized disclosure and use is of critical importance to Company.  Employee also will have immediate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 xml:space="preserve">customers, suppliers, partners, joint venturers, investors, financing sources, etc., of Company.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u w:val="single"/>
        </w:rPr>
      </w:pPr>
      <w:r>
        <w:rPr>
          <w:rFonts w:cs="Times New Roman" w:ascii="Times New Roman" w:hAnsi="Times New Roman"/>
          <w:u w:val="single"/>
        </w:rPr>
        <w:t>Restricted Period</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rPr>
        <w:t>It appears that the latest proposal for the non-compete “tail” for all employees at all levels is as described in the following insert:</w:t>
      </w:r>
    </w:p>
    <w:p>
      <w:pPr>
        <w:pStyle w:val="Normal"/>
        <w:rPr>
          <w:rFonts w:ascii="Times New Roman" w:hAnsi="Times New Roman" w:cs="Times New Roman"/>
          <w:u w:val="single"/>
        </w:rPr>
      </w:pPr>
      <w:r>
        <w:rPr>
          <w:rFonts w:cs="Times New Roman" w:ascii="Times New Roman" w:hAnsi="Times New Roman"/>
          <w:u w:val="single"/>
        </w:rPr>
      </w:r>
    </w:p>
    <w:p>
      <w:pPr>
        <w:pStyle w:val="Normal"/>
        <w:widowControl/>
        <w:tabs>
          <w:tab w:val="left" w:pos="540" w:leader="none"/>
          <w:tab w:val="left" w:pos="720" w:leader="none"/>
        </w:tabs>
        <w:ind w:hanging="540" w:start="540" w:end="720"/>
        <w:jc w:val="both"/>
        <w:rPr/>
      </w:pPr>
      <w:r>
        <w:rPr>
          <w:rFonts w:cs="Times New Roman" w:ascii="Times New Roman" w:hAnsi="Times New Roman"/>
          <w:spacing w:val="-2"/>
        </w:rPr>
        <w:tab/>
        <w:t>The Restricted Period for Non-Competition and Non-Solicitation of Customers shall survive the termination of employment and extend through the latest of the following dates, whichever is applicable:  (a) Twelve (12) months after Employee’s voluntary termination of employment if such termination occurs during the Term; or (b) Six (6) months after the last date of Employee’s employment with Enron Corp. in the event of an involuntary termination during the Term; or (c) Three (3) months after Employee’s termination of employment for any reason if such termination occurs after the Term.</w:t>
      </w:r>
      <w:r>
        <w:rPr>
          <w:rFonts w:cs="Times New Roman" w:ascii="Times New Roman" w:hAnsi="Times New Roman"/>
        </w:rPr>
        <w:t xml:space="preserve"> </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u w:val="single"/>
        </w:rPr>
        <w:t>Definition of “Cause”</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t>Currently, the cause definition is limited to duties and responsibilities under the Agreement.  Because this provision could be construed narrowly, we suggest broadening it to include duties and responsibilities “as an employee of Company.”</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b/>
          <w:u w:val="single"/>
        </w:rPr>
        <w:t>Exhibit “B”</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t>The most significant modification to Exhibit B will be the inclusion of a description of the Specific Scope of Activities prohibited by the non-compete.  Each description will be specific to the person’s business unit, job responsibilities, etc.  We are working with the business units for proposed descriptions and will forward those to you for review and comment upon their completion.</w:t>
      </w:r>
    </w:p>
    <w:p>
      <w:pPr>
        <w:pStyle w:val="Normal"/>
        <w:widowControl/>
        <w:tabs>
          <w:tab w:val="left" w:pos="540" w:leader="none"/>
          <w:tab w:val="left" w:pos="720" w:leader="none"/>
        </w:tabs>
        <w:jc w:val="both"/>
        <w:rPr>
          <w:rFonts w:ascii="Times New Roman" w:hAnsi="Times New Roman" w:cs="Times New Roman"/>
        </w:rPr>
      </w:pPr>
      <w:r>
        <w:rPr>
          <w:rFonts w:cs="Times New Roman" w:ascii="Times New Roman" w:hAnsi="Times New Roman"/>
        </w:rPr>
      </w:r>
    </w:p>
    <w:p>
      <w:pPr>
        <w:pStyle w:val="Body"/>
        <w:widowControl/>
        <w:tabs>
          <w:tab w:val="left" w:pos="720" w:leader="none"/>
        </w:tabs>
        <w:ind w:start="0" w:end="0"/>
        <w:rPr>
          <w:rFonts w:ascii="Times New Roman" w:hAnsi="Times New Roman" w:cs="Times New Roman"/>
          <w:color w:val="auto"/>
          <w:spacing w:val="-3"/>
          <w:sz w:val="24"/>
        </w:rPr>
      </w:pPr>
      <w:r>
        <w:rPr>
          <w:rFonts w:cs="Times New Roman" w:ascii="Times New Roman" w:hAnsi="Times New Roman"/>
          <w:b/>
          <w:color w:val="auto"/>
          <w:spacing w:val="-3"/>
          <w:sz w:val="24"/>
          <w:u w:val="single"/>
        </w:rPr>
        <w:t>General Comments</w:t>
      </w:r>
    </w:p>
    <w:p>
      <w:pPr>
        <w:pStyle w:val="Body"/>
        <w:widowControl/>
        <w:tabs>
          <w:tab w:val="left" w:pos="720" w:leader="none"/>
        </w:tabs>
        <w:ind w:start="0" w:end="0"/>
        <w:rPr>
          <w:rFonts w:ascii="Times New Roman" w:hAnsi="Times New Roman" w:cs="Times New Roman"/>
          <w:color w:val="auto"/>
          <w:spacing w:val="-3"/>
          <w:sz w:val="24"/>
        </w:rPr>
      </w:pPr>
      <w:r>
        <w:rPr>
          <w:rFonts w:cs="Times New Roman" w:ascii="Times New Roman" w:hAnsi="Times New Roman"/>
          <w:color w:val="auto"/>
          <w:spacing w:val="-3"/>
          <w:sz w:val="24"/>
        </w:rPr>
      </w:r>
    </w:p>
    <w:p>
      <w:pPr>
        <w:pStyle w:val="BodyText"/>
        <w:widowControl/>
        <w:rPr/>
      </w:pPr>
      <w:r>
        <w:rPr/>
        <w:t>In the interest of simplicity, we suggest that “Company” be used as the identifier for the Enron entity; this approach would allow the forms to be completely standardized and would require only one field insert for the actual company name.</w:t>
      </w:r>
    </w:p>
    <w:p>
      <w:pPr>
        <w:pStyle w:val="BodyText"/>
        <w:widowControl/>
        <w:rPr/>
      </w:pPr>
      <w:r>
        <w:rPr/>
      </w:r>
    </w:p>
    <w:p>
      <w:pPr>
        <w:pStyle w:val="BodyText"/>
        <w:widowControl/>
        <w:rPr/>
      </w:pPr>
      <w:r>
        <w:rPr/>
        <w:t>In addition, using only one form for all Employees, rather than separate forms for males and females, has the benefit of simplicity and also prevents unnecessary inquiries into the gender of an employee under contract.  Although the word “Employee” is longer than “him” or “her,” we believe that the benefits are worthwhile.</w:t>
      </w:r>
    </w:p>
    <w:p>
      <w:pPr>
        <w:pStyle w:val="BodyText"/>
        <w:widowControl/>
        <w:rPr/>
      </w:pPr>
      <w:r>
        <w:rPr/>
      </w:r>
    </w:p>
    <w:p>
      <w:pPr>
        <w:pStyle w:val="BodyText"/>
        <w:widowControl/>
        <w:rPr/>
      </w:pPr>
      <w:r>
        <w:rPr/>
        <w:t>Finally, Employees reviewing the current short form have reacted positively to the use of subject matter headings for each paragraph/subparagraph.  To make the new form “user-friendly,” we suggest inserting substantive paragraph headings.</w:t>
      </w:r>
    </w:p>
    <w:p>
      <w:pPr>
        <w:pStyle w:val="BodyText"/>
        <w:widowControl/>
        <w:rPr/>
      </w:pPr>
      <w:r>
        <w:rPr/>
      </w:r>
    </w:p>
    <w:p>
      <w:pPr>
        <w:pStyle w:val="BodyText"/>
        <w:widowControl/>
        <w:rPr>
          <w:spacing w:val="-3"/>
        </w:rPr>
      </w:pPr>
      <w:r>
        <w:rPr>
          <w:spacing w:val="-3"/>
        </w:rPr>
        <w:t>As mentioned above, we are available to discuss these issues at your convenience.  Please let us know if you have any questions or comments.</w:t>
      </w:r>
    </w:p>
    <w:p>
      <w:pPr>
        <w:pStyle w:val="Body"/>
        <w:widowControl/>
        <w:tabs>
          <w:tab w:val="left" w:pos="720" w:leader="none"/>
        </w:tabs>
        <w:ind w:start="0" w:end="0"/>
        <w:rPr>
          <w:rFonts w:ascii="Times New Roman" w:hAnsi="Times New Roman" w:cs="Times New Roman"/>
          <w:color w:val="auto"/>
          <w:spacing w:val="-3"/>
          <w:sz w:val="24"/>
        </w:rPr>
      </w:pPr>
      <w:r>
        <w:rPr>
          <w:rFonts w:cs="Times New Roman" w:ascii="Times New Roman" w:hAnsi="Times New Roman"/>
          <w:color w:val="auto"/>
          <w:spacing w:val="-3"/>
          <w:sz w:val="24"/>
        </w:rPr>
      </w:r>
    </w:p>
    <w:p>
      <w:pPr>
        <w:pStyle w:val="Body"/>
        <w:widowControl/>
        <w:tabs>
          <w:tab w:val="left" w:pos="720" w:leader="none"/>
        </w:tabs>
        <w:ind w:start="0" w:end="0"/>
        <w:rPr>
          <w:rFonts w:ascii="Times New Roman" w:hAnsi="Times New Roman" w:cs="Times New Roman"/>
          <w:color w:val="auto"/>
          <w:spacing w:val="-3"/>
          <w:sz w:val="24"/>
        </w:rPr>
      </w:pPr>
      <w:r>
        <w:rPr>
          <w:rFonts w:cs="Times New Roman" w:ascii="Times New Roman" w:hAnsi="Times New Roman"/>
          <w:color w:val="auto"/>
          <w:spacing w:val="-3"/>
          <w:sz w:val="24"/>
        </w:rPr>
        <w:t>cc:</w:t>
        <w:tab/>
        <w:t>Kriste Sullivan</w:t>
      </w:r>
    </w:p>
    <w:sectPr>
      <w:headerReference w:type="default" r:id="rId3"/>
      <w:headerReference w:type="first" r:id="rId4"/>
      <w:footerReference w:type="default" r:id="rId5"/>
      <w:footerReference w:type="first" r:id="rId6"/>
      <w:type w:val="nextPage"/>
      <w:pgSz w:w="12240" w:h="15840"/>
      <w:pgMar w:left="1440" w:right="1440" w:gutter="0" w:header="720" w:top="77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widowControl/>
      <w:tabs>
        <w:tab w:val="clear" w:pos="4320"/>
        <w:tab w:val="clear" w:pos="8640"/>
        <w:tab w:val="center" w:pos="5760" w:leader="none"/>
        <w:tab w:val="right" w:pos="10800" w:leader="none"/>
      </w:tabs>
      <w:rPr>
        <w:b/>
        <w:sz w:val="16"/>
      </w:rPr>
    </w:pPr>
    <w:r>
      <w:rPr>
        <w:b/>
        <w:sz w:val="16"/>
      </w:rPr>
      <w:t>2416mhc.doc</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Times New Roman" w:hAnsi="Times New Roman" w:cs="Times New Roman"/>
      </w:rPr>
    </w:pPr>
    <w:r>
      <w:rPr>
        <w:rFonts w:cs="Times New Roman" w:ascii="Times New Roman" w:hAnsi="Times New Roman"/>
      </w:rPr>
      <w:t>February 7, 2000</w:t>
    </w:r>
  </w:p>
  <w:p>
    <w:pPr>
      <w:pStyle w:val="Header"/>
      <w:widowControl/>
      <w:rP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p>
    <w:pPr>
      <w:pStyle w:val="Header"/>
      <w:widowControl/>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-176530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9pt;mso-position-vertical-relative:text;margin-left:208.5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keepNext w:val="true"/>
      <w:numPr>
        <w:ilvl w:val="1"/>
        <w:numId w:val="1"/>
      </w:numPr>
      <w:tabs>
        <w:tab w:val="clear" w:pos="540"/>
        <w:tab w:val="left" w:pos="720" w:leader="none"/>
      </w:tabs>
      <w:jc w:val="both"/>
      <w:outlineLvl w:val="1"/>
    </w:pPr>
    <w:rPr>
      <w:rFonts w:ascii="Times New Roman" w:hAnsi="Times New Roman" w:cs="Times New Roman"/>
      <w:b/>
      <w:u w:val="single"/>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1999-11-12T19:49:00Z</dcterms:created>
  <dc:creator>Enron</dc:creator>
  <dc:description/>
  <dc:language>en-CA</dc:language>
  <cp:lastModifiedBy>tsweet</cp:lastModifiedBy>
  <cp:lastPrinted>2000-02-07T15:55:00Z</cp:lastPrinted>
  <dcterms:modified xsi:type="dcterms:W3CDTF">2000-02-07T19:25:00Z</dcterms:modified>
  <cp:revision>11</cp:revision>
  <dc:subject/>
  <dc:title> </dc:title>
</cp:coreProperties>
</file>