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sz w:val="24"/>
        </w:rPr>
      </w:pPr>
      <w:r>
        <w:rPr>
          <w:rFonts w:ascii="Times New Roman" w:hAnsi="Times New Roman"/>
          <w:b/>
          <w:sz w:val="24"/>
        </w:rPr>
        <w:t>DISSOLUTION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This DISSOLUTION AGREEMENT (this “</w:t>
      </w:r>
      <w:r>
        <w:rPr>
          <w:rFonts w:ascii="Times New Roman" w:hAnsi="Times New Roman"/>
          <w:sz w:val="24"/>
          <w:u w:val="single"/>
        </w:rPr>
        <w:t>Agreement</w:t>
      </w:r>
      <w:r>
        <w:rPr>
          <w:rFonts w:ascii="Times New Roman" w:hAnsi="Times New Roman"/>
          <w:sz w:val="24"/>
        </w:rPr>
        <w:t>”), dated as of May 31, 2000 (the “</w:t>
      </w:r>
      <w:r>
        <w:rPr>
          <w:rFonts w:ascii="Times New Roman" w:hAnsi="Times New Roman"/>
          <w:sz w:val="24"/>
          <w:u w:val="single"/>
        </w:rPr>
        <w:t>Effective Date</w:t>
      </w:r>
      <w:r>
        <w:rPr>
          <w:rFonts w:ascii="Times New Roman" w:hAnsi="Times New Roman"/>
          <w:sz w:val="24"/>
        </w:rPr>
        <w:t>”), is made between CIBC Inc. (“CIBC Inc.”) and LLC Interest Holdings 1 Owner Trust, a Delaware business trust (the “</w:t>
      </w:r>
      <w:r>
        <w:rPr>
          <w:rFonts w:ascii="Times New Roman" w:hAnsi="Times New Roman"/>
          <w:sz w:val="24"/>
          <w:u w:val="single"/>
        </w:rPr>
        <w:t>Trust</w:t>
      </w:r>
      <w:r>
        <w:rPr>
          <w:rFonts w:ascii="Times New Roman" w:hAnsi="Times New Roman"/>
          <w:sz w:val="24"/>
        </w:rPr>
        <w:t>”) (each a “</w:t>
      </w:r>
      <w:r>
        <w:rPr>
          <w:rFonts w:ascii="Times New Roman" w:hAnsi="Times New Roman"/>
          <w:sz w:val="24"/>
          <w:u w:val="single"/>
        </w:rPr>
        <w:t>Party</w:t>
      </w:r>
      <w:r>
        <w:rPr>
          <w:rFonts w:ascii="Times New Roman" w:hAnsi="Times New Roman"/>
          <w:sz w:val="24"/>
        </w:rPr>
        <w:t>,” and collectively, the “</w:t>
      </w:r>
      <w:r>
        <w:rPr>
          <w:rFonts w:ascii="Times New Roman" w:hAnsi="Times New Roman"/>
          <w:sz w:val="24"/>
          <w:u w:val="single"/>
        </w:rPr>
        <w:t>Parties</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RECITALS</w:t>
      </w:r>
    </w:p>
    <w:p>
      <w:pPr>
        <w:pStyle w:val="Normal"/>
        <w:bidi w:val="0"/>
        <w:spacing w:lineRule="atLeast" w:line="0"/>
        <w:jc w:val="both"/>
        <w:rPr>
          <w:rFonts w:ascii="Times New Roman" w:hAnsi="Times New Roman"/>
          <w:sz w:val="24"/>
        </w:rPr>
      </w:pPr>
      <w:r>
        <w:rPr>
          <w:rFonts w:ascii="Times New Roman" w:hAnsi="Times New Roman"/>
          <w:sz w:val="24"/>
        </w:rPr>
      </w:r>
    </w:p>
    <w:p>
      <w:pPr>
        <w:pStyle w:val="1182818"/>
        <w:bidi w:val="0"/>
        <w:spacing w:lineRule="atLeast" w:line="0"/>
        <w:rPr>
          <w:rFonts w:ascii="Times New Roman" w:hAnsi="Times New Roman"/>
        </w:rPr>
      </w:pPr>
      <w:r>
        <w:rPr>
          <w:rFonts w:ascii="Times New Roman" w:hAnsi="Times New Roman"/>
        </w:rPr>
        <w:tab/>
        <w:t>CIBC Inc. is the original and sole holder of the Certificate of Beneficial Ownership, Number C-1, (the “</w:t>
      </w:r>
      <w:r>
        <w:rPr>
          <w:rFonts w:ascii="Times New Roman" w:hAnsi="Times New Roman"/>
          <w:u w:val="single"/>
        </w:rPr>
        <w:t>Trust Certificate</w:t>
      </w:r>
      <w:r>
        <w:rPr>
          <w:rFonts w:ascii="Times New Roman" w:hAnsi="Times New Roman"/>
        </w:rPr>
        <w:t>”) issued pursuant to that certain Trust Agreement (the “</w:t>
      </w:r>
      <w:r>
        <w:rPr>
          <w:rFonts w:ascii="Times New Roman" w:hAnsi="Times New Roman"/>
          <w:u w:val="single"/>
        </w:rPr>
        <w:t>Trust Agreement</w:t>
      </w:r>
      <w:r>
        <w:rPr>
          <w:rFonts w:ascii="Times New Roman" w:hAnsi="Times New Roman"/>
        </w:rPr>
        <w:t>”) between Wilmington Trust Company and CIBC Inc. dated as of December 27, 1999 (the “Formation Date”).    Capitalized terms used and not defined herein have the meanings set forth in the Trust Agreement.</w:t>
      </w:r>
    </w:p>
    <w:p>
      <w:pPr>
        <w:pStyle w:val="1182818"/>
        <w:bidi w:val="0"/>
        <w:spacing w:lineRule="atLeast" w:line="0"/>
        <w:rPr>
          <w:rFonts w:ascii="Times New Roman" w:hAnsi="Times New Roman"/>
        </w:rPr>
      </w:pPr>
      <w:r>
        <w:rPr>
          <w:rFonts w:ascii="Times New Roman" w:hAnsi="Times New Roman"/>
        </w:rPr>
      </w:r>
    </w:p>
    <w:p>
      <w:pPr>
        <w:pStyle w:val="1182818"/>
        <w:bidi w:val="0"/>
        <w:spacing w:lineRule="atLeast" w:line="0"/>
        <w:rPr>
          <w:rFonts w:ascii="Times New Roman" w:hAnsi="Times New Roman"/>
        </w:rPr>
      </w:pPr>
      <w:r>
        <w:rPr>
          <w:rFonts w:ascii="Times New Roman" w:hAnsi="Times New Roman"/>
        </w:rPr>
        <w:tab/>
        <w:t>The Trust is the issuer of a promissory notes (the “</w:t>
      </w:r>
      <w:r>
        <w:rPr>
          <w:rFonts w:ascii="Times New Roman" w:hAnsi="Times New Roman"/>
          <w:u w:val="single"/>
        </w:rPr>
        <w:t>Note</w:t>
      </w:r>
      <w:r>
        <w:rPr>
          <w:rFonts w:ascii="Times New Roman" w:hAnsi="Times New Roman"/>
        </w:rPr>
        <w:t>”), dated as of the Formation Date, in the principal amount of $11,058,000, payable to the order of the Canadian Imperial Bank of Commerce, and having a maturity date of June 29, 2000.    The Note was issued pursuant to that certain Facility Agreement (the “</w:t>
      </w:r>
      <w:r>
        <w:rPr>
          <w:rFonts w:ascii="Times New Roman" w:hAnsi="Times New Roman"/>
          <w:u w:val="single"/>
        </w:rPr>
        <w:t>Facility Agreement</w:t>
      </w:r>
      <w:r>
        <w:rPr>
          <w:rFonts w:ascii="Times New Roman" w:hAnsi="Times New Roman"/>
        </w:rPr>
        <w:t>”), dated as of the Formation Date, among the Trust, CIBC Inc., as lender, certain lenders party thereto, Canadian Imperial Bank of Commerce, as agent of the lenders (the “Agent”), and CIBC World Markets Corp., as arranger.</w:t>
      </w:r>
    </w:p>
    <w:p>
      <w:pPr>
        <w:pStyle w:val="1182818"/>
        <w:bidi w:val="0"/>
        <w:spacing w:lineRule="atLeast" w:line="0"/>
        <w:rPr>
          <w:rFonts w:ascii="Times New Roman" w:hAnsi="Times New Roman"/>
        </w:rPr>
      </w:pPr>
      <w:r>
        <w:rPr>
          <w:rFonts w:ascii="Times New Roman" w:hAnsi="Times New Roman"/>
        </w:rPr>
      </w:r>
    </w:p>
    <w:p>
      <w:pPr>
        <w:pStyle w:val="1182818"/>
        <w:bidi w:val="0"/>
        <w:spacing w:lineRule="atLeast" w:line="0"/>
        <w:rPr>
          <w:rFonts w:ascii="Times New Roman" w:hAnsi="Times New Roman"/>
        </w:rPr>
      </w:pPr>
      <w:r>
        <w:rPr>
          <w:rFonts w:ascii="Times New Roman" w:hAnsi="Times New Roman"/>
        </w:rPr>
        <w:tab/>
        <w:t>The Trust and Enron Corp. (“</w:t>
      </w:r>
      <w:r>
        <w:rPr>
          <w:rFonts w:ascii="Times New Roman" w:hAnsi="Times New Roman"/>
          <w:u w:val="single"/>
        </w:rPr>
        <w:t>Enron</w:t>
      </w:r>
      <w:r>
        <w:rPr>
          <w:rFonts w:ascii="Times New Roman" w:hAnsi="Times New Roman"/>
        </w:rPr>
        <w:t>”) are parties to that certain ISDA Master Agreement and Total Return Swap Confirmation thereunder, each dated as of the Formation Date (collectively, the “</w:t>
      </w:r>
      <w:r>
        <w:rPr>
          <w:rFonts w:ascii="Times New Roman" w:hAnsi="Times New Roman"/>
          <w:u w:val="single"/>
        </w:rPr>
        <w:t>Total Return Swap Agreement</w:t>
      </w:r>
      <w:r>
        <w:rPr>
          <w:rFonts w:ascii="Times New Roman" w:hAnsi="Times New Roman"/>
        </w:rPr>
        <w:t>”).    Under the Total Return Swap Agreement, Enron is obligated to pay the Trust certain amounts on the payment dates provided in the Total Return Swap Agreement.    Concurrently with the execution of this Agreement, the Trust and Enron are terminating the Total Return Swap Agreement pursuant to a Swap Termination Agreement dated the date hereof between Enron and the Trust.</w:t>
      </w:r>
    </w:p>
    <w:p>
      <w:pPr>
        <w:pStyle w:val="1182818"/>
        <w:bidi w:val="0"/>
        <w:spacing w:lineRule="atLeast" w:line="0"/>
        <w:rPr>
          <w:rFonts w:ascii="Times New Roman" w:hAnsi="Times New Roman"/>
        </w:rPr>
      </w:pPr>
      <w:r>
        <w:rPr>
          <w:rFonts w:ascii="Times New Roman" w:hAnsi="Times New Roman"/>
        </w:rPr>
      </w:r>
    </w:p>
    <w:p>
      <w:pPr>
        <w:pStyle w:val="1182818"/>
        <w:bidi w:val="0"/>
        <w:spacing w:lineRule="atLeast" w:line="0"/>
        <w:rPr>
          <w:rFonts w:ascii="Times New Roman" w:hAnsi="Times New Roman"/>
        </w:rPr>
      </w:pPr>
      <w:r>
        <w:rPr>
          <w:rFonts w:ascii="Times New Roman" w:hAnsi="Times New Roman"/>
        </w:rPr>
        <w:tab/>
        <w:t>On or before the Effective Date, the Trust sold 100% of the Class B limited liability company membership interest in Danno II, L.L.C. to Hawaii 125-0 Trust    In accordance with Section 5.01 of the Trust Agreement, the Trust used the proceeds received from such sale to discharge in full the Trust’s obligations under the Note and the Facility Agreement (pursuant to Section 9.1 of the Facility Agreement) and to pay the Certificate Yield and Certificate Base Amount to CIBC Inc., as the sole Certificate Holder.</w:t>
      </w:r>
    </w:p>
    <w:p>
      <w:pPr>
        <w:pStyle w:val="1182818"/>
        <w:bidi w:val="0"/>
        <w:spacing w:lineRule="atLeast" w:line="0"/>
        <w:rPr>
          <w:rFonts w:ascii="Times New Roman" w:hAnsi="Times New Roman"/>
        </w:rPr>
      </w:pPr>
      <w:r>
        <w:rPr>
          <w:rFonts w:ascii="Times New Roman" w:hAnsi="Times New Roman"/>
        </w:rPr>
      </w:r>
    </w:p>
    <w:p>
      <w:pPr>
        <w:pStyle w:val="1182818"/>
        <w:bidi w:val="0"/>
        <w:spacing w:lineRule="atLeast" w:line="0"/>
        <w:rPr>
          <w:rFonts w:ascii="Times New Roman" w:hAnsi="Times New Roman"/>
        </w:rPr>
      </w:pPr>
      <w:r>
        <w:rPr>
          <w:rFonts w:ascii="Times New Roman" w:hAnsi="Times New Roman"/>
        </w:rPr>
        <w:tab/>
        <w:t>CIBC Inc. now desires to cause the dissolution and winding up of the Trust.</w:t>
      </w:r>
    </w:p>
    <w:p>
      <w:pPr>
        <w:pStyle w:val="1182818"/>
        <w:bidi w:val="0"/>
        <w:spacing w:lineRule="atLeast" w:line="0"/>
        <w:rPr>
          <w:rFonts w:ascii="Times New Roman" w:hAnsi="Times New Roman"/>
        </w:rPr>
      </w:pPr>
      <w:r>
        <w:rPr>
          <w:rFonts w:ascii="Times New Roman" w:hAnsi="Times New Roman"/>
        </w:rPr>
      </w:r>
    </w:p>
    <w:p>
      <w:pPr>
        <w:pStyle w:val="1182818"/>
        <w:bidi w:val="0"/>
        <w:spacing w:lineRule="atLeast" w:line="0"/>
        <w:rPr>
          <w:rFonts w:ascii="Times New Roman" w:hAnsi="Times New Roman"/>
        </w:rPr>
      </w:pPr>
      <w:r>
        <w:rPr>
          <w:rFonts w:ascii="Times New Roman" w:hAnsi="Times New Roman"/>
        </w:rPr>
        <w:tab/>
        <w:t>NOW, THEREFORE, to carry out their intent as expressed above and in consideration of the mutual covenants and benefits herein contained, the Parties agree as follows:</w:t>
      </w:r>
    </w:p>
    <w:p>
      <w:pPr>
        <w:pStyle w:val="1182818"/>
        <w:bidi w:val="0"/>
        <w:spacing w:lineRule="atLeast" w:line="0"/>
        <w:rPr>
          <w:rFonts w:ascii="Times New Roman" w:hAnsi="Times New Roman"/>
        </w:rPr>
      </w:pPr>
      <w:r>
        <w:rPr>
          <w:rFonts w:ascii="Times New Roman" w:hAnsi="Times New Roman"/>
        </w:rPr>
      </w:r>
    </w:p>
    <w:p>
      <w:pPr>
        <w:pStyle w:val="2182818"/>
        <w:bidi w:val="0"/>
        <w:spacing w:lineRule="atLeast" w:line="0"/>
        <w:rPr>
          <w:rFonts w:ascii="Times New Roman" w:hAnsi="Times New Roman"/>
        </w:rPr>
      </w:pPr>
      <w:r>
        <w:rPr>
          <w:rFonts w:ascii="Times New Roman" w:hAnsi="Times New Roman"/>
        </w:rPr>
        <w:tab/>
      </w:r>
      <w:r>
        <w:rPr>
          <w:rFonts w:ascii="Times New Roman" w:hAnsi="Times New Roman"/>
          <w:b/>
          <w:i/>
        </w:rPr>
        <w:t>Dissolution and Winding Up of the Trust.</w:t>
      </w:r>
      <w:r>
        <w:rPr>
          <w:rFonts w:ascii="Times New Roman" w:hAnsi="Times New Roman"/>
        </w:rPr>
        <w:t>    As the sole owner of the Trust, CIBC Inc. takes the following actions to effect the immediate dissolution and winding up of the Trust:</w:t>
      </w:r>
    </w:p>
    <w:p>
      <w:pPr>
        <w:pStyle w:val="2182818"/>
        <w:bidi w:val="0"/>
        <w:spacing w:lineRule="atLeast" w:line="0"/>
        <w:rPr>
          <w:rFonts w:ascii="Times New Roman" w:hAnsi="Times New Roman"/>
        </w:rPr>
      </w:pPr>
      <w:r>
        <w:rPr>
          <w:rFonts w:ascii="Times New Roman" w:hAnsi="Times New Roman"/>
        </w:rPr>
      </w:r>
    </w:p>
    <w:p>
      <w:pPr>
        <w:pStyle w:val="3182818"/>
        <w:bidi w:val="0"/>
        <w:spacing w:lineRule="atLeast" w:line="0"/>
        <w:ind w:hanging="0" w:start="720"/>
        <w:rPr>
          <w:rFonts w:ascii="Times New Roman" w:hAnsi="Times New Roman"/>
        </w:rPr>
      </w:pPr>
      <w:r>
        <w:rPr>
          <w:rFonts w:ascii="Times New Roman" w:hAnsi="Times New Roman"/>
        </w:rPr>
        <w:tab/>
      </w:r>
      <w:r>
        <w:rPr>
          <w:rFonts w:ascii="Times New Roman" w:hAnsi="Times New Roman"/>
          <w:i/>
        </w:rPr>
        <w:t>Dissolution</w:t>
      </w:r>
      <w:r>
        <w:rPr>
          <w:rFonts w:ascii="Times New Roman" w:hAnsi="Times New Roman"/>
        </w:rPr>
        <w:t xml:space="preserve">.    In accordance with Article IX of the Trust Agreement, the Trust is dissolved on the Effective Date.    </w:t>
      </w:r>
    </w:p>
    <w:p>
      <w:pPr>
        <w:pStyle w:val="Normal"/>
        <w:bidi w:val="0"/>
        <w:spacing w:lineRule="atLeast" w:line="0"/>
        <w:jc w:val="both"/>
        <w:rPr>
          <w:rFonts w:ascii="Times New Roman" w:hAnsi="Times New Roman"/>
          <w:sz w:val="24"/>
        </w:rPr>
      </w:pPr>
      <w:r>
        <w:rPr>
          <w:rFonts w:ascii="Times New Roman" w:hAnsi="Times New Roman"/>
          <w:sz w:val="24"/>
        </w:rPr>
      </w:r>
    </w:p>
    <w:p>
      <w:pPr>
        <w:pStyle w:val="3182818"/>
        <w:bidi w:val="0"/>
        <w:spacing w:lineRule="atLeast" w:line="0"/>
        <w:ind w:hanging="0" w:start="720"/>
        <w:rPr>
          <w:rFonts w:ascii="Times New Roman" w:hAnsi="Times New Roman"/>
        </w:rPr>
      </w:pPr>
      <w:r>
        <w:rPr>
          <w:rFonts w:ascii="Times New Roman" w:hAnsi="Times New Roman"/>
        </w:rPr>
        <w:tab/>
      </w:r>
      <w:r>
        <w:rPr>
          <w:rFonts w:ascii="Times New Roman" w:hAnsi="Times New Roman"/>
          <w:i/>
        </w:rPr>
        <w:t>Waiver of Accounting Requirement</w:t>
      </w:r>
      <w:r>
        <w:rPr>
          <w:rFonts w:ascii="Times New Roman" w:hAnsi="Times New Roman"/>
        </w:rPr>
        <w:t>.    After due inquiry, CIBC Inc. has determined that the Trust has no assets, debts, obligations or liabilities (its debts, obligations and liabilities under the Note and the Facility Agreement having been discharged in full).    There is no need to cause an accounting of the Trust’s assets, liabilities and operations to be made by a certified public accounting firm.</w:t>
      </w:r>
    </w:p>
    <w:p>
      <w:pPr>
        <w:pStyle w:val="Normal"/>
        <w:bidi w:val="0"/>
        <w:spacing w:lineRule="atLeast" w:line="0"/>
        <w:jc w:val="both"/>
        <w:rPr>
          <w:rFonts w:ascii="Times New Roman" w:hAnsi="Times New Roman"/>
          <w:sz w:val="24"/>
        </w:rPr>
      </w:pPr>
      <w:r>
        <w:rPr>
          <w:rFonts w:ascii="Times New Roman" w:hAnsi="Times New Roman"/>
          <w:sz w:val="24"/>
        </w:rPr>
      </w:r>
    </w:p>
    <w:p>
      <w:pPr>
        <w:pStyle w:val="3182818"/>
        <w:bidi w:val="0"/>
        <w:spacing w:lineRule="atLeast" w:line="0"/>
        <w:ind w:hanging="0" w:start="720"/>
        <w:rPr>
          <w:rFonts w:ascii="Times New Roman" w:hAnsi="Times New Roman"/>
        </w:rPr>
      </w:pPr>
      <w:r>
        <w:rPr>
          <w:rFonts w:ascii="Times New Roman" w:hAnsi="Times New Roman"/>
        </w:rPr>
        <w:tab/>
      </w:r>
      <w:r>
        <w:rPr>
          <w:rFonts w:ascii="Times New Roman" w:hAnsi="Times New Roman"/>
          <w:i/>
        </w:rPr>
        <w:t>Distribution of Assets to Sole Owner</w:t>
      </w:r>
      <w:r>
        <w:rPr>
          <w:rFonts w:ascii="Times New Roman" w:hAnsi="Times New Roman"/>
        </w:rPr>
        <w:t>.    Because the Trust has no debts, obligations or liabilities, all of its assets, if any, are hereby distributed to CIBC Inc.</w:t>
      </w:r>
    </w:p>
    <w:p>
      <w:pPr>
        <w:pStyle w:val="Normal"/>
        <w:bidi w:val="0"/>
        <w:spacing w:lineRule="atLeast" w:line="0"/>
        <w:jc w:val="both"/>
        <w:rPr>
          <w:rFonts w:ascii="Times New Roman" w:hAnsi="Times New Roman"/>
          <w:sz w:val="24"/>
        </w:rPr>
      </w:pPr>
      <w:r>
        <w:rPr>
          <w:rFonts w:ascii="Times New Roman" w:hAnsi="Times New Roman"/>
          <w:sz w:val="24"/>
        </w:rPr>
      </w:r>
    </w:p>
    <w:p>
      <w:pPr>
        <w:pStyle w:val="2182818"/>
        <w:bidi w:val="0"/>
        <w:spacing w:lineRule="atLeast" w:line="0"/>
        <w:rPr>
          <w:rFonts w:ascii="Times New Roman" w:hAnsi="Times New Roman"/>
        </w:rPr>
      </w:pPr>
      <w:r>
        <w:rPr>
          <w:rFonts w:ascii="Times New Roman" w:hAnsi="Times New Roman"/>
        </w:rPr>
        <w:tab/>
      </w:r>
      <w:r>
        <w:rPr>
          <w:rFonts w:ascii="Times New Roman" w:hAnsi="Times New Roman"/>
          <w:b/>
          <w:i/>
        </w:rPr>
        <w:t>Further Assurances.</w:t>
      </w:r>
      <w:r>
        <w:rPr>
          <w:rFonts w:ascii="Times New Roman" w:hAnsi="Times New Roman"/>
        </w:rPr>
        <w:t>    Each of the Parties shall execute and deliver such further documents and instruments, give such further assurances and perform such acts as may be necessary or appropriate to carry out the purposes, intentions and provisions of this Agreement.    Without limiting the generality of the foregoing, the Trust undertakes to file the certificate of cancellation, and take the other actions necessary to terminate the existence of the Trust.</w:t>
      </w:r>
    </w:p>
    <w:p>
      <w:pPr>
        <w:pStyle w:val="2182818"/>
        <w:bidi w:val="0"/>
        <w:spacing w:lineRule="atLeast" w:line="0"/>
        <w:rPr>
          <w:rFonts w:ascii="Times New Roman" w:hAnsi="Times New Roman"/>
        </w:rPr>
      </w:pPr>
      <w:r>
        <w:rPr>
          <w:rFonts w:ascii="Times New Roman" w:hAnsi="Times New Roman"/>
        </w:rPr>
      </w:r>
    </w:p>
    <w:p>
      <w:pPr>
        <w:pStyle w:val="2182818"/>
        <w:bidi w:val="0"/>
        <w:spacing w:lineRule="atLeast" w:line="0"/>
        <w:rPr>
          <w:rFonts w:ascii="Times New Roman" w:hAnsi="Times New Roman"/>
        </w:rPr>
      </w:pPr>
      <w:r>
        <w:rPr>
          <w:rFonts w:ascii="Times New Roman" w:hAnsi="Times New Roman"/>
        </w:rPr>
        <w:tab/>
      </w:r>
      <w:r>
        <w:rPr>
          <w:rFonts w:ascii="Times New Roman" w:hAnsi="Times New Roman"/>
          <w:b/>
          <w:i/>
        </w:rPr>
        <w:t xml:space="preserve">Counterparts.    </w:t>
      </w:r>
      <w:r>
        <w:rPr>
          <w:rFonts w:ascii="Times New Roman" w:hAnsi="Times New Roman"/>
        </w:rPr>
        <w:t>For the purpose of facilitating the execution and proving of this Agreement, as herein provided and for other purposes, this Agreement may be executed simultaneously in any number of counterparts, each of which counterparts shall be deemed to be an original, and such counterparts shall constitute but one and the same instrument.</w:t>
      </w:r>
    </w:p>
    <w:p>
      <w:pPr>
        <w:pStyle w:val="2182818"/>
        <w:bidi w:val="0"/>
        <w:spacing w:lineRule="atLeast" w:line="0"/>
        <w:rPr>
          <w:rFonts w:ascii="Times New Roman" w:hAnsi="Times New Roman"/>
        </w:rPr>
      </w:pPr>
      <w:r>
        <w:rPr>
          <w:rFonts w:ascii="Times New Roman" w:hAnsi="Times New Roman"/>
        </w:rPr>
      </w:r>
    </w:p>
    <w:p>
      <w:pPr>
        <w:pStyle w:val="2182818"/>
        <w:bidi w:val="0"/>
        <w:spacing w:lineRule="atLeast" w:line="0"/>
        <w:rPr>
          <w:rFonts w:ascii="Times New Roman" w:hAnsi="Times New Roman"/>
        </w:rPr>
      </w:pPr>
      <w:r>
        <w:fldChar w:fldCharType="begin"/>
      </w:r>
      <w:r>
        <w:rPr>
          <w:rFonts w:ascii="Times New Roman" w:hAnsi="Times New Roman"/>
        </w:rPr>
        <w:instrText xml:space="preserve"> TC "</w:instrText>
        <w:tab/>
        <w:instrText xml:space="preserve">Governing Law " \l 1 </w:instrText>
      </w:r>
      <w:r>
        <w:rPr>
          <w:rFonts w:ascii="Times New Roman" w:hAnsi="Times New Roman"/>
        </w:rPr>
        <w:fldChar w:fldCharType="separate"/>
      </w:r>
      <w:r>
        <w:rPr>
          <w:rFonts w:ascii="Times New Roman" w:hAnsi="Times New Roman"/>
        </w:rPr>
      </w:r>
      <w:r>
        <w:rPr>
          <w:rFonts w:ascii="Times New Roman" w:hAnsi="Times New Roman"/>
        </w:rPr>
        <w:fldChar w:fldCharType="end"/>
      </w:r>
      <w:r>
        <w:rPr>
          <w:rFonts w:ascii="Times New Roman" w:hAnsi="Times New Roman"/>
        </w:rPr>
        <w:t>.    THIS AGREEMENT SHALL BE GOVERNED BY AND CONSTRUED IN ACCORDANCE WITH THE LAWS OF THE STATE OF DELAWARE WITHOUT REFERENCE TO PRINCIPLES OF CONFLICTS OF LAW.</w:t>
      </w:r>
    </w:p>
    <w:p>
      <w:pPr>
        <w:pStyle w:val="2182818"/>
        <w:bidi w:val="0"/>
        <w:spacing w:lineRule="atLeast" w:line="0"/>
        <w:rPr>
          <w:rFonts w:ascii="Times New Roman" w:hAnsi="Times New Roman"/>
        </w:rPr>
      </w:pPr>
      <w:r>
        <w:rPr>
          <w:rFonts w:ascii="Times New Roman" w:hAnsi="Times New Roman"/>
        </w:rPr>
      </w:r>
    </w:p>
    <w:p>
      <w:pPr>
        <w:pStyle w:val="2182818"/>
        <w:bidi w:val="0"/>
        <w:spacing w:lineRule="atLeast" w:line="0"/>
        <w:rPr>
          <w:rFonts w:ascii="Times New Roman" w:hAnsi="Times New Roman"/>
        </w:rPr>
      </w:pPr>
      <w:r>
        <w:rPr>
          <w:rFonts w:ascii="Times New Roman" w:hAnsi="Times New Roman"/>
        </w:rPr>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docGrid w:type="default" w:linePitch="600" w:charSpace="40960"/>
        </w:sectPr>
        <w:pStyle w:val="Normal"/>
        <w:bidi w:val="0"/>
        <w:spacing w:lineRule="atLeast" w:line="0"/>
        <w:jc w:val="center"/>
        <w:rPr>
          <w:rFonts w:ascii="Times New Roman" w:hAnsi="Times New Roman"/>
          <w:sz w:val="24"/>
        </w:rPr>
      </w:pPr>
      <w:r>
        <w:rPr>
          <w:rFonts w:ascii="Times New Roman" w:hAnsi="Times New Roman"/>
          <w:b/>
          <w:sz w:val="24"/>
        </w:rPr>
        <w:t>[signature pages to follow]</w:t>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344" w:bottom="1401"/>
          <w:pgNumType w:fmt="decimal"/>
          <w:formProt w:val="false"/>
          <w:textDirection w:val="lrTb"/>
          <w:docGrid w:type="default" w:linePitch="600" w:charSpace="40960"/>
        </w:sectPr>
      </w:pP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IN WITNESS WHEREOF, the Parties have executed this Agreement as of the Effective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4320" w:start="4320"/>
        <w:jc w:val="both"/>
        <w:rPr>
          <w:rFonts w:ascii="Times New Roman" w:hAnsi="Times New Roman"/>
          <w:sz w:val="24"/>
        </w:rPr>
      </w:pPr>
      <w:r>
        <w:rPr>
          <w:rFonts w:ascii="Times New Roman" w:hAnsi="Times New Roman"/>
          <w:sz w:val="24"/>
        </w:rPr>
        <w:tab/>
        <w:tab/>
        <w:tab/>
        <w:tab/>
        <w:tab/>
        <w:tab/>
      </w:r>
      <w:r>
        <w:rPr>
          <w:rFonts w:ascii="Times New Roman" w:hAnsi="Times New Roman"/>
          <w:b/>
          <w:sz w:val="24"/>
        </w:rPr>
        <w:t>CIBC INC.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formProt w:val="false"/>
          <w:textDirection w:val="lrTb"/>
          <w:docGrid w:type="default" w:linePitch="600" w:charSpace="40960"/>
        </w:sectPr>
      </w:pPr>
    </w:p>
    <w:p>
      <w:pPr>
        <w:pStyle w:val="Normal"/>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LLC INTEREST HOLDINGS 1 OWNER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4860" w:start="4860"/>
        <w:jc w:val="start"/>
        <w:rPr>
          <w:rFonts w:ascii="Times New Roman" w:hAnsi="Times New Roman"/>
          <w:sz w:val="24"/>
        </w:rPr>
      </w:pPr>
      <w:r>
        <w:rPr>
          <w:rFonts w:ascii="Times New Roman" w:hAnsi="Times New Roman"/>
          <w:sz w:val="24"/>
        </w:rPr>
        <w:tab/>
        <w:tab/>
        <w:tab/>
        <w:tab/>
        <w:tab/>
        <w:tab/>
        <w:t>By:</w:t>
        <w:tab/>
        <w:t>Wilmington Trust Company, not in its individual capacity but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sectPr>
      <w:type w:val="continuous"/>
      <w:pgSz w:w="12240" w:h="15840"/>
      <w:pgMar w:left="1440" w:right="1440" w:gutter="0" w:header="0" w:top="1440" w:footer="1344" w:bottom="1401"/>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DAL:241211.2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24"/>
      </w:rPr>
    </w:pPr>
    <w:r>
      <w:rPr>
        <w:rFonts w:ascii="Times New Roman" w:hAnsi="Times New Roman"/>
        <w:b/>
        <w:sz w:val="18"/>
      </w:rPr>
      <w:t>Project Hawaii (Danno B)/Dissolution Agreement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24"/>
      </w:rPr>
    </w:pPr>
    <w:r>
      <w:rPr>
        <w:rFonts w:ascii="Times New Roman" w:hAnsi="Times New Roman"/>
        <w:b/>
        <w:sz w:val="18"/>
      </w:rPr>
      <w:t>Project Hawaii (Danno B)/Dissolution Agreement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182818">
    <w:name w:val="1182818"/>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2182818">
    <w:name w:val="2182818"/>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3182818">
    <w:name w:val="3182818"/>
    <w:qFormat/>
    <w:pPr>
      <w:widowControl w:val="false"/>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4182818">
    <w:name w:val="4182818"/>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Liberation Serif" w:hAnsi="Liberation Serif" w:eastAsia="Liberation Sans" w:cs="NotoSans NF"/>
      <w:color w:val="auto"/>
      <w:kern w:val="2"/>
      <w:sz w:val="24"/>
      <w:szCs w:val="24"/>
      <w:lang w:val="en-CA" w:eastAsia="zh-CN" w:bidi="hi-IN"/>
    </w:rPr>
  </w:style>
  <w:style w:type="paragraph" w:styleId="5182818">
    <w:name w:val="5182818"/>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Liberation Serif" w:hAnsi="Liberation Serif" w:eastAsia="Liberation Sans" w:cs="NotoSans NF"/>
      <w:color w:val="auto"/>
      <w:kern w:val="2"/>
      <w:sz w:val="24"/>
      <w:szCs w:val="24"/>
      <w:lang w:val="en-CA" w:eastAsia="zh-CN" w:bidi="hi-IN"/>
    </w:rPr>
  </w:style>
  <w:style w:type="paragraph" w:styleId="6182818">
    <w:name w:val="6182818"/>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Liberation Serif" w:hAnsi="Liberation Serif" w:eastAsia="Liberation Sans" w:cs="NotoSans NF"/>
      <w:color w:val="auto"/>
      <w:kern w:val="2"/>
      <w:sz w:val="24"/>
      <w:szCs w:val="24"/>
      <w:lang w:val="en-CA" w:eastAsia="zh-CN" w:bidi="hi-IN"/>
    </w:rPr>
  </w:style>
  <w:style w:type="paragraph" w:styleId="7182818">
    <w:name w:val="718281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Liberation Serif" w:hAnsi="Liberation Serif" w:eastAsia="Liberation Sans" w:cs="NotoSans NF"/>
      <w:color w:val="auto"/>
      <w:kern w:val="2"/>
      <w:sz w:val="24"/>
      <w:szCs w:val="24"/>
      <w:lang w:val="en-CA" w:eastAsia="zh-CN" w:bidi="hi-IN"/>
    </w:rPr>
  </w:style>
  <w:style w:type="paragraph" w:styleId="8182818">
    <w:name w:val="818281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