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 OF TRANSFEROR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LLC Interest Holdings 1 Owner Trust, a Delaware business trust (“Transferor”), hereby acknowledges receipt of an amount equal to $</w:t>
      </w:r>
      <w:r>
        <w:rPr>
          <w:rFonts w:ascii="Times New Roman" w:hAnsi="Times New Roman"/>
          <w:b/>
          <w:i/>
          <w:sz w:val="24"/>
        </w:rPr>
        <w:t>[__________]</w:t>
      </w:r>
      <w:r>
        <w:rPr>
          <w:rFonts w:ascii="Times New Roman" w:hAnsi="Times New Roman"/>
          <w:sz w:val="24"/>
        </w:rPr>
        <w:t xml:space="preserve"> from Hawaii 125-0 Trust, a Delaware business trust,    in consideration of the transfer of the Class B Member Interest in Danno II, L.L.C., a Delaware limited liability company.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Dated:      May 31,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LLC INTEREST HOLDINGS 1 OWNER TRUST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By:</w:t>
        <w:tab/>
        <w:t>Wilmington Trust Company,</w:t>
      </w:r>
    </w:p>
    <w:p>
      <w:pPr>
        <w:pStyle w:val="Normal"/>
        <w:bidi w:val="0"/>
        <w:spacing w:lineRule="atLeast" w:line="0"/>
        <w:ind w:hanging="0" w:start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 in its individual capacity, but solely as Owner Trustee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By: 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Name: 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Title: 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DAL:241010.4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DAL:241010.4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Hawaii (Danno B)/ Receipt (Maui)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Hawaii (Danno B)/ Receipt (Maui)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