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ASSET NOTICE</w:t>
      </w:r>
    </w:p>
    <w:p>
      <w:pPr>
        <w:pStyle w:val="Normal"/>
        <w:widowControl/>
        <w:jc w:val="both"/>
        <w:rPr/>
      </w:pPr>
      <w:r>
        <w:rPr/>
      </w:r>
    </w:p>
    <w:p>
      <w:pPr>
        <w:pStyle w:val="Normal"/>
        <w:widowControl/>
        <w:rPr/>
      </w:pPr>
      <w:r>
        <w:rPr/>
      </w:r>
    </w:p>
    <w:p>
      <w:pPr>
        <w:pStyle w:val="Normal"/>
        <w:widowControl/>
        <w:ind w:firstLine="720" w:end="0"/>
        <w:jc w:val="both"/>
        <w:rPr/>
      </w:pPr>
      <w:r>
        <w:rPr/>
        <w:t xml:space="preserve">This is an Asset Notice referred to in Section 5.1 of the </w:t>
      </w:r>
      <w:ins w:id="0" w:author="Unknown Author" w:date="0-00-00T00:00:00Z">
        <w:r>
          <w:rPr>
            <w:b/>
            <w:u w:val="double"/>
          </w:rPr>
          <w:t>Amended and Restated</w:t>
        </w:r>
      </w:ins>
      <w:r>
        <w:rPr/>
        <w:t xml:space="preserve"> Facility Agreement dated </w:t>
      </w:r>
      <w:ins w:id="1" w:author="Unknown Author" w:date="0-00-00T00:00:00Z">
        <w:r>
          <w:rPr>
            <w:strike/>
          </w:rPr>
          <w:t>March 31</w:t>
        </w:r>
      </w:ins>
      <w:r>
        <w:rPr/>
        <w:t xml:space="preserve"> </w:t>
      </w:r>
      <w:ins w:id="2" w:author="Unknown Author" w:date="0-00-00T00:00:00Z">
        <w:r>
          <w:rPr>
            <w:b/>
            <w:u w:val="double"/>
          </w:rPr>
          <w:t>May __</w:t>
        </w:r>
      </w:ins>
      <w:r>
        <w:rPr/>
        <w:t xml:space="preserve">, 2000 (the </w:t>
      </w:r>
      <w:r>
        <w:rPr>
          <w:rFonts w:cs="WP TypographicSymbols" w:ascii="WP TypographicSymbols" w:hAnsi="WP TypographicSymbols"/>
          <w:b/>
        </w:rPr>
        <w:t>A</w:t>
      </w:r>
      <w:r>
        <w:rPr>
          <w:b/>
          <w:u w:val="single"/>
        </w:rPr>
        <w:t>Facility Agreement</w:t>
      </w:r>
      <w:r>
        <w:rPr>
          <w:rFonts w:cs="WP TypographicSymbols" w:ascii="WP TypographicSymbols" w:hAnsi="WP TypographicSymbols"/>
          <w:b/>
        </w:rPr>
        <w:t>@</w:t>
      </w:r>
      <w:r>
        <w:rPr/>
        <w:t>) made between Hawaii 125</w:t>
        <w:noBreakHyphen/>
        <w:t xml:space="preserve">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w:t>
      </w:r>
      <w:ins w:id="3" w:author="Unknown Author" w:date="0-00-00T00:00:00Z">
        <w:r>
          <w:rPr>
            <w:strike/>
          </w:rPr>
          <w:t>713 646</w:t>
        </w:r>
      </w:ins>
      <w:r>
        <w:rPr/>
        <w:t xml:space="preserve"> </w:t>
      </w:r>
      <w:ins w:id="4" w:author="Unknown Author" w:date="0-00-00T00:00:00Z">
        <w:r>
          <w:rPr>
            <w:b/>
            <w:u w:val="double"/>
          </w:rPr>
          <w:t>713/646</w:t>
        </w:r>
      </w:ins>
      <w:r>
        <w:rPr/>
        <w:t xml:space="preserve"> 3422.  Capitalized terms used but not defined herein shall have the respective meanings given to those terms in the Facility Agreement.</w:t>
      </w:r>
    </w:p>
    <w:p>
      <w:pPr>
        <w:pStyle w:val="Normal"/>
        <w:widowControl/>
        <w:jc w:val="both"/>
        <w:rPr/>
      </w:pPr>
      <w:r>
        <w:rPr/>
      </w:r>
    </w:p>
    <w:p>
      <w:pPr>
        <w:pStyle w:val="Normal"/>
        <w:widowControl/>
        <w:ind w:firstLine="720" w:end="0"/>
        <w:jc w:val="both"/>
        <w:rPr/>
      </w:pPr>
      <w:r>
        <w:rPr/>
        <w:t>The Tranche and Underlying Asset to which this Asset Notice relates are as follows:</w:t>
      </w:r>
    </w:p>
    <w:p>
      <w:pPr>
        <w:pStyle w:val="Normal"/>
        <w:widowControl/>
        <w:jc w:val="both"/>
        <w:rPr/>
      </w:pPr>
      <w:r>
        <w:rPr/>
      </w:r>
    </w:p>
    <w:p>
      <w:pPr>
        <w:pStyle w:val="Normal"/>
        <w:widowControl/>
        <w:tabs>
          <w:tab w:val="clear" w:pos="720"/>
          <w:tab w:val="left" w:pos="-1440" w:leader="none"/>
        </w:tabs>
        <w:ind w:hanging="5040" w:start="5760" w:end="0"/>
        <w:jc w:val="both"/>
        <w:rPr/>
      </w:pPr>
      <w:r>
        <w:rPr/>
        <w:t>1.</w:t>
        <w:tab/>
        <w:t>Valuation of Underlying Asset:</w:t>
        <w:tab/>
        <w:tab/>
      </w:r>
      <w:r>
        <w:rPr>
          <w:b/>
          <w:i/>
        </w:rPr>
        <w:t>$[                     ]</w:t>
      </w:r>
    </w:p>
    <w:p>
      <w:pPr>
        <w:pStyle w:val="Normal"/>
        <w:widowControl/>
        <w:jc w:val="both"/>
        <w:rPr/>
      </w:pPr>
      <w:r>
        <w:rPr/>
      </w:r>
    </w:p>
    <w:p>
      <w:pPr>
        <w:pStyle w:val="Normal"/>
        <w:widowControl/>
        <w:tabs>
          <w:tab w:val="clear" w:pos="720"/>
          <w:tab w:val="left" w:pos="-1440" w:leader="none"/>
        </w:tabs>
        <w:ind w:hanging="3600" w:start="4320" w:end="0"/>
        <w:jc w:val="both"/>
        <w:rPr/>
      </w:pPr>
      <w:r>
        <w:rPr/>
        <w:t>2.</w:t>
        <w:tab/>
        <w:t xml:space="preserve">Amount of Debt Tranche: </w:t>
        <w:tab/>
        <w:tab/>
        <w:tab/>
      </w:r>
      <w:r>
        <w:rPr>
          <w:b/>
          <w:i/>
        </w:rPr>
        <w:t>$[                     ]</w:t>
      </w:r>
    </w:p>
    <w:p>
      <w:pPr>
        <w:pStyle w:val="Normal"/>
        <w:widowControl/>
        <w:jc w:val="both"/>
        <w:rPr/>
      </w:pPr>
      <w:r>
        <w:rPr/>
      </w:r>
    </w:p>
    <w:p>
      <w:pPr>
        <w:pStyle w:val="Normal"/>
        <w:widowControl/>
        <w:tabs>
          <w:tab w:val="clear" w:pos="720"/>
          <w:tab w:val="left" w:pos="-1440" w:leader="none"/>
        </w:tabs>
        <w:ind w:hanging="3600" w:start="4320" w:end="0"/>
        <w:jc w:val="both"/>
        <w:rPr/>
      </w:pPr>
      <w:r>
        <w:rPr/>
        <w:t>3.</w:t>
        <w:tab/>
        <w:t>Proposed Equity Amount:</w:t>
        <w:tab/>
      </w:r>
      <w:r>
        <w:rPr>
          <w:b/>
        </w:rPr>
        <w:tab/>
        <w:tab/>
      </w:r>
      <w:r>
        <w:rPr>
          <w:b/>
          <w:i/>
        </w:rPr>
        <w:t>$[                     ]</w:t>
      </w:r>
    </w:p>
    <w:p>
      <w:pPr>
        <w:pStyle w:val="Normal"/>
        <w:widowControl/>
        <w:jc w:val="both"/>
        <w:rPr/>
      </w:pPr>
      <w:r>
        <w:rPr/>
      </w:r>
    </w:p>
    <w:p>
      <w:pPr>
        <w:pStyle w:val="Normal"/>
        <w:widowControl/>
        <w:tabs>
          <w:tab w:val="clear" w:pos="720"/>
          <w:tab w:val="left" w:pos="-1440" w:leader="none"/>
        </w:tabs>
        <w:ind w:hanging="3600" w:start="4320" w:end="0"/>
        <w:jc w:val="both"/>
        <w:rPr/>
      </w:pPr>
      <w:r>
        <w:rPr/>
        <w:t>4.</w:t>
        <w:tab/>
        <w:t>Name of Series:</w:t>
        <w:tab/>
        <w:tab/>
      </w:r>
      <w:r>
        <w:rPr>
          <w:b/>
        </w:rPr>
        <w:tab/>
        <w:tab/>
      </w:r>
      <w:r>
        <w:rPr/>
        <w:t xml:space="preserve">Danno </w:t>
      </w:r>
      <w:ins w:id="5" w:author="Unknown Author" w:date="0-00-00T00:00:00Z">
        <w:r>
          <w:rPr>
            <w:strike/>
          </w:rPr>
          <w:t>A</w:t>
        </w:r>
      </w:ins>
      <w:r>
        <w:rPr/>
        <w:t xml:space="preserve"> </w:t>
      </w:r>
      <w:ins w:id="6" w:author="Unknown Author" w:date="0-00-00T00:00:00Z">
        <w:r>
          <w:rPr>
            <w:b/>
            <w:u w:val="double"/>
          </w:rPr>
          <w:t>B</w:t>
        </w:r>
      </w:ins>
    </w:p>
    <w:p>
      <w:pPr>
        <w:pStyle w:val="Normal"/>
        <w:widowControl/>
        <w:jc w:val="both"/>
        <w:rPr/>
      </w:pPr>
      <w:r>
        <w:rPr/>
      </w:r>
    </w:p>
    <w:p>
      <w:pPr>
        <w:pStyle w:val="Normal"/>
        <w:widowControl/>
        <w:tabs>
          <w:tab w:val="clear" w:pos="720"/>
          <w:tab w:val="left" w:pos="-1440" w:leader="none"/>
        </w:tabs>
        <w:ind w:hanging="5040" w:start="5760" w:end="0"/>
        <w:jc w:val="both"/>
        <w:rPr/>
      </w:pPr>
      <w:r>
        <w:rPr/>
        <w:t>5.</w:t>
        <w:tab/>
        <w:t>Brief Description of Underlying Asset:</w:t>
        <w:tab/>
        <w:t xml:space="preserve">The </w:t>
      </w:r>
      <w:ins w:id="7" w:author="Unknown Author" w:date="0-00-00T00:00:00Z">
        <w:r>
          <w:rPr>
            <w:strike/>
          </w:rPr>
          <w:t>rights to receive payment under Sections 15 and 31 of that certain Services Agreement between Enron Energy Services Operations, Inc. and Computer Sciences Corporation dated April 16, 1999, as amended</w:t>
        </w:r>
      </w:ins>
      <w:r>
        <w:rPr/>
        <w:t xml:space="preserve"> </w:t>
      </w:r>
      <w:ins w:id="8" w:author="Unknown Author" w:date="0-00-00T00:00:00Z">
        <w:r>
          <w:rPr>
            <w:b/>
            <w:u w:val="double"/>
          </w:rPr>
          <w:t>member interest in Owens Corning Energy LLC, a Delaware limited liability company, owned by Danno II, L.L.C.</w:t>
        </w:r>
      </w:ins>
    </w:p>
    <w:p>
      <w:pPr>
        <w:pStyle w:val="Normal"/>
        <w:widowControl/>
        <w:jc w:val="both"/>
        <w:rPr/>
      </w:pPr>
      <w:r>
        <w:rPr/>
      </w:r>
    </w:p>
    <w:p>
      <w:pPr>
        <w:pStyle w:val="Normal"/>
        <w:widowControl/>
        <w:ind w:firstLine="720" w:end="0"/>
        <w:jc w:val="both"/>
        <w:rPr/>
      </w:pPr>
      <w:r>
        <w:rPr/>
        <w:t>6.</w:t>
        <w:tab/>
        <w:t>Name of Asset LLC:</w:t>
        <w:tab/>
        <w:tab/>
        <w:tab/>
        <w:tab/>
        <w:t xml:space="preserve">Danno </w:t>
      </w:r>
      <w:ins w:id="9" w:author="Unknown Author" w:date="0-00-00T00:00:00Z">
        <w:r>
          <w:rPr>
            <w:strike/>
          </w:rPr>
          <w:t>I</w:t>
        </w:r>
      </w:ins>
      <w:r>
        <w:rPr/>
        <w:t xml:space="preserve"> </w:t>
      </w:r>
      <w:ins w:id="10" w:author="Unknown Author" w:date="0-00-00T00:00:00Z">
        <w:r>
          <w:rPr>
            <w:b/>
            <w:u w:val="double"/>
          </w:rPr>
          <w:t>II</w:t>
        </w:r>
      </w:ins>
      <w:r>
        <w:rPr/>
        <w:t>, L.L.C.</w:t>
      </w:r>
    </w:p>
    <w:p>
      <w:pPr>
        <w:pStyle w:val="Normal"/>
        <w:widowControl/>
        <w:jc w:val="both"/>
        <w:rPr/>
      </w:pPr>
      <w:r>
        <w:rPr/>
      </w:r>
    </w:p>
    <w:p>
      <w:pPr>
        <w:pStyle w:val="Normal"/>
        <w:widowControl/>
        <w:ind w:firstLine="720" w:end="0"/>
        <w:jc w:val="both"/>
        <w:rPr/>
      </w:pPr>
      <w:r>
        <w:rPr/>
        <w:t>7.</w:t>
        <w:tab/>
        <w:t xml:space="preserve">Name of Transferor </w:t>
      </w:r>
      <w:ins w:id="11" w:author="Unknown Author" w:date="0-00-00T00:00:00Z">
        <w:r>
          <w:rPr>
            <w:strike/>
          </w:rPr>
          <w:t>LLC: Maui I, L.L.C.</w:t>
        </w:r>
      </w:ins>
      <w:ins w:id="12" w:author="Unknown Author" w:date="0-00-00T00:00:00Z">
        <w:r>
          <w:rPr>
            <w:b/>
            <w:u w:val="double"/>
          </w:rPr>
          <w:t>:</w:t>
          <w:tab/>
          <w:tab/>
          <w:tab/>
          <w:tab/>
          <w:t>LLC Interest Holdings 1 Owner Trust</w:t>
        </w:r>
      </w:ins>
    </w:p>
    <w:p>
      <w:pPr>
        <w:pStyle w:val="Normal"/>
        <w:widowControl/>
        <w:jc w:val="both"/>
        <w:rPr/>
      </w:pPr>
      <w:r>
        <w:rPr/>
      </w:r>
    </w:p>
    <w:p>
      <w:pPr>
        <w:pStyle w:val="Normal"/>
        <w:widowControl/>
        <w:ind w:firstLine="720" w:end="0"/>
        <w:jc w:val="both"/>
        <w:rPr/>
      </w:pPr>
      <w:r>
        <w:rPr/>
        <w:t>8.</w:t>
        <w:tab/>
        <w:t>Asset Structure:</w:t>
        <w:tab/>
        <w:tab/>
        <w:tab/>
        <w:tab/>
        <w:t>Put Option and Demand Note</w:t>
      </w:r>
    </w:p>
    <w:p>
      <w:pPr>
        <w:pStyle w:val="Normal"/>
        <w:widowControl/>
        <w:jc w:val="both"/>
        <w:rPr/>
      </w:pPr>
      <w:r>
        <w:rPr/>
      </w:r>
    </w:p>
    <w:p>
      <w:pPr>
        <w:pStyle w:val="Normal"/>
        <w:widowControl/>
        <w:ind w:start="720" w:end="0"/>
        <w:jc w:val="both"/>
        <w:rPr/>
      </w:pPr>
      <w:r>
        <w:rPr/>
        <w:t>9.</w:t>
        <w:tab/>
        <w:t>Valuation Methodology:</w:t>
        <w:tab/>
        <w:tab/>
        <w:tab/>
      </w:r>
      <w:ins w:id="13" w:author="Unknown Author" w:date="0-00-00T00:00:00Z">
        <w:r>
          <w:rPr>
            <w:b/>
            <w:i/>
            <w:u w:val="double"/>
          </w:rPr>
          <w:t>[</w:t>
        </w:r>
      </w:ins>
      <w:r>
        <w:rPr>
          <w:b/>
          <w:i/>
        </w:rPr>
        <w:t>Enron</w:t>
      </w:r>
      <w:r>
        <w:rPr>
          <w:rFonts w:cs="WP TypographicSymbols" w:ascii="WP TypographicSymbols" w:hAnsi="WP TypographicSymbols"/>
          <w:b/>
          <w:i/>
        </w:rPr>
        <w:t>=</w:t>
      </w:r>
      <w:r>
        <w:rPr>
          <w:b/>
          <w:i/>
        </w:rPr>
        <w:t>s internal valuation procedures</w:t>
      </w:r>
      <w:ins w:id="14" w:author="Unknown Author" w:date="0-00-00T00:00:00Z">
        <w:r>
          <w:rPr>
            <w:b/>
            <w:i/>
            <w:u w:val="double"/>
          </w:rPr>
          <w:t>]</w:t>
        </w:r>
      </w:ins>
    </w:p>
    <w:p>
      <w:pPr>
        <w:pStyle w:val="Normal"/>
        <w:widowControl/>
        <w:jc w:val="both"/>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Pr>
    </w:p>
    <w:p>
      <w:pPr>
        <w:pStyle w:val="Normal"/>
        <w:widowControl/>
        <w:ind w:firstLine="720" w:end="0"/>
        <w:jc w:val="both"/>
        <w:rPr/>
      </w:pPr>
      <w:r>
        <w:rPr/>
        <w:t>We attach the Asset Summary with respect to the proposed Underlying Asset.  We hereby confirm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w:t>
      </w:r>
    </w:p>
    <w:p>
      <w:pPr>
        <w:pStyle w:val="Normal"/>
        <w:widowControl/>
        <w:ind w:firstLine="720" w:end="0"/>
        <w:jc w:val="both"/>
        <w:rPr/>
      </w:pPr>
      <w:r>
        <w:rPr/>
      </w:r>
    </w:p>
    <w:p>
      <w:pPr>
        <w:pStyle w:val="Normal"/>
        <w:widowControl/>
        <w:ind w:firstLine="720" w:end="0"/>
        <w:jc w:val="both"/>
        <w:rPr/>
      </w:pPr>
      <w:r>
        <w:rPr/>
        <w:t xml:space="preserve">We hereby certify that on the applicable Drawdown Date each of the Trust, the Asset LLC and the Transferor </w:t>
      </w:r>
      <w:ins w:id="15" w:author="Unknown Author" w:date="0-00-00T00:00:00Z">
        <w:r>
          <w:rPr>
            <w:strike/>
          </w:rPr>
          <w:t>LLC</w:t>
        </w:r>
      </w:ins>
      <w:r>
        <w:rPr/>
        <w:t xml:space="preserve"> will be solvent within the definition of any law applicable to it which requires as a condition to the validity (and/or non</w:t>
        <w:noBreakHyphen/>
        <w:t>avoidability) of financial obligations undertaken by it that it be solvent.</w:t>
      </w:r>
    </w:p>
    <w:p>
      <w:pPr>
        <w:sectPr>
          <w:type w:val="continuous"/>
          <w:pgSz w:w="12240" w:h="15840"/>
          <w:pgMar w:left="1440" w:right="1440" w:gutter="0" w:header="0" w:top="1440" w:footer="720" w:bottom="776"/>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u w:val="double"/>
        </w:rPr>
      </w:pPr>
      <w:ins w:id="16" w:author="Unknown Author" w:date="0-00-00T00:00:00Z">
        <w:r>
          <w:rPr>
            <w:b/>
            <w:u w:val="double"/>
          </w:rPr>
          <w:t>Dated: May 31, 2000</w:t>
        </w:r>
      </w:ins>
    </w:p>
    <w:p>
      <w:pPr>
        <w:pStyle w:val="Normal"/>
        <w:widowControl/>
        <w:jc w:val="both"/>
        <w:rPr>
          <w:b/>
        </w:rPr>
      </w:pPr>
      <w:r>
        <w:rPr>
          <w:b/>
        </w:rPr>
      </w:r>
    </w:p>
    <w:p>
      <w:pPr>
        <w:pStyle w:val="Normal"/>
        <w:widowControl/>
        <w:ind w:start="5040" w:end="0"/>
        <w:jc w:val="both"/>
        <w:rPr>
          <w:b/>
        </w:rPr>
      </w:pPr>
      <w:r>
        <w:rPr>
          <w:b/>
        </w:rPr>
        <w:t>ENRON CORP.,</w:t>
      </w:r>
    </w:p>
    <w:p>
      <w:pPr>
        <w:pStyle w:val="Normal"/>
        <w:widowControl/>
        <w:ind w:firstLine="5040" w:end="0"/>
        <w:jc w:val="both"/>
        <w:rPr/>
      </w:pPr>
      <w:r>
        <w:rPr/>
        <w:t>an Oregon corporation</w:t>
      </w:r>
    </w:p>
    <w:p>
      <w:pPr>
        <w:pStyle w:val="Normal"/>
        <w:widowControl/>
        <w:jc w:val="both"/>
        <w:rPr/>
      </w:pPr>
      <w:r>
        <w:rPr/>
      </w:r>
    </w:p>
    <w:p>
      <w:pPr>
        <w:pStyle w:val="Normal"/>
        <w:widowControl/>
        <w:jc w:val="both"/>
        <w:rPr/>
      </w:pPr>
      <w:r>
        <w:rPr/>
      </w:r>
    </w:p>
    <w:p>
      <w:pPr>
        <w:pStyle w:val="Normal"/>
        <w:widowControl/>
        <w:ind w:firstLine="720" w:end="0"/>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footerReference w:type="default" r:id="rId3"/>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Agent, we hereby confirm pursuant to Section 5.1 (a) of the Facility Agreement:</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ind w:start="4320" w:end="0"/>
        <w:jc w:val="both"/>
        <w:rPr>
          <w:b/>
        </w:rPr>
      </w:pPr>
      <w:r>
        <w:rPr>
          <w:b/>
        </w:rPr>
        <w:t>CANADIAN IMPERIAL BANK OF</w:t>
      </w:r>
    </w:p>
    <w:p>
      <w:pPr>
        <w:pStyle w:val="Normal"/>
        <w:widowControl/>
        <w:ind w:firstLine="4320" w:end="0"/>
        <w:jc w:val="both"/>
        <w:rPr>
          <w:b/>
        </w:rPr>
      </w:pPr>
      <w:r>
        <w:rPr>
          <w:b/>
        </w:rPr>
        <w:t>COMMERCE, in its capacity as Agent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sectPr>
          <w:footerReference w:type="default" r:id="rId4"/>
          <w:footerReference w:type="first" r:id="rId5"/>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b/>
        </w:rPr>
      </w:pPr>
      <w:r>
        <w:rPr>
          <w:b/>
        </w:rPr>
        <w:t>ACKNOWLEDGMENT:</w:t>
      </w:r>
    </w:p>
    <w:p>
      <w:pPr>
        <w:pStyle w:val="Normal"/>
        <w:widowControl/>
        <w:jc w:val="both"/>
        <w:rPr/>
      </w:pPr>
      <w:r>
        <w:rPr/>
      </w:r>
    </w:p>
    <w:p>
      <w:pPr>
        <w:pStyle w:val="Normal"/>
        <w:widowControl/>
        <w:jc w:val="both"/>
        <w:rPr/>
      </w:pPr>
      <w:r>
        <w:rPr/>
        <w:t>In our capacity as Subscriber we hereby confirm pursuant to Section 1 (c) (i) of the Subscription Agreement dated March 31, 2000 between the Subscriber and the Trust:</w:t>
      </w:r>
    </w:p>
    <w:p>
      <w:pPr>
        <w:pStyle w:val="Normal"/>
        <w:widowControl/>
        <w:jc w:val="both"/>
        <w:rPr/>
      </w:pPr>
      <w:r>
        <w:rPr/>
      </w:r>
    </w:p>
    <w:p>
      <w:pPr>
        <w:pStyle w:val="Normal"/>
        <w:widowControl/>
        <w:jc w:val="both"/>
        <w:rPr/>
      </w:pPr>
      <w:r>
        <w:rPr/>
        <w:t>(CHECK APPLICABLE BOX)</w:t>
      </w:r>
    </w:p>
    <w:p>
      <w:pPr>
        <w:pStyle w:val="Normal"/>
        <w:widowControl/>
        <w:jc w:val="both"/>
        <w:rPr/>
      </w:pPr>
      <w:r>
        <w:rPr/>
      </w:r>
    </w:p>
    <w:p>
      <w:pPr>
        <w:pStyle w:val="Normal"/>
        <w:widowControl/>
        <w:jc w:val="both"/>
        <w:rPr/>
      </w:pPr>
      <w:r>
        <w:rPr/>
        <w:t>EITHER: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widowControl/>
        <w:jc w:val="both"/>
        <w:rPr/>
      </w:pPr>
      <w:r>
        <w:rPr/>
      </w:r>
    </w:p>
    <w:p>
      <w:pPr>
        <w:pStyle w:val="Normal"/>
        <w:widowControl/>
        <w:jc w:val="both"/>
        <w:rPr/>
      </w:pPr>
      <w:r>
        <w:rPr/>
        <w:t>OR:</w:t>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widowControl/>
        <w:jc w:val="both"/>
        <w:rPr/>
      </w:pPr>
      <w:r>
        <w:rPr/>
      </w:r>
    </w:p>
    <w:p>
      <w:pPr>
        <w:pStyle w:val="Normal"/>
        <w:widowControl/>
        <w:jc w:val="both"/>
        <w:rPr/>
      </w:pPr>
      <w:r>
        <w:rPr/>
        <w:t>OR:</w:t>
        <w:tab/>
      </w:r>
    </w:p>
    <w:p>
      <w:pPr>
        <w:pStyle w:val="Normal"/>
        <w:widowControl/>
        <w:jc w:val="both"/>
        <w:rPr/>
      </w:pPr>
      <w:r>
        <w:rPr/>
      </w:r>
    </w:p>
    <w:p>
      <w:pPr>
        <w:pStyle w:val="Normal"/>
        <w:widowControl/>
        <w:tabs>
          <w:tab w:val="clear" w:pos="720"/>
          <w:tab w:val="left" w:pos="-1440" w:leader="none"/>
        </w:tabs>
        <w:ind w:hanging="1440" w:start="1440" w:end="0"/>
        <w:jc w:val="both"/>
        <w:rPr/>
      </w:pPr>
      <w:r>
        <w:rPr>
          <w:rFonts w:cs="WP IconicSymbolsA" w:ascii="WP IconicSymbolsA" w:hAnsi="WP IconicSymbolsA"/>
          <w:sz w:val="36"/>
        </w:rPr>
        <w:sym w:font="WP IconicSymbolsA" w:char="f039"/>
      </w:r>
      <w:r>
        <w:rPr/>
        <w:tab/>
        <w:t>(C)</w:t>
        <w:tab/>
        <w:t>we object to the drawdown of the proposed Tranche for the reasons specified in the letter attached to this acknowledgment.</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ind w:start="4320" w:end="0"/>
        <w:jc w:val="both"/>
        <w:rPr>
          <w:b/>
        </w:rPr>
      </w:pPr>
      <w:r>
        <w:rPr>
          <w:b/>
        </w:rPr>
        <w:t xml:space="preserve">CIBC Inc. </w:t>
      </w:r>
    </w:p>
    <w:p>
      <w:pPr>
        <w:pStyle w:val="Normal"/>
        <w:widowControl/>
        <w:ind w:firstLine="4320" w:end="0"/>
        <w:jc w:val="both"/>
        <w:rPr>
          <w:b/>
        </w:rPr>
      </w:pPr>
      <w:r>
        <w:rPr>
          <w:b/>
        </w:rPr>
        <w:t>in its capacity as Subscriber</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sectPr>
          <w:footerReference w:type="default" r:id="rId6"/>
          <w:footerReference w:type="first" r:id="rId7"/>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7" w:author="Unknown Author" w:date="0-00-00T00:00:00Z">
        <w:r>
          <w:rPr>
            <w:strike/>
          </w:rPr>
          <w:t>238377.2</w:t>
        </w:r>
      </w:ins>
      <w:r>
        <w:rPr/>
        <w:t xml:space="preserve"> </w:t>
      </w:r>
      <w:ins w:id="18" w:author="Unknown Author" w:date="0-00-00T00:00:00Z">
        <w:r>
          <w:rPr>
            <w:b/>
            <w:u w:val="double"/>
          </w:rPr>
          <w:t>240783.4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(Danno </w:t>
      </w:r>
      <w:ins w:id="19" w:author="Unknown Author" w:date="0-00-00T00:00:00Z">
        <w:r>
          <w:rPr>
            <w:strike/>
          </w:rPr>
          <w:t>A)/Asset</w:t>
        </w:r>
      </w:ins>
      <w:r>
        <w:rPr/>
        <w:t xml:space="preserve"> </w:t>
      </w:r>
      <w:ins w:id="20" w:author="Unknown Author" w:date="0-00-00T00:00:00Z">
        <w:r>
          <w:rPr>
            <w:b/>
            <w:u w:val="double"/>
          </w:rPr>
          <w:t>B)/Asset</w:t>
        </w:r>
      </w:ins>
      <w:r>
        <w:rPr/>
        <w:t xml:space="preserve"> Notice </w:t>
        <w:noBreakHyphen/>
        <w:t xml:space="preserve"> Signature Page</w:t>
      </w:r>
    </w:p>
    <w:p>
      <w:pPr>
        <w:sectPr>
          <w:footerReference w:type="default" r:id="rId8"/>
          <w:footerReference w:type="first" r:id="rId9"/>
          <w:type w:val="nextPage"/>
          <w:pgSz w:w="12240" w:h="15840"/>
          <w:pgMar w:left="1440" w:right="1440" w:gutter="0" w:header="0" w:top="1440" w:footer="720" w:bottom="77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C:\WINDOWS\TEMP\DAL_238377_2</w:t>
      </w:r>
    </w:p>
    <w:p>
      <w:pPr>
        <w:pStyle w:val="Normal"/>
        <w:widowControl/>
        <w:jc w:val="both"/>
        <w:rPr/>
      </w:pPr>
      <w:r>
        <w:rPr/>
        <w:t>and revised document: C:\WINDOWS\TEMP\DAL_240783.4</w:t>
      </w:r>
    </w:p>
    <w:p>
      <w:pPr>
        <w:pStyle w:val="Normal"/>
        <w:widowControl/>
        <w:jc w:val="both"/>
        <w:rPr/>
      </w:pPr>
      <w:r>
        <w:rPr/>
      </w:r>
    </w:p>
    <w:p>
      <w:pPr>
        <w:pStyle w:val="Normal"/>
        <w:widowControl/>
        <w:jc w:val="both"/>
        <w:rPr/>
      </w:pPr>
      <w:r>
        <w:rPr/>
        <w:t>CompareRite found   11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10"/>
      <w:footerReference w:type="first" r:id="rId11"/>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WP IconicSymbols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DAL:240783.4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B)/Asset Notice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B)/Asset Notice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B)/Asset Notice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B)/Asset Notice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DAL:240783.4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DAL:240783.4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B)/Asset Notice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DAL:240783.4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DAL:240783.4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7</w:t>
                    </w:r>
                    <w:r>
                      <w:rPr/>
                      <w:fldChar w:fldCharType="end"/>
                    </w:r>
                    <w:r>
                      <w:rPr/>
                      <w:t>-</w:t>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2000-05-23T14:11:00Z</dcterms:created>
  <dc:creator>A&amp;K</dc:creator>
  <dc:description/>
  <dc:language>en-CA</dc:language>
  <cp:lastModifiedBy>A&amp;K</cp:lastModifiedBy>
  <dcterms:modified xsi:type="dcterms:W3CDTF">2000-05-23T14:11:00Z</dcterms:modified>
  <cp:revision>2</cp:revision>
  <dc:subject/>
  <dc:title/>
</cp:coreProperties>
</file>