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40"/>
        <w:gridCol w:w="7920"/>
      </w:tblGrid>
      <w:tr>
        <w:trPr/>
        <w:tc>
          <w:tcPr>
            <w:tcW w:w="9360" w:type="dxa"/>
            <w:gridSpan w:val="2"/>
            <w:tcBorders>
              <w:top w:val="single" w:sz="6" w:space="0" w:color="FFFFFF"/>
              <w:start w:val="single" w:sz="6" w:space="0" w:color="FFFFFF"/>
              <w:bottom w:val="double" w:sz="6" w:space="0" w:color="000000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/>
              <w:jc w:val="center"/>
              <w:rPr>
                <w:rFonts w:ascii="GoudyTrajanBold" w:hAnsi="GoudyTrajanBold" w:eastAsia="GoudyTrajanBold" w:cs="GoudyTrajanBold"/>
                <w:b/>
                <w:bCs/>
              </w:rPr>
            </w:pP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  <w:t>AN</w:t>
            </w:r>
            <w:r>
              <w:fldChar w:fldCharType="begin"/>
            </w:r>
            <w:r>
              <w:rPr>
                <w:sz w:val="30"/>
                <w:b/>
                <w:szCs w:val="30"/>
                <w:bCs/>
                <w:rFonts w:eastAsia="GoudyTrajanBold" w:cs="GoudyTrajanBold" w:ascii="GoudyTrajanBold" w:hAnsi="GoudyTrajanBold"/>
              </w:rPr>
              <w:instrText xml:space="preserve">ADVANCE \l1</w:instrText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</w:r>
            <w:r>
              <w:rPr>
                <w:sz w:val="30"/>
                <w:b/>
                <w:szCs w:val="30"/>
                <w:bCs/>
                <w:rFonts w:eastAsia="GoudyTrajanBold" w:cs="GoudyTrajanBold" w:ascii="GoudyTrajanBold" w:hAnsi="GoudyTrajanBold"/>
              </w:rPr>
              <w:fldChar w:fldCharType="separate"/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</w:r>
            <w:r>
              <w:rPr>
                <w:sz w:val="30"/>
                <w:b/>
                <w:szCs w:val="30"/>
                <w:bCs/>
                <w:rFonts w:eastAsia="GoudyTrajanBold" w:cs="GoudyTrajanBold" w:ascii="GoudyTrajanBold" w:hAnsi="GoudyTrajanBold"/>
              </w:rPr>
              <w:fldChar w:fldCharType="end"/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  <w:t>DR</w:t>
            </w:r>
            <w:r>
              <w:fldChar w:fldCharType="begin"/>
            </w:r>
            <w:r>
              <w:rPr>
                <w:sz w:val="30"/>
                <w:b/>
                <w:szCs w:val="30"/>
                <w:bCs/>
                <w:rFonts w:eastAsia="GoudyTrajanBold" w:cs="GoudyTrajanBold" w:ascii="GoudyTrajanBold" w:hAnsi="GoudyTrajanBold"/>
              </w:rPr>
              <w:instrText xml:space="preserve">ADVANCE \l1</w:instrText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</w:r>
            <w:r>
              <w:rPr>
                <w:sz w:val="30"/>
                <w:b/>
                <w:szCs w:val="30"/>
                <w:bCs/>
                <w:rFonts w:eastAsia="GoudyTrajanBold" w:cs="GoudyTrajanBold" w:ascii="GoudyTrajanBold" w:hAnsi="GoudyTrajanBold"/>
              </w:rPr>
              <w:fldChar w:fldCharType="separate"/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</w:r>
            <w:r>
              <w:rPr>
                <w:sz w:val="30"/>
                <w:b/>
                <w:szCs w:val="30"/>
                <w:bCs/>
                <w:rFonts w:eastAsia="GoudyTrajanBold" w:cs="GoudyTrajanBold" w:ascii="GoudyTrajanBold" w:hAnsi="GoudyTrajanBold"/>
              </w:rPr>
              <w:fldChar w:fldCharType="end"/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  <w:t xml:space="preserve">EwS </w:t>
            </w:r>
            <w:r>
              <w:fldChar w:fldCharType="begin"/>
            </w:r>
            <w:r>
              <w:rPr>
                <w:sz w:val="30"/>
                <w:b/>
                <w:szCs w:val="30"/>
                <w:bCs/>
                <w:rFonts w:eastAsia="GoudyTrajanBold" w:cs="GoudyTrajanBold" w:ascii="GoudyTrajanBold" w:hAnsi="GoudyTrajanBold"/>
              </w:rPr>
              <w:instrText xml:space="preserve">ADVANCE \l0</w:instrText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</w:r>
            <w:r>
              <w:rPr>
                <w:sz w:val="30"/>
                <w:b/>
                <w:szCs w:val="30"/>
                <w:bCs/>
                <w:rFonts w:eastAsia="GoudyTrajanBold" w:cs="GoudyTrajanBold" w:ascii="GoudyTrajanBold" w:hAnsi="GoudyTrajanBold"/>
              </w:rPr>
              <w:fldChar w:fldCharType="separate"/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</w:r>
            <w:r>
              <w:rPr>
                <w:sz w:val="30"/>
                <w:b/>
                <w:szCs w:val="30"/>
                <w:bCs/>
                <w:rFonts w:eastAsia="GoudyTrajanBold" w:cs="GoudyTrajanBold" w:ascii="GoudyTrajanBold" w:hAnsi="GoudyTrajanBold"/>
              </w:rPr>
              <w:fldChar w:fldCharType="end"/>
            </w:r>
            <w:r>
              <w:rPr>
                <w:rFonts w:eastAsia="GoudyOlSt BT" w:cs="GoudyOlSt BT" w:ascii="GoudyOlSt BT" w:hAnsi="GoudyOlSt BT"/>
                <w:sz w:val="30"/>
                <w:szCs w:val="30"/>
              </w:rPr>
              <w:t>&amp;</w:t>
            </w:r>
            <w:r>
              <w:fldChar w:fldCharType="begin"/>
            </w:r>
            <w:r>
              <w:rPr>
                <w:sz w:val="30"/>
                <w:szCs w:val="30"/>
                <w:rFonts w:eastAsia="GoudyOlSt BT" w:cs="GoudyOlSt BT" w:ascii="GoudyOlSt BT" w:hAnsi="GoudyOlSt BT"/>
              </w:rPr>
              <w:instrText xml:space="preserve">ADVANCE \l1</w:instrText>
            </w:r>
            <w:r>
              <w:rPr>
                <w:rFonts w:eastAsia="GoudyOlSt BT" w:cs="GoudyOlSt BT" w:ascii="GoudyOlSt BT" w:hAnsi="GoudyOlSt BT"/>
                <w:sz w:val="30"/>
                <w:szCs w:val="30"/>
              </w:rPr>
            </w:r>
            <w:r>
              <w:rPr>
                <w:sz w:val="30"/>
                <w:szCs w:val="30"/>
                <w:rFonts w:eastAsia="GoudyOlSt BT" w:cs="GoudyOlSt BT" w:ascii="GoudyOlSt BT" w:hAnsi="GoudyOlSt BT"/>
              </w:rPr>
              <w:fldChar w:fldCharType="separate"/>
            </w:r>
            <w:r>
              <w:rPr>
                <w:rFonts w:eastAsia="GoudyOlSt BT" w:cs="GoudyOlSt BT" w:ascii="GoudyOlSt BT" w:hAnsi="GoudyOlSt BT"/>
                <w:sz w:val="30"/>
                <w:szCs w:val="30"/>
              </w:rPr>
            </w:r>
            <w:r>
              <w:rPr>
                <w:rFonts w:eastAsia="GoudyOlSt BT" w:cs="GoudyOlSt BT" w:ascii="GoudyOlSt BT" w:hAnsi="GoudyOlSt BT"/>
                <w:sz w:val="30"/>
                <w:szCs w:val="30"/>
              </w:rPr>
            </w:r>
            <w:r>
              <w:rPr>
                <w:sz w:val="30"/>
                <w:szCs w:val="30"/>
                <w:rFonts w:eastAsia="GoudyOlSt BT" w:cs="GoudyOlSt BT" w:ascii="GoudyOlSt BT" w:hAnsi="GoudyOlSt BT"/>
              </w:rPr>
              <w:fldChar w:fldCharType="end"/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  <w:t xml:space="preserve"> KU</w:t>
            </w:r>
            <w:r>
              <w:fldChar w:fldCharType="begin"/>
            </w:r>
            <w:r>
              <w:rPr>
                <w:sz w:val="30"/>
                <w:b/>
                <w:szCs w:val="30"/>
                <w:bCs/>
                <w:rFonts w:eastAsia="GoudyTrajanBold" w:cs="GoudyTrajanBold" w:ascii="GoudyTrajanBold" w:hAnsi="GoudyTrajanBold"/>
              </w:rPr>
              <w:instrText xml:space="preserve">ADVANCE \l0</w:instrText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</w:r>
            <w:r>
              <w:rPr>
                <w:sz w:val="30"/>
                <w:b/>
                <w:szCs w:val="30"/>
                <w:bCs/>
                <w:rFonts w:eastAsia="GoudyTrajanBold" w:cs="GoudyTrajanBold" w:ascii="GoudyTrajanBold" w:hAnsi="GoudyTrajanBold"/>
              </w:rPr>
              <w:fldChar w:fldCharType="separate"/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</w:r>
            <w:r>
              <w:rPr>
                <w:sz w:val="30"/>
                <w:b/>
                <w:szCs w:val="30"/>
                <w:bCs/>
                <w:rFonts w:eastAsia="GoudyTrajanBold" w:cs="GoudyTrajanBold" w:ascii="GoudyTrajanBold" w:hAnsi="GoudyTrajanBold"/>
              </w:rPr>
              <w:fldChar w:fldCharType="end"/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  <w:t>R</w:t>
            </w:r>
            <w:r>
              <w:fldChar w:fldCharType="begin"/>
            </w:r>
            <w:r>
              <w:rPr>
                <w:sz w:val="30"/>
                <w:b/>
                <w:szCs w:val="30"/>
                <w:bCs/>
                <w:rFonts w:eastAsia="GoudyTrajanBold" w:cs="GoudyTrajanBold" w:ascii="GoudyTrajanBold" w:hAnsi="GoudyTrajanBold"/>
              </w:rPr>
              <w:instrText xml:space="preserve">ADVANCE \l0</w:instrText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</w:r>
            <w:r>
              <w:rPr>
                <w:sz w:val="30"/>
                <w:b/>
                <w:szCs w:val="30"/>
                <w:bCs/>
                <w:rFonts w:eastAsia="GoudyTrajanBold" w:cs="GoudyTrajanBold" w:ascii="GoudyTrajanBold" w:hAnsi="GoudyTrajanBold"/>
              </w:rPr>
              <w:fldChar w:fldCharType="separate"/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</w:r>
            <w:r>
              <w:rPr>
                <w:sz w:val="30"/>
                <w:b/>
                <w:szCs w:val="30"/>
                <w:bCs/>
                <w:rFonts w:eastAsia="GoudyTrajanBold" w:cs="GoudyTrajanBold" w:ascii="GoudyTrajanBold" w:hAnsi="GoudyTrajanBold"/>
              </w:rPr>
              <w:fldChar w:fldCharType="end"/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  <w:t>TH L.L.P</w:t>
            </w:r>
            <w:r>
              <w:fldChar w:fldCharType="begin"/>
            </w:r>
            <w:r>
              <w:rPr>
                <w:sz w:val="30"/>
                <w:b/>
                <w:szCs w:val="30"/>
                <w:bCs/>
                <w:rFonts w:eastAsia="GoudyTrajanBold" w:cs="GoudyTrajanBold" w:ascii="GoudyTrajanBold" w:hAnsi="GoudyTrajanBold"/>
              </w:rPr>
              <w:instrText xml:space="preserve">ADVANCE \l2</w:instrText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</w:r>
            <w:r>
              <w:rPr>
                <w:sz w:val="30"/>
                <w:b/>
                <w:szCs w:val="30"/>
                <w:bCs/>
                <w:rFonts w:eastAsia="GoudyTrajanBold" w:cs="GoudyTrajanBold" w:ascii="GoudyTrajanBold" w:hAnsi="GoudyTrajanBold"/>
              </w:rPr>
              <w:fldChar w:fldCharType="separate"/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</w:r>
            <w:r>
              <w:rPr>
                <w:sz w:val="30"/>
                <w:b/>
                <w:szCs w:val="30"/>
                <w:bCs/>
                <w:rFonts w:eastAsia="GoudyTrajanBold" w:cs="GoudyTrajanBold" w:ascii="GoudyTrajanBold" w:hAnsi="GoudyTrajanBold"/>
              </w:rPr>
              <w:fldChar w:fldCharType="end"/>
            </w:r>
            <w:r>
              <w:rPr>
                <w:rFonts w:eastAsia="GoudyTrajanBold" w:cs="GoudyTrajanBold" w:ascii="GoudyTrajanBold" w:hAnsi="GoudyTrajanBold"/>
                <w:b/>
                <w:bCs/>
                <w:sz w:val="30"/>
                <w:szCs w:val="30"/>
              </w:rPr>
              <w:t>.</w:t>
            </w:r>
          </w:p>
          <w:p>
            <w:pPr>
              <w:pStyle w:val="Normal"/>
              <w:widowControl/>
              <w:jc w:val="center"/>
              <w:rPr>
                <w:rFonts w:ascii="EngraversGothic BT" w:hAnsi="EngraversGothic BT" w:eastAsia="EngraversGothic BT" w:cs="EngraversGothic BT"/>
                <w:sz w:val="28"/>
                <w:szCs w:val="28"/>
              </w:rPr>
            </w:pPr>
            <w:r>
              <w:rPr>
                <w:rFonts w:eastAsia="GoudyTrajanBold" w:cs="GoudyTrajanBold" w:ascii="GoudyTrajanBold" w:hAnsi="GoudyTrajanBold"/>
                <w:b/>
                <w:bCs/>
                <w:sz w:val="14"/>
                <w:szCs w:val="14"/>
              </w:rPr>
              <w:t>ATTORNEY</w:t>
            </w:r>
            <w:r>
              <w:fldChar w:fldCharType="begin"/>
            </w:r>
            <w:r>
              <w:rPr>
                <w:sz w:val="14"/>
                <w:b/>
                <w:szCs w:val="14"/>
                <w:bCs/>
                <w:rFonts w:eastAsia="GoudyTrajanBold" w:cs="GoudyTrajanBold" w:ascii="GoudyTrajanBold" w:hAnsi="GoudyTrajanBold"/>
              </w:rPr>
              <w:instrText xml:space="preserve">ADVANCE \r0</w:instrText>
            </w:r>
            <w:r>
              <w:rPr>
                <w:rFonts w:eastAsia="GoudyTrajanBold" w:cs="GoudyTrajanBold" w:ascii="GoudyTrajanBold" w:hAnsi="GoudyTrajanBold"/>
                <w:b/>
                <w:bCs/>
                <w:sz w:val="14"/>
                <w:szCs w:val="14"/>
              </w:rPr>
            </w:r>
            <w:r>
              <w:rPr>
                <w:sz w:val="14"/>
                <w:b/>
                <w:szCs w:val="14"/>
                <w:bCs/>
                <w:rFonts w:eastAsia="GoudyTrajanBold" w:cs="GoudyTrajanBold" w:ascii="GoudyTrajanBold" w:hAnsi="GoudyTrajanBold"/>
              </w:rPr>
              <w:fldChar w:fldCharType="separate"/>
            </w:r>
            <w:r>
              <w:rPr>
                <w:rFonts w:eastAsia="GoudyTrajanBold" w:cs="GoudyTrajanBold" w:ascii="GoudyTrajanBold" w:hAnsi="GoudyTrajanBold"/>
                <w:b/>
                <w:bCs/>
                <w:sz w:val="14"/>
                <w:szCs w:val="14"/>
              </w:rPr>
            </w:r>
            <w:r>
              <w:rPr>
                <w:rFonts w:eastAsia="GoudyTrajanBold" w:cs="GoudyTrajanBold" w:ascii="GoudyTrajanBold" w:hAnsi="GoudyTrajanBold"/>
                <w:b/>
                <w:bCs/>
                <w:sz w:val="14"/>
                <w:szCs w:val="14"/>
              </w:rPr>
            </w:r>
            <w:r>
              <w:rPr>
                <w:sz w:val="14"/>
                <w:b/>
                <w:szCs w:val="14"/>
                <w:bCs/>
                <w:rFonts w:eastAsia="GoudyTrajanBold" w:cs="GoudyTrajanBold" w:ascii="GoudyTrajanBold" w:hAnsi="GoudyTrajanBold"/>
              </w:rPr>
              <w:fldChar w:fldCharType="end"/>
            </w:r>
            <w:r>
              <w:rPr>
                <w:rFonts w:eastAsia="GoudyTrajanBold" w:cs="GoudyTrajanBold" w:ascii="GoudyTrajanBold" w:hAnsi="GoudyTrajanBold"/>
                <w:b/>
                <w:bCs/>
                <w:sz w:val="14"/>
                <w:szCs w:val="14"/>
              </w:rPr>
              <w:t>S</w:t>
            </w:r>
          </w:p>
          <w:p>
            <w:pPr>
              <w:pStyle w:val="Normal"/>
              <w:widowControl/>
              <w:jc w:val="center"/>
              <w:rPr>
                <w:rFonts w:ascii="EngraversGothic BT" w:hAnsi="EngraversGothic BT" w:eastAsia="EngraversGothic BT" w:cs="EngraversGothic BT"/>
                <w:sz w:val="28"/>
                <w:szCs w:val="28"/>
              </w:rPr>
            </w:pPr>
            <w:r>
              <w:rPr>
                <w:rFonts w:eastAsia="EngraversGothic BT" w:cs="EngraversGothic BT" w:ascii="EngraversGothic BT" w:hAnsi="EngraversGothic BT"/>
                <w:sz w:val="28"/>
                <w:szCs w:val="28"/>
              </w:rPr>
            </w:r>
          </w:p>
          <w:p>
            <w:pPr>
              <w:pStyle w:val="Normal"/>
              <w:widowControl/>
              <w:jc w:val="center"/>
              <w:rPr>
                <w:rFonts w:ascii="EngraversGothic BT" w:hAnsi="EngraversGothic BT" w:eastAsia="EngraversGothic BT" w:cs="EngraversGothic BT"/>
                <w:sz w:val="20"/>
                <w:szCs w:val="20"/>
              </w:rPr>
            </w:pPr>
            <w:r>
              <w:rPr>
                <w:rFonts w:eastAsia="EngraversGothic BT" w:cs="EngraversGothic BT" w:ascii="EngraversGothic BT" w:hAnsi="EngraversGothic BT"/>
                <w:sz w:val="20"/>
                <w:szCs w:val="20"/>
              </w:rPr>
              <w:t>1717 Main Street, Suite 3700</w:t>
            </w:r>
          </w:p>
          <w:p>
            <w:pPr>
              <w:pStyle w:val="Normal"/>
              <w:widowControl/>
              <w:jc w:val="center"/>
              <w:rPr>
                <w:rFonts w:ascii="EngraversGothic BT" w:hAnsi="EngraversGothic BT" w:eastAsia="EngraversGothic BT" w:cs="EngraversGothic BT"/>
                <w:sz w:val="28"/>
                <w:szCs w:val="28"/>
              </w:rPr>
            </w:pPr>
            <w:r>
              <w:rPr>
                <w:rFonts w:eastAsia="EngraversGothic BT" w:cs="EngraversGothic BT" w:ascii="EngraversGothic BT" w:hAnsi="EngraversGothic BT"/>
                <w:sz w:val="20"/>
                <w:szCs w:val="20"/>
              </w:rPr>
              <w:t>DALLAS, TEXAS 75201</w:t>
            </w:r>
          </w:p>
          <w:p>
            <w:pPr>
              <w:pStyle w:val="Normal"/>
              <w:widowControl/>
              <w:jc w:val="center"/>
              <w:rPr>
                <w:rFonts w:ascii="EngraversGothic BT" w:hAnsi="EngraversGothic BT" w:eastAsia="EngraversGothic BT" w:cs="EngraversGothic BT"/>
                <w:sz w:val="28"/>
                <w:szCs w:val="28"/>
              </w:rPr>
            </w:pPr>
            <w:r>
              <w:rPr>
                <w:rFonts w:eastAsia="EngraversGothic BT" w:cs="EngraversGothic BT" w:ascii="EngraversGothic BT" w:hAnsi="EngraversGothic BT"/>
                <w:sz w:val="28"/>
                <w:szCs w:val="28"/>
              </w:rPr>
            </w:r>
          </w:p>
          <w:p>
            <w:pPr>
              <w:pStyle w:val="Normal"/>
              <w:widowControl/>
              <w:spacing w:before="0" w:after="259"/>
              <w:jc w:val="center"/>
              <w:rPr>
                <w:rFonts w:ascii="EngraversGothic BT" w:hAnsi="EngraversGothic BT" w:eastAsia="EngraversGothic BT" w:cs="EngraversGothic BT"/>
                <w:sz w:val="30"/>
                <w:szCs w:val="30"/>
              </w:rPr>
            </w:pPr>
            <w:r>
              <w:rPr>
                <w:rFonts w:eastAsia="EngraversGothic BT" w:cs="EngraversGothic BT" w:ascii="EngraversGothic BT" w:hAnsi="EngraversGothic BT"/>
                <w:sz w:val="30"/>
                <w:szCs w:val="30"/>
              </w:rPr>
              <w:t>memorandum</w:t>
            </w:r>
          </w:p>
        </w:tc>
        <w:tc>
          <w:tcPr>
            <w:tcW w:w="0" w:type="dxa"/>
            <w:vMerge w:val="continue"/>
            <w:tcBorders>
              <w:top w:val="single" w:sz="6" w:space="0" w:color="FFFFFF"/>
              <w:bottom w:val="double" w:sz="6" w:space="0" w:color="000000"/>
              <w:end w:val="single" w:sz="6" w:space="0" w:color="FFFFFF"/>
            </w:tcBorders>
          </w:tcPr>
          <w:p>
            <w:pPr>
              <w:pStyle w:val="Normal"/>
              <w:widowControl/>
              <w:snapToGrid w:val="false"/>
              <w:spacing w:before="0" w:after="259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44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57"/>
              <w:rPr/>
            </w:pPr>
            <w:r>
              <w:rPr/>
            </w:r>
          </w:p>
          <w:p>
            <w:pPr>
              <w:pStyle w:val="Normal"/>
              <w:widowControl/>
              <w:rPr>
                <w:rFonts w:ascii="EngraversGothic BT" w:hAnsi="EngraversGothic BT" w:eastAsia="EngraversGothic BT" w:cs="EngraversGothic BT"/>
              </w:rPr>
            </w:pPr>
            <w:r>
              <w:rPr>
                <w:rFonts w:eastAsia="EngraversGothic BT" w:cs="EngraversGothic BT" w:ascii="EngraversGothic BT" w:hAnsi="EngraversGothic BT"/>
              </w:rPr>
              <w:t>TO:</w:t>
            </w:r>
          </w:p>
        </w:tc>
        <w:tc>
          <w:tcPr>
            <w:tcW w:w="79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57"/>
              <w:rPr/>
            </w:pPr>
            <w:r>
              <w:rPr/>
            </w:r>
          </w:p>
          <w:p>
            <w:pPr>
              <w:pStyle w:val="Normal"/>
              <w:widowControl/>
              <w:rPr/>
            </w:pPr>
            <w:r>
              <w:rPr/>
              <w:t>Enron Ghost Working Group</w:t>
            </w:r>
          </w:p>
        </w:tc>
      </w:tr>
      <w:tr>
        <w:trPr/>
        <w:tc>
          <w:tcPr>
            <w:tcW w:w="144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72"/>
              <w:rPr/>
            </w:pPr>
            <w:r>
              <w:rPr/>
            </w:r>
          </w:p>
          <w:p>
            <w:pPr>
              <w:pStyle w:val="Normal"/>
              <w:widowControl/>
              <w:rPr>
                <w:rFonts w:ascii="EngraversGothic BT" w:hAnsi="EngraversGothic BT" w:eastAsia="EngraversGothic BT" w:cs="EngraversGothic BT"/>
              </w:rPr>
            </w:pPr>
            <w:r>
              <w:rPr>
                <w:rFonts w:eastAsia="EngraversGothic BT" w:cs="EngraversGothic BT" w:ascii="EngraversGothic BT" w:hAnsi="EngraversGothic BT"/>
              </w:rPr>
              <w:t>FROM:</w:t>
            </w:r>
          </w:p>
        </w:tc>
        <w:tc>
          <w:tcPr>
            <w:tcW w:w="79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72"/>
              <w:rPr/>
            </w:pPr>
            <w:r>
              <w:rPr/>
            </w:r>
          </w:p>
          <w:p>
            <w:pPr>
              <w:pStyle w:val="Normal"/>
              <w:widowControl/>
              <w:rPr/>
            </w:pPr>
            <w:r>
              <w:rPr/>
              <w:t>Danny Sullivan</w:t>
            </w:r>
          </w:p>
        </w:tc>
      </w:tr>
      <w:tr>
        <w:trPr/>
        <w:tc>
          <w:tcPr>
            <w:tcW w:w="144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72"/>
              <w:rPr/>
            </w:pPr>
            <w:r>
              <w:rPr/>
            </w:r>
          </w:p>
          <w:p>
            <w:pPr>
              <w:pStyle w:val="Normal"/>
              <w:widowControl/>
              <w:rPr>
                <w:rFonts w:ascii="EngraversGothic BT" w:hAnsi="EngraversGothic BT" w:eastAsia="EngraversGothic BT" w:cs="EngraversGothic BT"/>
              </w:rPr>
            </w:pPr>
            <w:r>
              <w:rPr>
                <w:rFonts w:eastAsia="EngraversGothic BT" w:cs="EngraversGothic BT" w:ascii="EngraversGothic BT" w:hAnsi="EngraversGothic BT"/>
              </w:rPr>
              <w:t>DATE:</w:t>
            </w:r>
          </w:p>
        </w:tc>
        <w:tc>
          <w:tcPr>
            <w:tcW w:w="7920" w:type="dxa"/>
            <w:tcBorders>
              <w:top w:val="single" w:sz="6" w:space="0" w:color="FFFFFF"/>
              <w:start w:val="single" w:sz="6" w:space="0" w:color="FFFFFF"/>
              <w:bottom w:val="single" w:sz="6" w:space="0" w:color="FFFFFF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72"/>
              <w:rPr/>
            </w:pPr>
            <w:r>
              <w:rPr/>
            </w:r>
          </w:p>
          <w:p>
            <w:pPr>
              <w:pStyle w:val="Normal"/>
              <w:widowControl/>
              <w:rPr/>
            </w:pPr>
            <w:r>
              <w:rPr/>
              <w:t>March 15, 2000</w:t>
            </w:r>
          </w:p>
        </w:tc>
      </w:tr>
      <w:tr>
        <w:trPr/>
        <w:tc>
          <w:tcPr>
            <w:tcW w:w="1440" w:type="dxa"/>
            <w:tcBorders>
              <w:top w:val="single" w:sz="6" w:space="0" w:color="FFFFFF"/>
              <w:start w:val="single" w:sz="6" w:space="0" w:color="FFFFFF"/>
              <w:bottom w:val="double" w:sz="6" w:space="0" w:color="000000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72"/>
              <w:rPr/>
            </w:pPr>
            <w:r>
              <w:rPr/>
            </w:r>
          </w:p>
          <w:p>
            <w:pPr>
              <w:pStyle w:val="Normal"/>
              <w:widowControl/>
              <w:spacing w:before="0" w:after="58"/>
              <w:rPr>
                <w:rFonts w:ascii="EngraversGothic BT" w:hAnsi="EngraversGothic BT" w:eastAsia="EngraversGothic BT" w:cs="EngraversGothic BT"/>
              </w:rPr>
            </w:pPr>
            <w:r>
              <w:rPr>
                <w:rFonts w:eastAsia="EngraversGothic BT" w:cs="EngraversGothic BT" w:ascii="EngraversGothic BT" w:hAnsi="EngraversGothic BT"/>
              </w:rPr>
              <w:t>SUBJECT:</w:t>
            </w:r>
          </w:p>
        </w:tc>
        <w:tc>
          <w:tcPr>
            <w:tcW w:w="7920" w:type="dxa"/>
            <w:tcBorders>
              <w:top w:val="single" w:sz="6" w:space="0" w:color="FFFFFF"/>
              <w:start w:val="single" w:sz="6" w:space="0" w:color="FFFFFF"/>
              <w:bottom w:val="double" w:sz="6" w:space="0" w:color="000000"/>
              <w:end w:val="single" w:sz="6" w:space="0" w:color="FFFFFF"/>
            </w:tcBorders>
          </w:tcPr>
          <w:p>
            <w:pPr>
              <w:pStyle w:val="Normal"/>
              <w:snapToGrid w:val="false"/>
              <w:spacing w:lineRule="exact" w:line="172"/>
              <w:rPr/>
            </w:pPr>
            <w:r>
              <w:rPr/>
            </w:r>
          </w:p>
          <w:p>
            <w:pPr>
              <w:pStyle w:val="Normal"/>
              <w:widowControl/>
              <w:spacing w:before="0" w:after="58"/>
              <w:rPr/>
            </w:pPr>
            <w:r>
              <w:rPr/>
              <w:t>Documents required for the dissolution of the Project Ghost structure</w:t>
            </w:r>
          </w:p>
        </w:tc>
      </w:tr>
    </w:tbl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spacing w:lineRule="auto" w:line="214"/>
        <w:ind w:firstLine="720" w:end="0"/>
        <w:jc w:val="both"/>
        <w:rPr/>
      </w:pPr>
      <w:r>
        <w:rPr/>
        <w:t>In connection with the dissolution of Project Ghost, enclosed for your review are drafts of the following documents:</w:t>
      </w:r>
      <w:bookmarkStart w:id="0" w:name="Start_Memo_Here"/>
      <w:bookmarkEnd w:id="0"/>
    </w:p>
    <w:p>
      <w:pPr>
        <w:pStyle w:val="Normal"/>
        <w:widowControl/>
        <w:spacing w:lineRule="auto" w:line="214"/>
        <w:jc w:val="both"/>
        <w:rPr/>
      </w:pPr>
      <w:r>
        <w:rPr/>
      </w:r>
    </w:p>
    <w:p>
      <w:pPr>
        <w:pStyle w:val="Normal"/>
        <w:widowControl/>
        <w:spacing w:lineRule="auto" w:line="214"/>
        <w:ind w:firstLine="720" w:end="0"/>
        <w:jc w:val="both"/>
        <w:rPr/>
      </w:pPr>
      <w:r>
        <w:rPr/>
        <w:t>1.</w:t>
        <w:tab/>
        <w:t>Certificate Purchase Agreement;</w:t>
      </w:r>
    </w:p>
    <w:p>
      <w:pPr>
        <w:pStyle w:val="Normal"/>
        <w:widowControl/>
        <w:spacing w:lineRule="auto" w:line="214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spacing w:lineRule="auto" w:line="214"/>
        <w:ind w:hanging="720" w:start="1440" w:end="-90"/>
        <w:jc w:val="both"/>
        <w:rPr/>
      </w:pPr>
      <w:r>
        <w:rPr/>
        <w:t>2.</w:t>
        <w:tab/>
        <w:t>Letter from Enron Communications Investments Corp. to Wilmington Trust and J. M. Owner Trust requesting transfer of trust certificate;</w:t>
      </w:r>
    </w:p>
    <w:p>
      <w:pPr>
        <w:pStyle w:val="Normal"/>
        <w:widowControl/>
        <w:spacing w:lineRule="auto" w:line="214"/>
        <w:ind w:end="-9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spacing w:lineRule="auto" w:line="214"/>
        <w:ind w:hanging="720" w:start="1440" w:end="-90"/>
        <w:jc w:val="both"/>
        <w:rPr/>
      </w:pPr>
      <w:r>
        <w:rPr/>
        <w:t>3.</w:t>
        <w:tab/>
        <w:t>Assignment of Certificate by CIBC Inc.;</w:t>
      </w:r>
    </w:p>
    <w:p>
      <w:pPr>
        <w:pStyle w:val="Normal"/>
        <w:widowControl/>
        <w:spacing w:lineRule="auto" w:line="214"/>
        <w:ind w:end="-9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spacing w:lineRule="auto" w:line="214"/>
        <w:ind w:hanging="720" w:start="1440" w:end="-90"/>
        <w:jc w:val="both"/>
        <w:rPr/>
      </w:pPr>
      <w:r>
        <w:rPr/>
        <w:t>4.</w:t>
        <w:tab/>
        <w:t>Dissolution Agreement (dissolving G-Past, L.L.C., G-Present L.L.C., G-Future, L.L.C. and J. M. Owner Trust);</w:t>
      </w:r>
    </w:p>
    <w:p>
      <w:pPr>
        <w:pStyle w:val="Normal"/>
        <w:widowControl/>
        <w:spacing w:lineRule="auto" w:line="214"/>
        <w:ind w:end="-9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spacing w:lineRule="auto" w:line="214"/>
        <w:ind w:hanging="720" w:start="1440" w:end="-90"/>
        <w:jc w:val="both"/>
        <w:rPr/>
      </w:pPr>
      <w:r>
        <w:rPr/>
        <w:t>5.</w:t>
        <w:tab/>
        <w:t>Assignment of G-Past, L.L.C. B Interest by G-Present, L.L.C. to Enron Communications Investments Corp.;</w:t>
      </w:r>
    </w:p>
    <w:p>
      <w:pPr>
        <w:pStyle w:val="Normal"/>
        <w:widowControl/>
        <w:spacing w:lineRule="auto" w:line="214"/>
        <w:ind w:end="-9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spacing w:lineRule="auto" w:line="214"/>
        <w:ind w:hanging="720" w:start="1440" w:end="-90"/>
        <w:jc w:val="both"/>
        <w:rPr/>
      </w:pPr>
      <w:r>
        <w:rPr/>
        <w:t>6.</w:t>
        <w:tab/>
        <w:t>Assignment of G-Future Interest by J. M. Owner Trust to Enron Communications Investments, Corp.</w:t>
      </w:r>
    </w:p>
    <w:p>
      <w:pPr>
        <w:pStyle w:val="Normal"/>
        <w:widowControl/>
        <w:spacing w:lineRule="auto" w:line="214"/>
        <w:ind w:end="-9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spacing w:lineRule="auto" w:line="214"/>
        <w:ind w:hanging="720" w:start="1440" w:end="-90"/>
        <w:jc w:val="both"/>
        <w:rPr/>
      </w:pPr>
      <w:r>
        <w:rPr/>
        <w:t>7.</w:t>
        <w:tab/>
        <w:t>Assignment of G-Present, L.L.C. Interest by G-Future, L.L.C. to Enron Communications Investments Corp.</w:t>
      </w:r>
    </w:p>
    <w:p>
      <w:pPr>
        <w:pStyle w:val="Normal"/>
        <w:widowControl/>
        <w:spacing w:lineRule="auto" w:line="214"/>
        <w:ind w:end="-9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spacing w:lineRule="auto" w:line="214"/>
        <w:ind w:hanging="720" w:start="1440" w:end="-90"/>
        <w:jc w:val="both"/>
        <w:rPr/>
      </w:pPr>
      <w:r>
        <w:rPr/>
        <w:t>8.</w:t>
        <w:tab/>
        <w:t>Assignment (Stock Power) of G-Past Interest by G-Future, L.L.C. to Enron Communications Investments Corp. of Rhythms stock by G-Past, L.L.C. to Enron Communications Investments Corp.;</w:t>
      </w:r>
    </w:p>
    <w:p>
      <w:pPr>
        <w:pStyle w:val="Normal"/>
        <w:widowControl/>
        <w:spacing w:lineRule="auto" w:line="214"/>
        <w:ind w:end="-9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spacing w:lineRule="auto" w:line="214"/>
        <w:ind w:hanging="720" w:start="1440" w:end="-90"/>
        <w:jc w:val="both"/>
        <w:rPr/>
      </w:pPr>
      <w:r>
        <w:rPr/>
        <w:t>9.</w:t>
        <w:tab/>
        <w:t>Acknowledgment of Receipt of Funds by CIBC;</w:t>
      </w:r>
    </w:p>
    <w:p>
      <w:pPr>
        <w:pStyle w:val="Normal"/>
        <w:widowControl/>
        <w:spacing w:lineRule="auto" w:line="214"/>
        <w:ind w:end="-9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spacing w:lineRule="auto" w:line="214"/>
        <w:ind w:hanging="720" w:start="1440" w:end="-90"/>
        <w:jc w:val="both"/>
        <w:rPr/>
      </w:pPr>
      <w:r>
        <w:rPr/>
        <w:t>10.</w:t>
        <w:tab/>
        <w:t>Certificates of Cancellation of G-Past, L.L.C., G-Present, L.L.C., G-Future L.L.C. and J. M. Owner Trust;</w:t>
      </w:r>
    </w:p>
    <w:p>
      <w:pPr>
        <w:pStyle w:val="Normal"/>
        <w:widowControl/>
        <w:spacing w:lineRule="auto" w:line="214"/>
        <w:ind w:end="-9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spacing w:lineRule="auto" w:line="214"/>
        <w:ind w:hanging="720" w:start="1440" w:end="-90"/>
        <w:jc w:val="both"/>
        <w:rPr/>
      </w:pPr>
      <w:r>
        <w:rPr/>
        <w:t>11.</w:t>
        <w:tab/>
        <w:t>Swap Termination Agreement;</w:t>
      </w:r>
    </w:p>
    <w:p>
      <w:pPr>
        <w:pStyle w:val="Normal"/>
        <w:widowControl/>
        <w:spacing w:lineRule="auto" w:line="214"/>
        <w:ind w:end="-9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spacing w:lineRule="auto" w:line="214"/>
        <w:ind w:hanging="720" w:start="1440" w:end="-90"/>
        <w:jc w:val="both"/>
        <w:rPr/>
      </w:pPr>
      <w:r>
        <w:rPr/>
        <w:t>12.</w:t>
        <w:tab/>
        <w:t>Put Termination Agreement; and</w:t>
      </w:r>
    </w:p>
    <w:p>
      <w:pPr>
        <w:pStyle w:val="Normal"/>
        <w:widowControl/>
        <w:spacing w:lineRule="auto" w:line="214"/>
        <w:ind w:end="-90"/>
        <w:jc w:val="both"/>
        <w:rPr/>
      </w:pPr>
      <w:r>
        <w:rPr/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432" w:bottom="488"/>
          <w:pgNumType w:fmt="decimal"/>
          <w:formProt w:val="false"/>
          <w:textDirection w:val="lrTb"/>
        </w:sectPr>
      </w:pPr>
    </w:p>
    <w:p>
      <w:pPr>
        <w:pStyle w:val="Normal"/>
        <w:widowControl/>
        <w:tabs>
          <w:tab w:val="clear" w:pos="720"/>
          <w:tab w:val="left" w:pos="-1440" w:leader="none"/>
        </w:tabs>
        <w:spacing w:lineRule="auto" w:line="214"/>
        <w:ind w:hanging="720" w:start="1440" w:end="-90"/>
        <w:jc w:val="both"/>
        <w:rPr/>
      </w:pPr>
      <w:r>
        <w:rPr/>
        <w:t>13.</w:t>
        <w:tab/>
        <w:t>Notice of Prepayment.</w:t>
      </w:r>
    </w:p>
    <w:p>
      <w:pPr>
        <w:pStyle w:val="Normal"/>
        <w:widowControl/>
        <w:spacing w:lineRule="auto" w:line="214"/>
        <w:ind w:end="-90"/>
        <w:jc w:val="both"/>
        <w:rPr/>
      </w:pPr>
      <w:r>
        <w:rPr/>
      </w:r>
    </w:p>
    <w:p>
      <w:pPr>
        <w:pStyle w:val="Normal"/>
        <w:widowControl/>
        <w:spacing w:lineRule="auto" w:line="214"/>
        <w:ind w:firstLine="720" w:end="-90"/>
        <w:jc w:val="both"/>
        <w:rPr/>
      </w:pPr>
      <w:r>
        <w:rPr/>
        <w:t>The above documents assume that the novation of the relevant Ghost documents by Enron Broadband Services, Inc. to Enron Communications Investments Inc. (requested by Enron in-house tax advisors) will be deemed to have taken place prior to the unwind of the Ghost structure.</w:t>
      </w:r>
    </w:p>
    <w:p>
      <w:pPr>
        <w:pStyle w:val="Normal"/>
        <w:widowControl/>
        <w:spacing w:lineRule="auto" w:line="214"/>
        <w:ind w:end="-90"/>
        <w:jc w:val="both"/>
        <w:rPr/>
      </w:pPr>
      <w:r>
        <w:rPr/>
      </w:r>
    </w:p>
    <w:p>
      <w:pPr>
        <w:pStyle w:val="Normal"/>
        <w:widowControl/>
        <w:spacing w:lineRule="auto" w:line="214"/>
        <w:ind w:firstLine="720" w:end="-90"/>
        <w:jc w:val="both"/>
        <w:rPr/>
      </w:pPr>
      <w:r>
        <w:rPr/>
        <w:t>I have sent out signature pages to the relevant parties.</w:t>
      </w:r>
    </w:p>
    <w:p>
      <w:pPr>
        <w:pStyle w:val="Normal"/>
        <w:widowControl/>
        <w:spacing w:lineRule="auto" w:line="214"/>
        <w:ind w:end="-90"/>
        <w:jc w:val="both"/>
        <w:rPr/>
      </w:pPr>
      <w:r>
        <w:rPr/>
      </w:r>
    </w:p>
    <w:p>
      <w:pPr>
        <w:pStyle w:val="Normal"/>
        <w:widowControl/>
        <w:spacing w:lineRule="auto" w:line="214"/>
        <w:ind w:firstLine="720" w:end="-90"/>
        <w:jc w:val="both"/>
        <w:rPr/>
      </w:pPr>
      <w:r>
        <w:rPr/>
        <w:t>Please call me at (214) 659-4414 with any questions on comments.</w:t>
      </w:r>
    </w:p>
    <w:p>
      <w:pPr>
        <w:pStyle w:val="Normal"/>
        <w:widowControl/>
        <w:spacing w:lineRule="auto" w:line="214"/>
        <w:ind w:end="-90"/>
        <w:jc w:val="both"/>
        <w:rPr/>
      </w:pPr>
      <w:r>
        <w:rPr/>
      </w:r>
    </w:p>
    <w:p>
      <w:pPr>
        <w:pStyle w:val="Normal"/>
        <w:widowControl/>
        <w:spacing w:lineRule="auto" w:line="214"/>
        <w:ind w:end="-90"/>
        <w:jc w:val="both"/>
        <w:rPr/>
      </w:pPr>
      <w:r>
        <w:rPr/>
      </w:r>
    </w:p>
    <w:p>
      <w:pPr>
        <w:pStyle w:val="Normal"/>
        <w:widowControl/>
        <w:spacing w:lineRule="auto" w:line="214"/>
        <w:ind w:end="-9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center" w:pos="4725" w:leader="none"/>
        </w:tabs>
        <w:spacing w:lineRule="auto" w:line="214"/>
        <w:ind w:end="-90"/>
        <w:jc w:val="both"/>
        <w:rPr/>
      </w:pPr>
      <w:r>
        <w:rPr/>
        <w:tab/>
        <w:t>D.A.S.</w:t>
      </w:r>
    </w:p>
    <w:p>
      <w:pPr>
        <w:pStyle w:val="Normal"/>
        <w:widowControl/>
        <w:spacing w:lineRule="auto" w:line="214"/>
        <w:ind w:end="-90"/>
        <w:jc w:val="both"/>
        <w:rPr/>
      </w:pPr>
      <w:r>
        <w:rPr/>
      </w:r>
    </w:p>
    <w:sectPr>
      <w:type w:val="continuous"/>
      <w:pgSz w:w="12240" w:h="15840"/>
      <w:pgMar w:left="1440" w:right="1440" w:gutter="0" w:header="0" w:top="1440" w:footer="432" w:bottom="488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oudyTrajanBold">
    <w:charset w:val="01"/>
    <w:family w:val="auto"/>
    <w:pitch w:val="variable"/>
  </w:font>
  <w:font w:name="GoudyOlSt BT">
    <w:charset w:val="01"/>
    <w:family w:val="roman"/>
    <w:pitch w:val="variable"/>
  </w:font>
  <w:font w:name="EngraversGothic BT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  <w:szCs w:val="14"/>
      </w:rPr>
    </w:pPr>
    <w:r>
      <w:rPr>
        <w:sz w:val="14"/>
        <w:szCs w:val="14"/>
      </w:rPr>
      <w:t>DAL:233312.1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Header">
    <w:name w:val="header"/>
    <w:basedOn w:val="HeaderandFooter"/>
    <w:pPr>
      <w:suppressLineNumbers/>
      <w:tabs>
        <w:tab w:val="clear" w:pos="4986"/>
        <w:tab w:val="clear" w:pos="9972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2000-03-16T04:28:00Z</dcterms:created>
  <dc:creator>A&amp;K</dc:creator>
  <dc:description/>
  <dc:language>en-CA</dc:language>
  <cp:lastModifiedBy>A&amp;K</cp:lastModifiedBy>
  <dcterms:modified xsi:type="dcterms:W3CDTF">2000-03-16T04:28:00Z</dcterms:modified>
  <cp:revision>1</cp:revision>
  <dc:subject/>
  <dc:title>ANDREwS &amp; KURTH L</dc:title>
</cp:coreProperties>
</file>