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DOCKET NO. 23220</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4608"/>
        <w:gridCol w:w="540"/>
        <w:gridCol w:w="4428"/>
      </w:tblGrid>
      <w:tr>
        <w:trPr/>
        <w:tc>
          <w:tcPr>
            <w:tcW w:w="4608" w:type="dxa"/>
            <w:tcBorders/>
          </w:tcPr>
          <w:p>
            <w:pPr>
              <w:pStyle w:val="Normal"/>
              <w:rPr>
                <w:b/>
              </w:rPr>
            </w:pPr>
            <w:r>
              <w:rPr>
                <w:b/>
              </w:rPr>
              <w:t>PETITION OF THE ELECTRIC RELIABILITY COUNCIL OF TEXAS FOR APPROVAL OF THE ERCOT PROTOCOLS</w:t>
            </w:r>
          </w:p>
        </w:tc>
        <w:tc>
          <w:tcPr>
            <w:tcW w:w="540" w:type="dxa"/>
            <w:tcBorders/>
          </w:tcPr>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tc>
        <w:tc>
          <w:tcPr>
            <w:tcW w:w="4428" w:type="dxa"/>
            <w:tcBorders/>
          </w:tcPr>
          <w:p>
            <w:pPr>
              <w:pStyle w:val="Normal"/>
              <w:jc w:val="center"/>
              <w:rPr>
                <w:b/>
              </w:rPr>
            </w:pPr>
            <w:r>
              <w:rPr>
                <w:b/>
              </w:rPr>
              <w:t>PUBLIC UTILITY COMMISSION</w:t>
              <w:br/>
              <w:br/>
              <w:t>OF TEXAS</w:t>
            </w:r>
          </w:p>
        </w:tc>
      </w:tr>
    </w:tbl>
    <w:p>
      <w:pPr>
        <w:pStyle w:val="Normal"/>
        <w:rPr>
          <w:b/>
        </w:rPr>
      </w:pPr>
      <w:r>
        <w:rPr>
          <w:b/>
        </w:rPr>
      </w:r>
    </w:p>
    <w:p>
      <w:pPr>
        <w:pStyle w:val="Normal"/>
        <w:jc w:val="center"/>
        <w:rPr>
          <w:b/>
          <w:caps/>
        </w:rPr>
      </w:pPr>
      <w:r>
        <w:rPr>
          <w:b/>
          <w:caps/>
        </w:rPr>
        <w:t>order</w:t>
      </w:r>
    </w:p>
    <w:p>
      <w:pPr>
        <w:pStyle w:val="Header"/>
        <w:tabs>
          <w:tab w:val="clear" w:pos="4320"/>
          <w:tab w:val="clear" w:pos="8640"/>
        </w:tabs>
        <w:spacing w:lineRule="auto" w:line="360"/>
        <w:rPr>
          <w:b/>
          <w:caps/>
        </w:rPr>
      </w:pPr>
      <w:r>
        <w:rPr>
          <w:b/>
          <w:caps/>
        </w:rPr>
      </w:r>
    </w:p>
    <w:p>
      <w:pPr>
        <w:pStyle w:val="Header"/>
        <w:tabs>
          <w:tab w:val="clear" w:pos="4320"/>
          <w:tab w:val="clear" w:pos="8640"/>
          <w:tab w:val="left" w:pos="720" w:leader="none"/>
        </w:tabs>
        <w:spacing w:lineRule="auto" w:line="360" w:before="120" w:after="120"/>
        <w:rPr/>
      </w:pPr>
      <w:r>
        <w:rPr/>
        <w:tab/>
        <w:t>This Order approves the petition of the Electric Reliability Council of Texas (ERCOT) for approval of the ERCOT Protocols and for designation as the retail customer registration agent for the areas of Texas outside of the ERCOT power region.  This docket was processed in accordance with applicable statutes and Commission rules.  The petition, as submitted and supplemented by ERCOT, and as modified by this Order, is approved.</w:t>
      </w:r>
      <w:r>
        <w:rPr>
          <w:rStyle w:val="FootnoteCharacters"/>
          <w:rStyle w:val="FootnoteReference"/>
        </w:rPr>
        <w:footnoteReference w:id="2"/>
      </w:r>
    </w:p>
    <w:p>
      <w:pPr>
        <w:pStyle w:val="Header"/>
        <w:numPr>
          <w:ilvl w:val="0"/>
          <w:numId w:val="5"/>
        </w:numPr>
        <w:tabs>
          <w:tab w:val="clear" w:pos="4320"/>
          <w:tab w:val="clear" w:pos="8640"/>
        </w:tabs>
        <w:spacing w:lineRule="auto" w:line="360" w:before="120" w:after="120"/>
        <w:jc w:val="center"/>
        <w:rPr>
          <w:b/>
        </w:rPr>
      </w:pPr>
      <w:r>
        <w:rPr>
          <w:b/>
        </w:rPr>
        <w:t>Procedural History</w:t>
      </w:r>
    </w:p>
    <w:p>
      <w:pPr>
        <w:pStyle w:val="Header"/>
        <w:tabs>
          <w:tab w:val="clear" w:pos="4320"/>
          <w:tab w:val="clear" w:pos="8640"/>
        </w:tabs>
        <w:spacing w:lineRule="auto" w:line="360" w:before="120" w:after="120"/>
        <w:ind w:firstLine="720" w:end="0"/>
        <w:rPr/>
      </w:pPr>
      <w:r>
        <w:rPr/>
        <w:t>The ERCOT power region is located solely within Texas and includes most of the state, except the far western portion; the northwestern portion; and the far eastern portion.</w:t>
      </w:r>
      <w:r>
        <w:rPr>
          <w:rStyle w:val="FootnoteCharacters"/>
          <w:rStyle w:val="FootnoteReference"/>
        </w:rPr>
        <w:footnoteReference w:id="3"/>
      </w:r>
      <w:r>
        <w:rPr/>
        <w:t xml:space="preserve">  Around 85 percent of the electricity consumed in Texas is consumed within the ERCOT power region.  The ERCOT organization is the transmission grid operator for the ERCOT power region.  ERCOT developed Protocols to comprehensively address its obligations, procedures, and actions, and the obligations of market participants interacting with it.</w:t>
      </w:r>
    </w:p>
    <w:p>
      <w:pPr>
        <w:pStyle w:val="Header"/>
        <w:tabs>
          <w:tab w:val="clear" w:pos="4320"/>
          <w:tab w:val="clear" w:pos="8640"/>
        </w:tabs>
        <w:spacing w:lineRule="auto" w:line="360" w:before="120" w:after="120"/>
        <w:ind w:firstLine="720" w:end="0"/>
        <w:rPr/>
      </w:pPr>
      <w:r>
        <w:rPr/>
        <w:t xml:space="preserve">On November 2, 2000, ERCOT filed a petition for approval of the ERCOT Protocols; designation as the registration agent for Texas under </w:t>
      </w:r>
      <w:r>
        <w:rPr>
          <w:smallCaps/>
        </w:rPr>
        <w:t xml:space="preserve">P.U.C Subst. R. </w:t>
      </w:r>
      <w:r>
        <w:rPr/>
        <w:t xml:space="preserve">25.471(d)(11); and designation as the designated agent under </w:t>
      </w:r>
      <w:r>
        <w:rPr>
          <w:smallCaps/>
        </w:rPr>
        <w:t xml:space="preserve">P.U.C. Subst. R. </w:t>
      </w:r>
      <w:r>
        <w:rPr/>
        <w:t>25.484(a) for management of the do not call list.</w:t>
      </w:r>
      <w:r>
        <w:rPr>
          <w:rStyle w:val="FootnoteCharacters"/>
          <w:rStyle w:val="FootnoteReference"/>
        </w:rPr>
        <w:footnoteReference w:id="4"/>
      </w:r>
      <w:r>
        <w:rPr/>
        <w:t xml:space="preserve">  Through a series of prehearing conferences, the parties determined that the Commission did not need to conduct a formal adjudicative hearing in this proceeding.</w:t>
      </w:r>
      <w:r>
        <w:rPr>
          <w:rStyle w:val="FootnoteCharacters"/>
          <w:rStyle w:val="FootnoteReference"/>
        </w:rPr>
        <w:footnoteReference w:id="5"/>
      </w:r>
      <w:r>
        <w:rPr/>
        <w:t xml:space="preserve">  Instead, the parties agreed to a procedure that involved developing lists of issues and submitting briefs on those issues, and participating in technical conferences and a workshop, as the best approach to resolving the myriad policy issues raised by the Protocols.</w:t>
      </w:r>
    </w:p>
    <w:p>
      <w:pPr>
        <w:pStyle w:val="Header"/>
        <w:tabs>
          <w:tab w:val="clear" w:pos="4320"/>
          <w:tab w:val="clear" w:pos="8640"/>
        </w:tabs>
        <w:spacing w:lineRule="auto" w:line="360" w:before="120" w:after="120"/>
        <w:ind w:firstLine="720" w:end="0"/>
        <w:rPr/>
      </w:pPr>
      <w:r>
        <w:rPr/>
        <w:t>Based upon the evidence,</w:t>
      </w:r>
      <w:r>
        <w:rPr>
          <w:rStyle w:val="FootnoteCharacters"/>
          <w:rStyle w:val="FootnoteReference"/>
        </w:rPr>
        <w:footnoteReference w:id="6"/>
      </w:r>
      <w:r>
        <w:rPr/>
        <w:t xml:space="preserve"> and upon full consideration of the pleadings, briefs, and comments, and as described in Section II of this Order, the Commission approves the Protocols, with modifications, and designates ERCOT as the registration agent for the areas of Texas outside of the ERCOT power region.</w:t>
      </w:r>
    </w:p>
    <w:p>
      <w:pPr>
        <w:pStyle w:val="Header"/>
        <w:numPr>
          <w:ilvl w:val="0"/>
          <w:numId w:val="5"/>
        </w:numPr>
        <w:tabs>
          <w:tab w:val="clear" w:pos="4320"/>
          <w:tab w:val="clear" w:pos="8640"/>
        </w:tabs>
        <w:spacing w:lineRule="auto" w:line="360" w:before="120" w:after="120"/>
        <w:jc w:val="center"/>
        <w:rPr>
          <w:b/>
        </w:rPr>
      </w:pPr>
      <w:r>
        <w:rPr>
          <w:b/>
        </w:rPr>
        <w:t>Discussion</w:t>
      </w:r>
    </w:p>
    <w:p>
      <w:pPr>
        <w:pStyle w:val="Heading2"/>
        <w:numPr>
          <w:ilvl w:val="0"/>
          <w:numId w:val="3"/>
        </w:numPr>
        <w:ind w:hanging="0" w:start="0"/>
        <w:rPr/>
      </w:pPr>
      <w:bookmarkStart w:id="0" w:name="__RefHeading___Toc511637895"/>
      <w:bookmarkEnd w:id="0"/>
      <w:r>
        <w:rPr/>
        <w:t>Approval of Petition</w:t>
      </w:r>
    </w:p>
    <w:p>
      <w:pPr>
        <w:pStyle w:val="Header"/>
        <w:tabs>
          <w:tab w:val="clear" w:pos="4320"/>
          <w:tab w:val="clear" w:pos="8640"/>
        </w:tabs>
        <w:spacing w:lineRule="auto" w:line="360" w:before="120" w:after="120"/>
        <w:ind w:firstLine="720" w:end="0"/>
        <w:rPr/>
      </w:pPr>
      <w:r>
        <w:rPr/>
        <w:t>The Protocols reflect an undertaking by the ERCOT stakeholders to restructure the ERCOT markets in order to allow greater access to the transmission grid by all market participants; increased wholesale competition; and retail competition.  The Commission commends the stakeholders for their monumental effort.  They have done an outstanding job of operationalizing the general principles of an electricity market design that is based on decentralized decisionmaking, wholesale and retail customer choice, and an independent system operator whose role in the markets is minimized.</w:t>
      </w:r>
    </w:p>
    <w:p>
      <w:pPr>
        <w:pStyle w:val="Header"/>
        <w:tabs>
          <w:tab w:val="clear" w:pos="4320"/>
          <w:tab w:val="clear" w:pos="8640"/>
        </w:tabs>
        <w:spacing w:lineRule="auto" w:line="360" w:before="120" w:after="120"/>
        <w:ind w:firstLine="720" w:end="0"/>
        <w:rPr/>
      </w:pPr>
      <w:r>
        <w:rPr/>
        <w:t xml:space="preserve">Pursuant to PURA §§39.151(a) and (c), the Commission previously certified ERCOT as the independent organization for the ERCOT power region, with the responsibility to:  </w:t>
      </w:r>
      <w:r>
        <w:rPr>
          <w:lang w:eastAsia="en-US"/>
        </w:rPr>
        <w:t>(1) ensure access to the transmission and distribution systems for all buyers and sellers of electricity on nondiscriminatory terms; (2) ensure the reliability and adequacy of the regional electrical network; (3) ensure that information relating to a customer’s choice of competitive retailer</w:t>
      </w:r>
      <w:r>
        <w:rPr>
          <w:rStyle w:val="FootnoteCharacters"/>
          <w:rStyle w:val="FootnoteReference"/>
          <w:lang w:eastAsia="en-US"/>
        </w:rPr>
        <w:footnoteReference w:id="7"/>
      </w:r>
      <w:r>
        <w:rPr>
          <w:lang w:eastAsia="en-US"/>
        </w:rPr>
        <w:t xml:space="preserve"> is conveyed in a timely manner to the entities who need that information; and (4) ensure that electricity production and delivery are accurately accounted for among generators and wholesale buyers and sellers in the region.</w:t>
      </w:r>
      <w:r>
        <w:rPr>
          <w:rStyle w:val="FootnoteCharacters"/>
          <w:rStyle w:val="FootnoteReference"/>
          <w:lang w:eastAsia="en-US"/>
        </w:rPr>
        <w:footnoteReference w:id="8"/>
      </w:r>
      <w:r>
        <w:rPr>
          <w:lang w:eastAsia="en-US"/>
        </w:rPr>
        <w:t xml:space="preserve">  By approving the Protocols, the Commission is delegating to ERCOT, pursuant to PURA §39.151(i), the authority to enforce operating standards and establish and oversee transaction settlement procedures, within the ERCOT power region.  In addition, the Commission approves ERCOT as the independent organization to ensure that information relating to a customer’s choice of competitive retailer is conveyed in a timely manner to the persons who need that information, for the areas in Texas outside of the ERCOT power region, pursuant to PURA §§39.151(a)(3) and (c).  Pursuant to PURA §§35.004(e) and 39.151(d) and (e), ERCOT’s procedures and actions to meet its obligations under PURA §§39.151(a), (d), (i), and (j), including the Protocols, shall be subject to the Commission’s ongoing oversight and review.</w:t>
      </w:r>
    </w:p>
    <w:p>
      <w:pPr>
        <w:pStyle w:val="Header"/>
        <w:tabs>
          <w:tab w:val="clear" w:pos="4320"/>
          <w:tab w:val="clear" w:pos="8640"/>
        </w:tabs>
        <w:spacing w:lineRule="auto" w:line="360" w:before="120" w:after="120"/>
        <w:ind w:firstLine="720" w:end="0"/>
        <w:rPr/>
      </w:pPr>
      <w:r>
        <w:rPr>
          <w:lang w:eastAsia="en-US"/>
        </w:rPr>
        <w:t>As an independent organization, ERCOT is sufficiently independent of any producer or seller of electricity such that its decisions will not be unduly influenced by any producer or seller.</w:t>
      </w:r>
      <w:r>
        <w:rPr>
          <w:rStyle w:val="FootnoteCharacters"/>
          <w:rStyle w:val="FootnoteReference"/>
          <w:lang w:eastAsia="en-US"/>
        </w:rPr>
        <w:footnoteReference w:id="9"/>
      </w:r>
      <w:r>
        <w:rPr>
          <w:lang w:eastAsia="en-US"/>
        </w:rPr>
        <w:t xml:space="preserve">  As a result, the Commission will generally show substantial deference to ERCOT decisions.  However, because the Commission is ultimately responsible for ensuring full and fair competition among all providers of electricity,</w:t>
      </w:r>
      <w:r>
        <w:rPr>
          <w:rStyle w:val="FootnoteCharacters"/>
          <w:rStyle w:val="FootnoteReference"/>
          <w:lang w:eastAsia="en-US"/>
        </w:rPr>
        <w:footnoteReference w:id="10"/>
      </w:r>
      <w:r>
        <w:rPr>
          <w:lang w:eastAsia="en-US"/>
        </w:rPr>
        <w:t xml:space="preserve"> the following matters will be subject to a heightened level of scrutiny by the Commission:  (1) matters that have major impacts on the fundamental design and competitiveness of markets; (2) matters that have disparate impacts on particular types of market participants; (3) matters that may unnecessarily create barriers to entry; and (4) matters that may conflict with legislative or Commission policies.  Below, the Commission addresses issues considered in this docket.</w:t>
      </w:r>
    </w:p>
    <w:p>
      <w:pPr>
        <w:pStyle w:val="Heading2"/>
        <w:numPr>
          <w:ilvl w:val="0"/>
          <w:numId w:val="3"/>
        </w:numPr>
        <w:ind w:hanging="0" w:start="0"/>
        <w:rPr/>
      </w:pPr>
      <w:bookmarkStart w:id="1" w:name="__RefHeading___Toc511637896"/>
      <w:bookmarkEnd w:id="1"/>
      <w:r>
        <w:rPr/>
        <w:t>Effective Date of Protocols</w:t>
      </w:r>
    </w:p>
    <w:p>
      <w:pPr>
        <w:pStyle w:val="Header"/>
        <w:tabs>
          <w:tab w:val="clear" w:pos="4320"/>
          <w:tab w:val="clear" w:pos="8640"/>
        </w:tabs>
        <w:spacing w:lineRule="auto" w:line="360" w:before="120" w:after="120"/>
        <w:ind w:firstLine="720" w:end="0"/>
        <w:rPr/>
      </w:pPr>
      <w:r>
        <w:rPr>
          <w:lang w:eastAsia="en-US"/>
        </w:rPr>
        <w:t>The Protocols are scheduled to take effect on June 1, 2001.  Although a variety of concerns were raised concerning the Protocols,</w:t>
      </w:r>
      <w:r>
        <w:rPr>
          <w:rStyle w:val="FootnoteCharacters"/>
          <w:rStyle w:val="FootnoteReference"/>
          <w:lang w:eastAsia="en-US"/>
        </w:rPr>
        <w:footnoteReference w:id="11"/>
      </w:r>
      <w:r>
        <w:rPr>
          <w:lang w:eastAsia="en-US"/>
        </w:rPr>
        <w:t xml:space="preserve"> the Protocols are fundamentally sound.</w:t>
      </w:r>
      <w:r>
        <w:rPr>
          <w:rStyle w:val="FootnoteCharacters"/>
          <w:rStyle w:val="FootnoteReference"/>
          <w:lang w:eastAsia="en-US"/>
        </w:rPr>
        <w:footnoteReference w:id="12"/>
      </w:r>
      <w:r>
        <w:rPr>
          <w:lang w:eastAsia="en-US"/>
        </w:rPr>
        <w:t xml:space="preserve">  As a result, consistent with the consensus of the parties, they shall take effect as scheduled, on June 1, 2001.</w:t>
      </w:r>
      <w:r>
        <w:rPr>
          <w:rStyle w:val="FootnoteCharacters"/>
          <w:rStyle w:val="FootnoteReference"/>
          <w:lang w:eastAsia="en-US"/>
        </w:rPr>
        <w:footnoteReference w:id="13"/>
      </w:r>
      <w:r>
        <w:rPr>
          <w:lang w:eastAsia="en-US"/>
        </w:rPr>
        <w:t xml:space="preserve">  The Protocols contain certain provisions in boxes that will not be implemented until ERCOT’s systems can support them, as provided in the Protocol Implementation Plan.</w:t>
      </w:r>
      <w:r>
        <w:rPr>
          <w:rStyle w:val="FootnoteCharacters"/>
          <w:rStyle w:val="FootnoteReference"/>
          <w:lang w:eastAsia="en-US"/>
        </w:rPr>
        <w:footnoteReference w:id="14"/>
      </w:r>
      <w:r>
        <w:rPr>
          <w:lang w:eastAsia="en-US"/>
        </w:rPr>
        <w:t xml:space="preserve">  These boxed provisions provide a number of important improvements to the Protocols.  Therefore, ERCOT shall implement the boxed provisions as soon as possible.  The Protocols do not address the process for implementation of the boxed provisions, and possibilities range from implementing them through the Protocol revision process provided for in Protocols §21; implementing them upon approval by the ERCOT Board of Directors; or implementing them based on a decision by ERCOT staff.</w:t>
      </w:r>
      <w:r>
        <w:rPr>
          <w:rStyle w:val="FootnoteCharacters"/>
          <w:rStyle w:val="FootnoteReference"/>
          <w:lang w:eastAsia="en-US"/>
        </w:rPr>
        <w:footnoteReference w:id="15"/>
      </w:r>
      <w:r>
        <w:rPr>
          <w:lang w:eastAsia="en-US"/>
        </w:rPr>
        <w:t xml:space="preserve">  The Commission orders ERCOT to establish an expeditious procedure to implement the boxed provisions of the Protocols, to address implementation of the boxed provisions once the systems are capable of accommodating them.</w:t>
      </w:r>
      <w:r>
        <w:rPr>
          <w:rStyle w:val="FootnoteCharacters"/>
          <w:rStyle w:val="FootnoteReference"/>
          <w:lang w:eastAsia="en-US"/>
        </w:rPr>
        <w:footnoteReference w:id="16"/>
      </w:r>
      <w:r>
        <w:rPr>
          <w:lang w:eastAsia="en-US"/>
        </w:rPr>
        <w:t xml:space="preserve">  Using the standard timeline for the Protocols §21 revision process would unnecessarily delay implementation of these provisions.</w:t>
      </w:r>
    </w:p>
    <w:p>
      <w:pPr>
        <w:pStyle w:val="Header"/>
        <w:tabs>
          <w:tab w:val="clear" w:pos="4320"/>
          <w:tab w:val="clear" w:pos="8640"/>
        </w:tabs>
        <w:spacing w:lineRule="auto" w:line="360" w:before="120" w:after="120"/>
        <w:ind w:firstLine="720" w:end="0"/>
        <w:rPr>
          <w:lang w:eastAsia="en-US"/>
        </w:rPr>
      </w:pPr>
      <w:r>
        <w:rPr>
          <w:lang w:eastAsia="en-US"/>
        </w:rPr>
        <w:t>As addressed further below, certain parts of the Protocols need to be modified.  Some of these modifications shall take effect on June 1, 2001, while others will take effect later.</w:t>
      </w:r>
      <w:r>
        <w:rPr>
          <w:rStyle w:val="FootnoteCharacters"/>
          <w:rStyle w:val="FootnoteReference"/>
          <w:lang w:eastAsia="en-US"/>
        </w:rPr>
        <w:footnoteReference w:id="17"/>
      </w:r>
      <w:r>
        <w:rPr>
          <w:lang w:eastAsia="en-US"/>
        </w:rPr>
        <w:t xml:space="preserve">  As with any undertaking of this complexity and importance, the Protocols should continue to be modified over time as experience reveals areas in need of improvement.</w:t>
      </w:r>
      <w:r>
        <w:rPr>
          <w:rStyle w:val="FootnoteCharacters"/>
          <w:rStyle w:val="FootnoteReference"/>
          <w:lang w:eastAsia="en-US"/>
        </w:rPr>
        <w:footnoteReference w:id="18"/>
      </w:r>
    </w:p>
    <w:p>
      <w:pPr>
        <w:pStyle w:val="Heading2"/>
        <w:numPr>
          <w:ilvl w:val="0"/>
          <w:numId w:val="3"/>
        </w:numPr>
        <w:ind w:hanging="0" w:start="0"/>
        <w:rPr>
          <w:lang w:eastAsia="en-US"/>
        </w:rPr>
      </w:pPr>
      <w:bookmarkStart w:id="2" w:name="__RefHeading___Toc511637897"/>
      <w:bookmarkEnd w:id="2"/>
      <w:r>
        <w:rPr>
          <w:lang w:eastAsia="en-US"/>
        </w:rPr>
        <w:t>Standards for ERCOT’s Conduct</w:t>
      </w:r>
    </w:p>
    <w:p>
      <w:pPr>
        <w:pStyle w:val="Header"/>
        <w:tabs>
          <w:tab w:val="clear" w:pos="4320"/>
          <w:tab w:val="clear" w:pos="8640"/>
        </w:tabs>
        <w:spacing w:lineRule="auto" w:line="360" w:before="120" w:after="120"/>
        <w:ind w:firstLine="720" w:end="0"/>
        <w:rPr>
          <w:lang w:eastAsia="en-US"/>
        </w:rPr>
      </w:pPr>
      <w:r>
        <w:rPr>
          <w:lang w:eastAsia="en-US"/>
        </w:rPr>
        <w:t>PURA §39.151 requires that ERCOT provide nondiscriminatory access to the transmission grid, and its conduct is subject to Commission oversight and review.  Although ERCOT needs the ability to exercise discretion with respect to some matters, it must do so in a reasonable, nondiscriminatory manner.  In some parts of the Protocols where ERCOT’s conduct is addressed, there is a statement that ERCOT has “sole discretion” in its conduct.  In order to reconcile the Protocols with ERCOT’s obligation to conduct itself in a reasonable, nondiscriminatory manner, ERCOT shall either eliminate the “sole discretion” language addressing its conduct or revise Protocols §1 to state that where the Protocols refer to ERCOT’s sole discretion, ERCOT shall exercise its discretion in a reasonable, nondiscriminatory manner.  In ordering this change, the Commission addresses only ERCOT’s obligations under PURA §39.151 and the Commission’s regulation thereof.  By doing so, the Commission does not alter civil liability standards for ERCOT’s conduct; the Commission is not addressing the standards for a market participant to receive damages for an act or omission of ERCOT.</w:t>
      </w:r>
    </w:p>
    <w:p>
      <w:pPr>
        <w:pStyle w:val="Header"/>
        <w:tabs>
          <w:tab w:val="clear" w:pos="4320"/>
          <w:tab w:val="clear" w:pos="8640"/>
        </w:tabs>
        <w:spacing w:lineRule="auto" w:line="360" w:before="120" w:after="120"/>
        <w:ind w:firstLine="720" w:end="0"/>
        <w:rPr>
          <w:lang w:eastAsia="en-US"/>
        </w:rPr>
      </w:pPr>
      <w:r>
        <w:rPr>
          <w:lang w:eastAsia="en-US"/>
        </w:rPr>
        <w:t>Protocols §1.1 states that if any express provision of any Agreement conflicts with any provision of the Protocols, the Agreement shall prevail to the extent of the conflict.  In order to ensure reasonable, nondiscriminatory conduct by ERCOT, Protocols §1.1 shall be modified to require that Agreement provisions that deviate from the Protocols shall be required to explicitly state that they deviate from the Protocols and that such deviations shall be effective only upon the approval by the ERCOT Board of Directors on a showing of good cause.</w:t>
      </w:r>
    </w:p>
    <w:p>
      <w:pPr>
        <w:pStyle w:val="Heading2"/>
        <w:numPr>
          <w:ilvl w:val="0"/>
          <w:numId w:val="3"/>
        </w:numPr>
        <w:ind w:hanging="0" w:start="0"/>
        <w:rPr/>
      </w:pPr>
      <w:bookmarkStart w:id="3" w:name="__RefHeading___Toc511637898"/>
      <w:bookmarkEnd w:id="3"/>
      <w:r>
        <w:rPr/>
        <w:t>Ancillary Services</w:t>
      </w:r>
    </w:p>
    <w:p>
      <w:pPr>
        <w:pStyle w:val="Header"/>
        <w:tabs>
          <w:tab w:val="clear" w:pos="4320"/>
          <w:tab w:val="clear" w:pos="8640"/>
        </w:tabs>
        <w:spacing w:lineRule="auto" w:line="360" w:before="120" w:after="120"/>
        <w:ind w:firstLine="720" w:end="0"/>
        <w:rPr>
          <w:lang w:eastAsia="en-US"/>
        </w:rPr>
      </w:pPr>
      <w:r>
        <w:rPr>
          <w:lang w:eastAsia="en-US"/>
        </w:rPr>
        <w:t>Under the Protocols, all energy needed to serve customers (loads) must be estimated and scheduled by qualified scheduling entities (QSEs) the day before the energy will be consumed (day-ahead period).</w:t>
      </w:r>
      <w:r>
        <w:rPr>
          <w:rStyle w:val="FootnoteCharacters"/>
          <w:rStyle w:val="FootnoteReference"/>
          <w:lang w:eastAsia="en-US"/>
        </w:rPr>
        <w:footnoteReference w:id="19"/>
      </w:r>
      <w:r>
        <w:rPr>
          <w:lang w:eastAsia="en-US"/>
        </w:rPr>
        <w:t xml:space="preserve">  QSEs have the flexibility to adjust these estimates until an hour before the operating hour in which the energy will be consumed (adjustment period).</w:t>
      </w:r>
      <w:r>
        <w:rPr>
          <w:rStyle w:val="FootnoteCharacters"/>
          <w:rStyle w:val="FootnoteReference"/>
          <w:lang w:eastAsia="en-US"/>
        </w:rPr>
        <w:footnoteReference w:id="20"/>
      </w:r>
      <w:r>
        <w:rPr>
          <w:lang w:eastAsia="en-US"/>
        </w:rPr>
        <w:t xml:space="preserve">  For each 15-minute period (settlement interval),</w:t>
      </w:r>
      <w:r>
        <w:rPr>
          <w:rStyle w:val="FootnoteCharacters"/>
          <w:rStyle w:val="FootnoteReference"/>
          <w:lang w:eastAsia="en-US"/>
        </w:rPr>
        <w:footnoteReference w:id="21"/>
      </w:r>
      <w:r>
        <w:rPr>
          <w:lang w:eastAsia="en-US"/>
        </w:rPr>
        <w:t xml:space="preserve"> each QSE’s schedule must show the energy generated, less losses occurring during transmission, equal to the energy consumed (balanced schedule).</w:t>
      </w:r>
      <w:r>
        <w:rPr>
          <w:rStyle w:val="FootnoteCharacters"/>
          <w:rStyle w:val="FootnoteReference"/>
          <w:lang w:eastAsia="en-US"/>
        </w:rPr>
        <w:footnoteReference w:id="22"/>
      </w:r>
      <w:r>
        <w:rPr>
          <w:lang w:eastAsia="en-US"/>
        </w:rPr>
        <w:t xml:space="preserve">  In addition to providing the energy to serve its load, a QSE is responsible for certain ancillary services on a daily basis.  Ancillary services are those services necessary to support the transmission of electric energy from resources to loads while maintaining reliable operation of the transmission system in accordance with good utility practice.</w:t>
      </w:r>
      <w:r>
        <w:rPr>
          <w:rStyle w:val="FootnoteCharacters"/>
          <w:rStyle w:val="FootnoteReference"/>
          <w:lang w:eastAsia="en-US"/>
        </w:rPr>
        <w:footnoteReference w:id="23"/>
      </w:r>
      <w:r>
        <w:rPr>
          <w:lang w:eastAsia="en-US"/>
        </w:rPr>
        <w:t xml:space="preserve">  A QSE may self-arrange certain ancillary services, or have ERCOT procure those ancillary services on its behalf.</w:t>
      </w:r>
      <w:r>
        <w:rPr>
          <w:rStyle w:val="FootnoteCharacters"/>
          <w:rStyle w:val="FootnoteReference"/>
          <w:lang w:eastAsia="en-US"/>
        </w:rPr>
        <w:footnoteReference w:id="24"/>
      </w:r>
      <w:r>
        <w:rPr/>
        <w:t xml:space="preserve">  However, certain ancillary services can be provided only by ERCOT, including balancing energy service.</w:t>
      </w:r>
      <w:r>
        <w:rPr>
          <w:rStyle w:val="FootnoteCharacters"/>
          <w:rStyle w:val="FootnoteReference"/>
        </w:rPr>
        <w:footnoteReference w:id="25"/>
      </w:r>
      <w:r>
        <w:rPr/>
        <w:t xml:space="preserve">  Although QSEs are required to balance their estimated energy generated with their estimated energy consumed for each 15-minute settlement interval (balanced schedule), differences in actual generation and consumption will occur, and ERCOT uses balancing energy to help bridge this gap.</w:t>
      </w:r>
      <w:r>
        <w:rPr>
          <w:rStyle w:val="FootnoteCharacters"/>
          <w:rStyle w:val="FootnoteReference"/>
        </w:rPr>
        <w:footnoteReference w:id="26"/>
      </w:r>
      <w:r>
        <w:rPr/>
        <w:t xml:space="preserve">  In addition, when ERCOT deploys responsive reserve service, regulation reserve service, or non-spinning reserve service, whether from self-arranged or ERCOT-arranged resources, ERCOT generally pays the service provider the balancing energy market clearing price (MCP) in the zone in which the resource is located.</w:t>
      </w:r>
      <w:r>
        <w:rPr>
          <w:rStyle w:val="FootnoteCharacters"/>
          <w:rStyle w:val="FootnoteReference"/>
        </w:rPr>
        <w:footnoteReference w:id="27"/>
      </w:r>
    </w:p>
    <w:p>
      <w:pPr>
        <w:pStyle w:val="Heading3"/>
        <w:numPr>
          <w:ilvl w:val="0"/>
          <w:numId w:val="7"/>
        </w:numPr>
        <w:ind w:hanging="0" w:start="0"/>
        <w:rPr>
          <w:lang w:eastAsia="en-US"/>
        </w:rPr>
      </w:pPr>
      <w:bookmarkStart w:id="4" w:name="__RefHeading___Toc511637899"/>
      <w:bookmarkEnd w:id="4"/>
      <w:r>
        <w:rPr>
          <w:lang w:eastAsia="en-US"/>
        </w:rPr>
        <w:t>Optimization of Ancillary Service Procurement and Reduction of Gaming Opportunities</w:t>
      </w:r>
    </w:p>
    <w:p>
      <w:pPr>
        <w:pStyle w:val="Normal"/>
        <w:spacing w:lineRule="auto" w:line="360"/>
        <w:ind w:firstLine="720" w:end="0"/>
        <w:rPr/>
      </w:pPr>
      <w:r>
        <w:rPr>
          <w:lang w:eastAsia="en-US"/>
        </w:rPr>
        <w:t>The Protocols require ERCOT to procure certain ancillary services (A/S) sequentially through an auction, in the following order:  regulation-down, regulation-up, responsive reserves, and non-spinning reserves.</w:t>
      </w:r>
      <w:r>
        <w:rPr>
          <w:rStyle w:val="FootnoteCharacters"/>
          <w:rStyle w:val="FootnoteReference"/>
          <w:lang w:eastAsia="en-US"/>
        </w:rPr>
        <w:footnoteReference w:id="28"/>
      </w:r>
      <w:r>
        <w:rPr/>
        <w:t xml:space="preserve">  This requirement results in the possibility of price reversals, where the clearing prices for responsive reserves may exceed the clearing price for regulation-up (the higher grade service), or the clearing price for non-spinning reserves may exceed the clearing price for responsive reserves (the higher grade service).  Although some degree of price reversal may be justified by cost differentials in providing the different services, there is still the problem of “regret.”  Specifically, if a resource was selected for regulation-up because of its low bid price and it was paid the regulation-up market clearing price, that resource may have preferred to be selected for responsive reserves if the responsive reserves MCP turned out to be more attractive.  This creates an inequity where submitting an attractive bid for the early rounds may become a liability.  Such situations will create perverse incentives for resource entities to game the auction by misrepresenting cost or capability, which in turn can result in misallocation of resources and reliability problems due to artificial shortages of regulation-up or responsive reserve bids.  Therefore, ERCOT shall amend the Protocols such that it will procure ancillary services through use of simultaneous optimization for assignment of resources to A/S products, and will set prices for each ancillary service to the corresponding shadow price.</w:t>
      </w:r>
      <w:r>
        <w:rPr>
          <w:rStyle w:val="FootnoteCharacters"/>
          <w:rStyle w:val="FootnoteReference"/>
        </w:rPr>
        <w:footnoteReference w:id="29"/>
      </w:r>
    </w:p>
    <w:p>
      <w:pPr>
        <w:pStyle w:val="Normal"/>
        <w:spacing w:lineRule="auto" w:line="360"/>
        <w:ind w:firstLine="720" w:end="0"/>
        <w:rPr/>
      </w:pPr>
      <w:r>
        <w:rPr/>
        <w:t>The Protocols provide for selection of A/S bids in the day-ahead period as well as during the adjustment period for each operating hour, out of the same bid stack.  If no insufficiency condition is declared, then all the procured capacity for each ancillary service is settled at a single market clearing price for capacity (MCPC) for that service, which is based on the entire quantity procured in the day-ahead period as well as the adjustment period.  However, after day-ahead A/S bid selections are announced (at 13:30), QSEs are allowed to withdraw or modify unselected bids through the end of the adjustment period for each operating hour.  This creates a situation where suppliers selected in the day-ahead period may influence the MCPC that will be paid to their already selected bids by manipulating their unselected bids.  For instance, a QSE with a significant amount of responsive reserves bids selected in the day-ahead period will be motivated to gamble on the possibility that more responsive reserve capacity will be procured in the adjustment period by raising the bids for its unselected responsive reserves in an attempt to increase the MCPC for its already selected bids.  This perverse incentive can be neutralized by using a two settlement system, as used in PJM and New York.  Therefore, ERCOT shall amend the Protocols such that it will use a two settlement system for the procurement of ancillary services, whereby the day-ahead period procurements are settled at a MCPC for each ancillary service that is set at the time that the day-ahead selected A/S bids are announced (13:30).  A second MCPC for each A/S, determined at the end of the adjustment period, shall be used to settle any additional procurements of A/S capacity taking place during the adjustment period for each operating hour.  It is not feasible to implement this two settlement system on June 1, 2001, because of the impacts on ERCOT’s IT systems.  Therefore, until the implementation of the two settlement system, ERCOT shall amend the Protocols to use activity rules that allow only downward adjustment of prices for unselected A/S bids and allow unselected bids by a QSE to be withdrawn only in descending order of bid prices.  These activity rules should prevent an upward “push” on A/S MCPC after the day-ahead MCPC selection, and should complement the 80% rule in Protocols §6, which discourages withholding of offers to induce bid insufficiency.</w:t>
      </w:r>
      <w:r>
        <w:rPr>
          <w:rStyle w:val="FootnoteCharacters"/>
          <w:rStyle w:val="FootnoteReference"/>
        </w:rPr>
        <w:footnoteReference w:id="30"/>
      </w:r>
    </w:p>
    <w:p>
      <w:pPr>
        <w:pStyle w:val="Normal"/>
        <w:spacing w:lineRule="auto" w:line="360"/>
        <w:ind w:firstLine="720" w:end="0"/>
        <w:rPr/>
      </w:pPr>
      <w:r>
        <w:rPr/>
        <w:t>The Protocols allow QSEs to submit portfolio, rather than unit specific, bids, which enables QSEs to better optimize the use of their resources by allowing them to retain flexibility in unit commitment.  On the other hand, the uncertainty in QSE resource plans at the time of day</w:t>
        <w:softHyphen/>
        <w:t>-ahead A/S selection may result in higher cost to ERCOT, because the irreversibly selected A/S bids in the day-ahead period may end up in the wrong location from a system security perspective.  A compromise solution would be to allow ERCOT to make conditional selections of A/S bids, which would allow deselection based on location (but not based on price) after the QSE resource plans are published.  Therefore, ERCOT shall consider and report to the Commission whether A/S bids in the day-ahead period should be conditionally selected, with the option to deselect based on location after the QSE resource plans are published.</w:t>
      </w:r>
      <w:r>
        <w:rPr>
          <w:rStyle w:val="FootnoteCharacters"/>
          <w:rStyle w:val="FootnoteReference"/>
        </w:rPr>
        <w:footnoteReference w:id="31"/>
      </w:r>
    </w:p>
    <w:p>
      <w:pPr>
        <w:pStyle w:val="Normal"/>
        <w:spacing w:lineRule="auto" w:line="360"/>
        <w:ind w:firstLine="720" w:end="0"/>
        <w:rPr/>
      </w:pPr>
      <w:r>
        <w:rPr/>
        <w:t>Ancillary services are necessary to support the transmission of energy from resources to loads while maintaining the reliable operation of the grid.</w:t>
      </w:r>
      <w:r>
        <w:rPr>
          <w:rStyle w:val="FootnoteCharacters"/>
          <w:rStyle w:val="FootnoteReference"/>
        </w:rPr>
        <w:footnoteReference w:id="32"/>
      </w:r>
      <w:r>
        <w:rPr/>
        <w:t xml:space="preserve">  ERCOT will need to perform cost-benefit analyses, whether explicit or implicit, to determine appropriate amounts of ancillary services.  ERCOT shall therefore consider and report to the Commission whether a day-ahead period demand function for each ancillary service based on price should be developed, such that ERCOT would adjust the amount of A/S service procured day-ahead (as a percentage of forecasted need) as a function of price.</w:t>
      </w:r>
      <w:r>
        <w:rPr>
          <w:rStyle w:val="FootnoteCharacters"/>
          <w:rStyle w:val="FootnoteReference"/>
        </w:rPr>
        <w:footnoteReference w:id="33"/>
      </w:r>
    </w:p>
    <w:p>
      <w:pPr>
        <w:pStyle w:val="Heading3"/>
        <w:numPr>
          <w:ilvl w:val="0"/>
          <w:numId w:val="7"/>
        </w:numPr>
        <w:ind w:hanging="0" w:start="0"/>
        <w:rPr/>
      </w:pPr>
      <w:bookmarkStart w:id="5" w:name="__RefHeading___Toc511637900"/>
      <w:bookmarkEnd w:id="5"/>
      <w:r>
        <w:rPr/>
        <w:t>Eligibility to Provide Responsive Reserve Service</w:t>
      </w:r>
    </w:p>
    <w:p>
      <w:pPr>
        <w:pStyle w:val="Normal"/>
        <w:spacing w:lineRule="auto" w:line="360"/>
        <w:ind w:firstLine="720" w:end="0"/>
        <w:rPr/>
      </w:pPr>
      <w:r>
        <w:rPr/>
        <w:t>The Lower Colorado River Authority (LCRA) requests wording changes to the Protocols describing responsive reserve service, in order to allow hydroelectric resources to provide this service.  The effective exclusion in the Protocols of hydroelectric resources from providing responsive reserve service is apparently an oversight.</w:t>
      </w:r>
      <w:r>
        <w:rPr>
          <w:rStyle w:val="FootnoteCharacters"/>
          <w:rStyle w:val="FootnoteReference"/>
        </w:rPr>
        <w:footnoteReference w:id="34"/>
      </w:r>
      <w:r>
        <w:rPr/>
        <w:t xml:space="preserve">  Ordinarily, this type of issue should be addressed through the Protocol revision process.  However, due to the importance of this change and the availability of specific, unopposed language to implement this change, the Commission approves LCRA’s proposed wording changes in this Order, in order to ensure that hydroelectric resources can provide responsive reserves upon implementation of the Protocols, effective June 1, 2001.</w:t>
      </w:r>
    </w:p>
    <w:p>
      <w:pPr>
        <w:pStyle w:val="Heading3"/>
        <w:numPr>
          <w:ilvl w:val="0"/>
          <w:numId w:val="7"/>
        </w:numPr>
        <w:ind w:hanging="0" w:start="0"/>
        <w:rPr/>
      </w:pPr>
      <w:bookmarkStart w:id="6" w:name="__RefHeading___Toc511637901"/>
      <w:bookmarkEnd w:id="6"/>
      <w:r>
        <w:rPr/>
        <w:t>Market Solution</w:t>
      </w:r>
    </w:p>
    <w:p>
      <w:pPr>
        <w:pStyle w:val="Normal"/>
        <w:spacing w:lineRule="auto" w:line="360"/>
        <w:ind w:firstLine="720" w:end="0"/>
        <w:rPr/>
      </w:pPr>
      <w:r>
        <w:rPr/>
        <w:t>The Protocols generally require ERCOT to procure hourly ancillary service needs through a day-ahead competitive procurement process, by selecting bids in ascending order of price, with the highest priced bid selected determining the MCP paid to all selected bids.</w:t>
      </w:r>
      <w:r>
        <w:rPr>
          <w:rStyle w:val="FootnoteCharacters"/>
          <w:rStyle w:val="FootnoteReference"/>
        </w:rPr>
        <w:footnoteReference w:id="35"/>
      </w:r>
      <w:r>
        <w:rPr/>
        <w:t xml:space="preserve">  These ancillary services are generally procured ERCOT-wide or by congestion zone, depending on the particular service and whether congestion exists.</w:t>
      </w:r>
      <w:r>
        <w:rPr>
          <w:rStyle w:val="FootnoteCharacters"/>
          <w:rStyle w:val="FootnoteReference"/>
        </w:rPr>
        <w:footnoteReference w:id="36"/>
      </w:r>
      <w:r>
        <w:rPr/>
        <w:t xml:space="preserve">  In addition, in a situation where ERCOT must clear local congestion, it will use a competitive procurement process and pay the selected resources the resulting MCP, if a “market solution” exists.</w:t>
      </w:r>
    </w:p>
    <w:p>
      <w:pPr>
        <w:pStyle w:val="Normal"/>
        <w:spacing w:lineRule="auto" w:line="360"/>
        <w:ind w:firstLine="720" w:end="0"/>
        <w:rPr/>
      </w:pPr>
      <w:r>
        <w:rPr/>
        <w:t>Under the Protocols, a “Market Solution exists when at least three unaffiliated Resources have available capacity making them capable of submitting bids to ERCOT to solve a circumstance of local Congestion and no one bidder is essential to solving the Congestion.”</w:t>
      </w:r>
      <w:r>
        <w:rPr>
          <w:rStyle w:val="FootnoteCharacters"/>
          <w:rStyle w:val="FootnoteReference"/>
        </w:rPr>
        <w:footnoteReference w:id="37"/>
      </w:r>
      <w:r>
        <w:rPr/>
        <w:t xml:space="preserve">  Under this definition, a market solution could exist with only one bid, so long as two other unaffiliated resources are capable of submitting bids.  This definition does not provide adequate assurance that sufficient, active competition will exist when ERCOT uses market pricing to resolve local congestion.  To provide better assurance of sufficient, active competition, ERCOT shall amend the definition of market solution to require the actual submission of three bids from unaffiliated resources that have capacity available to solve the local congestion, with no one bidder essential to solve the congestion.</w:t>
      </w:r>
      <w:r>
        <w:rPr>
          <w:rStyle w:val="FootnoteCharacters"/>
          <w:rStyle w:val="FootnoteReference"/>
        </w:rPr>
        <w:footnoteReference w:id="38"/>
      </w:r>
    </w:p>
    <w:p>
      <w:pPr>
        <w:pStyle w:val="Normal"/>
        <w:spacing w:lineRule="auto" w:line="360"/>
        <w:ind w:firstLine="720" w:end="0"/>
        <w:rPr/>
      </w:pPr>
      <w:r>
        <w:rPr/>
        <w:t>No explanation was provided for why the requirement for, and use of, the market solution approach to pricing of ancillary services is not used for all ancillary services procured by ERCOT.</w:t>
      </w:r>
      <w:r>
        <w:rPr>
          <w:rStyle w:val="FootnoteCharacters"/>
          <w:rStyle w:val="FootnoteReference"/>
        </w:rPr>
        <w:footnoteReference w:id="39"/>
      </w:r>
      <w:r>
        <w:rPr/>
        <w:t xml:space="preserve">  Competitive pricing should be used where feasible, so long as the price is the result of sufficient, active competition.</w:t>
      </w:r>
      <w:r>
        <w:rPr>
          <w:rStyle w:val="FootnoteCharacters"/>
          <w:rStyle w:val="FootnoteReference"/>
        </w:rPr>
        <w:footnoteReference w:id="40"/>
      </w:r>
      <w:r>
        <w:rPr/>
        <w:t xml:space="preserve">  Therefore, ERCOT shall consider and report to the Commission on expanding the definition of market solution to apply to all circumstances in which ERCOT procures ancillary services.</w:t>
      </w:r>
    </w:p>
    <w:p>
      <w:pPr>
        <w:pStyle w:val="Heading3"/>
        <w:numPr>
          <w:ilvl w:val="0"/>
          <w:numId w:val="7"/>
        </w:numPr>
        <w:ind w:hanging="0" w:start="0"/>
        <w:rPr/>
      </w:pPr>
      <w:bookmarkStart w:id="7" w:name="__RefHeading___Toc511637902"/>
      <w:bookmarkEnd w:id="7"/>
      <w:r>
        <w:rPr/>
        <w:t>Out of Merit Order (OOM) Service</w:t>
      </w:r>
    </w:p>
    <w:p>
      <w:pPr>
        <w:pStyle w:val="Normal"/>
        <w:spacing w:lineRule="auto" w:line="360"/>
        <w:ind w:firstLine="720" w:end="0"/>
        <w:rPr/>
      </w:pPr>
      <w:r>
        <w:rPr/>
        <w:t>Protocols §6.8.2.1(3) provides a ratcheting down mechanism for out of merit order capacity (OOMC) payments.  The same concept can, and should, be applied to out of merit order energy (OOME) payments that are based on the 18,000 heat rate in Protocols §6.8.2.2(1)(a)(ii).</w:t>
      </w:r>
      <w:r>
        <w:rPr>
          <w:rStyle w:val="FootnoteCharacters"/>
          <w:rStyle w:val="FootnoteReference"/>
        </w:rPr>
        <w:footnoteReference w:id="41"/>
      </w:r>
      <w:r>
        <w:rPr/>
        <w:t xml:space="preserve">  ERCOT shall amend the Protocols accordingly.</w:t>
      </w:r>
    </w:p>
    <w:p>
      <w:pPr>
        <w:pStyle w:val="Heading3"/>
        <w:numPr>
          <w:ilvl w:val="0"/>
          <w:numId w:val="7"/>
        </w:numPr>
        <w:ind w:hanging="0" w:start="0"/>
        <w:rPr/>
      </w:pPr>
      <w:bookmarkStart w:id="8" w:name="__RefHeading___Toc511637903"/>
      <w:bookmarkEnd w:id="8"/>
      <w:r>
        <w:rPr/>
        <w:t>Reliability Must-Run Service</w:t>
      </w:r>
    </w:p>
    <w:p>
      <w:pPr>
        <w:pStyle w:val="Normal"/>
        <w:spacing w:lineRule="auto" w:line="360"/>
        <w:ind w:firstLine="720" w:end="0"/>
        <w:rPr/>
      </w:pPr>
      <w:r>
        <w:rPr/>
        <w:t>The Commission is concerned that the Protocols do not provide adequate incentives for generation entities to enter into reliability must-run (RMR) service contracts and, once a unit is covered by an RMR contract, that it will be efficiently utilized.</w:t>
      </w:r>
      <w:r>
        <w:rPr>
          <w:rStyle w:val="FootnoteCharacters"/>
          <w:rStyle w:val="FootnoteReference"/>
        </w:rPr>
        <w:footnoteReference w:id="42"/>
      </w:r>
      <w:r>
        <w:rPr/>
        <w:t xml:space="preserve">  Protocols §6.8.3.7(1) allows an RMR unit owner to retain 90% of the gross revenues from energy generated in excess of the amount that the unit is obligated to produce under its RMR contract.  However, a generation entity generally bases its decision to run its generation facility on whether the revenues resulting from running the facility would exceed the cost to run the unit; i.e., whether running the facility would produce net positive margins.  Tying an RMR unit owner’s compensation to a percentage of gross revenues may not produce the economically efficient outcome; i.e., it may not induce the owner to run the plant in all cases in which there would be net positive margins.  Therefore, ERCOT shall amend the Protocols to give an RMR unit owner the additional option of retaining 10% of net positive margins for energy generated in excess of the amount that the unit is obligated to produce under its RMR contract.  Tying the generation unit owner’s profit to 10% of net margins is consistent with the Commission’s treatment of off-system sales by electric utilities.</w:t>
      </w:r>
      <w:r>
        <w:rPr>
          <w:rStyle w:val="FootnoteCharacters"/>
          <w:rStyle w:val="FootnoteReference"/>
        </w:rPr>
        <w:footnoteReference w:id="43"/>
      </w:r>
      <w:r>
        <w:rPr/>
        <w:t xml:space="preserve">  An RMR unit owner shall be allowed to select one of the two options no more frequently than on a yearly basis, prior to the time in which the selected option will be in effect.  The Commission acknowledges that determination of margin is more difficult in a competitive regime that under regulation, and invites parties to propose similar mechanisms that are oriented to an economically efficient outcome.</w:t>
      </w:r>
    </w:p>
    <w:p>
      <w:pPr>
        <w:pStyle w:val="Heading3"/>
        <w:numPr>
          <w:ilvl w:val="0"/>
          <w:numId w:val="7"/>
        </w:numPr>
        <w:ind w:hanging="0" w:start="0"/>
        <w:rPr/>
      </w:pPr>
      <w:bookmarkStart w:id="9" w:name="__RefHeading___Toc511637904"/>
      <w:bookmarkEnd w:id="9"/>
      <w:r>
        <w:rPr/>
        <w:t>Uninstructed Deviations</w:t>
      </w:r>
    </w:p>
    <w:p>
      <w:pPr>
        <w:pStyle w:val="Normal"/>
        <w:spacing w:lineRule="auto" w:line="360"/>
        <w:ind w:firstLine="720" w:end="0"/>
        <w:rPr/>
      </w:pPr>
      <w:r>
        <w:rPr/>
        <w:t>Protocols §§4.6(5) and 6.7.1.1(9) require that ERCOT publish the balancing energy MCP (MCPE) approximately ten minutes prior to the applicable settlement interval.  The purpose of this ex ante posting of the MCPE is to allow market participants to respond to the price signal, through passive load response (reduction in loads to reduce exposure to a high MCPE) and good price chasing by generation resources (uninstructed increases in output in response to a high MCPE that result in a decreased need for regulation service).  Although Protocols §6.8.1.15 contains a method to discourage bad price chasing (uninstructed increases in output in response to a high MCPE that result in increased need for regulation service), the Commission believes that a better method exists.</w:t>
      </w:r>
      <w:r>
        <w:rPr>
          <w:rStyle w:val="FootnoteCharacters"/>
          <w:rStyle w:val="FootnoteReference"/>
        </w:rPr>
        <w:footnoteReference w:id="44"/>
      </w:r>
      <w:r>
        <w:rPr/>
        <w:t xml:space="preserve">  ERCOT shall amend the Protocols to apply the ex ante MCPE for balancing energy set ten minutes before the beginning of a settlement interval to all instructed deployment of balancing energy during the settlement interval (as currently provided by the Protocols); and use the second subsequent settlement interval ex post MCPE, which will be set five minutes after the end of the first settlement interval, for uninstructed deviations (including passive load response) during the first settlement interval.</w:t>
      </w:r>
      <w:r>
        <w:rPr>
          <w:rStyle w:val="FootnoteCharacters"/>
          <w:rStyle w:val="FootnoteReference"/>
        </w:rPr>
        <w:footnoteReference w:id="45"/>
      </w:r>
      <w:r>
        <w:rPr/>
        <w:t xml:space="preserve">  Upon implementation, this method of addressing price chasing shall supercede the method currently contained in the Protocols.</w:t>
      </w:r>
      <w:r>
        <w:rPr>
          <w:rStyle w:val="FootnoteCharacters"/>
          <w:rStyle w:val="FootnoteReference"/>
        </w:rPr>
        <w:footnoteReference w:id="46"/>
      </w:r>
      <w:r>
        <w:rPr/>
        <w:t xml:space="preserve">  However, the Commission recognizes the importance of ERCOT having adequate tools to ensure grid reliability.  Therefore, ERCOT may develop, if it deems it necessary, a “command-and-control” </w:t>
      </w:r>
      <w:r>
        <w:rPr>
          <w:lang w:eastAsia="en-US"/>
        </w:rPr>
        <w:t xml:space="preserve">“circuit breaker” or backstop that can be quickly invoked if the method in </w:t>
      </w:r>
      <w:r>
        <w:rPr/>
        <w:t>Protocols §6.8.1.15 or the one ordered by the Commission to discourage bad price chasing proves inadequate to ensure reliability.</w:t>
      </w:r>
    </w:p>
    <w:p>
      <w:pPr>
        <w:pStyle w:val="Heading3"/>
        <w:numPr>
          <w:ilvl w:val="0"/>
          <w:numId w:val="7"/>
        </w:numPr>
        <w:ind w:hanging="0" w:start="0"/>
        <w:rPr>
          <w:lang w:eastAsia="en-US"/>
        </w:rPr>
      </w:pPr>
      <w:bookmarkStart w:id="10" w:name="__RefHeading___Toc511637905"/>
      <w:bookmarkEnd w:id="10"/>
      <w:r>
        <w:rPr>
          <w:lang w:eastAsia="en-US"/>
        </w:rPr>
        <w:t>Bid Caps</w:t>
      </w:r>
    </w:p>
    <w:p>
      <w:pPr>
        <w:pStyle w:val="Header"/>
        <w:tabs>
          <w:tab w:val="clear" w:pos="4320"/>
          <w:tab w:val="clear" w:pos="8640"/>
        </w:tabs>
        <w:spacing w:lineRule="auto" w:line="360" w:before="120" w:after="120"/>
        <w:ind w:firstLine="720" w:end="0"/>
        <w:rPr/>
      </w:pPr>
      <w:r>
        <w:rPr>
          <w:lang w:eastAsia="en-US"/>
        </w:rPr>
        <w:t>During the transition to a fully competitive ERCOT market, the Commission finds that bid caps are a necessary “circuit breaker” or backstop against the possible exercise of market power by generation entities, for the short-term ancillary services markets operated by ERCOT.</w:t>
      </w:r>
      <w:r>
        <w:rPr>
          <w:rStyle w:val="FootnoteCharacters"/>
          <w:rStyle w:val="FootnoteReference"/>
          <w:lang w:eastAsia="en-US"/>
        </w:rPr>
        <w:footnoteReference w:id="47"/>
      </w:r>
      <w:r>
        <w:rPr>
          <w:lang w:eastAsia="en-US"/>
        </w:rPr>
        <w:t xml:space="preserve">  ERCOT shall therefore amend the Protocols to include a generation resource bid cap</w:t>
      </w:r>
      <w:r>
        <w:rPr>
          <w:rStyle w:val="FootnoteCharacters"/>
          <w:rStyle w:val="FootnoteReference"/>
          <w:lang w:eastAsia="en-US"/>
        </w:rPr>
        <w:footnoteReference w:id="48"/>
      </w:r>
      <w:r>
        <w:rPr>
          <w:lang w:eastAsia="en-US"/>
        </w:rPr>
        <w:t xml:space="preserve"> of $1,000 per megawatt-hour (MWh) for energy that it procures, so that it will not accept bids of more than $1,000 per MWh from generation resources.</w:t>
      </w:r>
      <w:r>
        <w:rPr>
          <w:rStyle w:val="FootnoteCharacters"/>
          <w:rStyle w:val="FootnoteReference"/>
          <w:lang w:eastAsia="en-US"/>
        </w:rPr>
        <w:footnoteReference w:id="49"/>
      </w:r>
      <w:r>
        <w:rPr>
          <w:lang w:eastAsia="en-US"/>
        </w:rPr>
        <w:t xml:space="preserve">  The bid cap does not apply to load resources; they may bid higher than $1,000 per MWh.  This bid cap was calculated by estimating the cost of a new simple cycle gas turbine and a high price for natural gas:  a fixed annual cost of $70,000/megawatt (MW)-year divided by 75 hours/year of operation plus a 12,000 heat rate multiplied by a $8/million British Thermal Units (mmBtu) gas price.</w:t>
      </w:r>
      <w:r>
        <w:rPr>
          <w:rStyle w:val="FootnoteCharacters"/>
          <w:rStyle w:val="FootnoteReference"/>
          <w:lang w:eastAsia="en-US"/>
        </w:rPr>
        <w:footnoteReference w:id="50"/>
      </w:r>
      <w:r>
        <w:rPr>
          <w:lang w:eastAsia="en-US"/>
        </w:rPr>
        <w:t xml:space="preserve">  This bid cap shall expire on July 4, 2003, because the Commission expects by that time any generation entity market power issues will have been better addressed through other means.</w:t>
      </w:r>
    </w:p>
    <w:p>
      <w:pPr>
        <w:pStyle w:val="Header"/>
        <w:tabs>
          <w:tab w:val="clear" w:pos="4320"/>
          <w:tab w:val="clear" w:pos="8640"/>
        </w:tabs>
        <w:spacing w:lineRule="auto" w:line="360" w:before="120" w:after="120"/>
        <w:ind w:firstLine="720" w:end="0"/>
        <w:rPr>
          <w:lang w:eastAsia="en-US"/>
        </w:rPr>
      </w:pPr>
      <w:r>
        <w:rPr>
          <w:lang w:eastAsia="en-US"/>
        </w:rPr>
        <w:t>In addition, ERCOT shall develop and submit to the Commission for possible approval a bid cap on capacity bids for generation resources offering to provide replacement reserve service.  ERCOT shall also consider and report to the Commission measures to avoid excessive capacity payments to load resources that are procured for replacement reserve service.</w:t>
      </w:r>
      <w:r>
        <w:rPr>
          <w:rStyle w:val="FootnoteCharacters"/>
          <w:rStyle w:val="FootnoteReference"/>
          <w:lang w:eastAsia="en-US"/>
        </w:rPr>
        <w:footnoteReference w:id="51"/>
      </w:r>
    </w:p>
    <w:p>
      <w:pPr>
        <w:pStyle w:val="Heading3"/>
        <w:numPr>
          <w:ilvl w:val="0"/>
          <w:numId w:val="7"/>
        </w:numPr>
        <w:ind w:hanging="0" w:start="0"/>
        <w:rPr/>
      </w:pPr>
      <w:bookmarkStart w:id="11" w:name="__RefHeading___Toc511637906"/>
      <w:bookmarkEnd w:id="11"/>
      <w:r>
        <w:rPr/>
        <w:t>Balanced Schedule Requirement</w:t>
      </w:r>
    </w:p>
    <w:p>
      <w:pPr>
        <w:pStyle w:val="Normal"/>
        <w:spacing w:lineRule="auto" w:line="360"/>
        <w:ind w:firstLine="720" w:end="0"/>
        <w:rPr/>
      </w:pPr>
      <w:r>
        <w:rPr/>
        <w:t>The Protocols require QSEs to submit balanced schedules for each settlement interval.</w:t>
      </w:r>
      <w:r>
        <w:rPr>
          <w:rStyle w:val="FootnoteCharacters"/>
          <w:rStyle w:val="FootnoteReference"/>
        </w:rPr>
        <w:footnoteReference w:id="52"/>
      </w:r>
      <w:r>
        <w:rPr/>
        <w:t xml:space="preserve">  The intent of this requirement is to preclude QSEs from relying on the ERCOT-administered balancing energy market as part of their resource portfolios, except to cover any underestimated energy needs.  The Commission intends to consider in September, 2001 the policy implications of the balanced schedule requirement, and whether the requirement should be relaxed or eliminated.  In addition, ERCOT shall consider and report on the technical implications of relaxing or eliminating the balanced schedule requirement.</w:t>
      </w:r>
    </w:p>
    <w:p>
      <w:pPr>
        <w:pStyle w:val="Heading2"/>
        <w:numPr>
          <w:ilvl w:val="0"/>
          <w:numId w:val="3"/>
        </w:numPr>
        <w:ind w:hanging="0" w:start="0"/>
        <w:rPr/>
      </w:pPr>
      <w:bookmarkStart w:id="12" w:name="__RefHeading___Toc511637907"/>
      <w:bookmarkEnd w:id="12"/>
      <w:r>
        <w:rPr/>
        <w:t>Congestion Management</w:t>
      </w:r>
    </w:p>
    <w:p>
      <w:pPr>
        <w:pStyle w:val="Heading3"/>
        <w:numPr>
          <w:ilvl w:val="0"/>
          <w:numId w:val="10"/>
        </w:numPr>
        <w:ind w:hanging="0" w:start="0"/>
        <w:rPr>
          <w:lang w:eastAsia="en-US"/>
        </w:rPr>
      </w:pPr>
      <w:bookmarkStart w:id="13" w:name="__RefHeading___Toc511637908"/>
      <w:bookmarkEnd w:id="13"/>
      <w:r>
        <w:rPr>
          <w:lang w:eastAsia="en-US"/>
        </w:rPr>
        <w:t>Potential for Gaming</w:t>
      </w:r>
    </w:p>
    <w:p>
      <w:pPr>
        <w:pStyle w:val="Header"/>
        <w:tabs>
          <w:tab w:val="clear" w:pos="4320"/>
          <w:tab w:val="clear" w:pos="8640"/>
        </w:tabs>
        <w:spacing w:lineRule="auto" w:line="360" w:before="120" w:after="120"/>
        <w:ind w:firstLine="720" w:end="0"/>
        <w:rPr>
          <w:lang w:eastAsia="en-US"/>
        </w:rPr>
      </w:pPr>
      <w:r>
        <w:rPr/>
        <w:t>A potential for gaming exists whenever there is a predictable gap between the model that is used for charging the causation of transmission congestion and the model that is used to compensate the relief of congestion, and the cost differential resulting from that gap is socialized.  In the case of interzonal congestion, such a gap will initially exist, because congestion charges will be based on a postage stamp (uplift) approach, while congestion relief will be compensated through payments for balancing energy and replacement reserves.  The problem will be partially mitigated after the conversion to a direct assignment of cost methodology.  As part of the direct assignment of cost methodology, the Protocols provide for the auctioning of transmission congestion rights (TCRs).</w:t>
      </w:r>
      <w:r>
        <w:rPr>
          <w:rStyle w:val="FootnoteCharacters"/>
          <w:rStyle w:val="FootnoteReference"/>
        </w:rPr>
        <w:footnoteReference w:id="53"/>
      </w:r>
      <w:r>
        <w:rPr/>
        <w:t xml:space="preserve">  Each TCR enables the holder to flow one megawatt across a particular commercially significant constraint (CSC), in a single direction, for one hour, and are therefore a hedge against congestion costs.</w:t>
      </w:r>
      <w:r>
        <w:rPr>
          <w:rStyle w:val="FootnoteCharacters"/>
          <w:rStyle w:val="FootnoteReference"/>
        </w:rPr>
        <w:footnoteReference w:id="54"/>
      </w:r>
      <w:r>
        <w:rPr/>
        <w:t xml:space="preserve">  Under the Protocols, the TCRs will be based on </w:t>
      </w:r>
      <w:r>
        <w:rPr>
          <w:lang w:eastAsia="en-US"/>
        </w:rPr>
        <w:t xml:space="preserve">forecasted </w:t>
      </w:r>
      <w:r>
        <w:rPr/>
        <w:t>shift factors,</w:t>
      </w:r>
      <w:r>
        <w:rPr>
          <w:rStyle w:val="FootnoteCharacters"/>
          <w:rStyle w:val="FootnoteReference"/>
        </w:rPr>
        <w:footnoteReference w:id="55"/>
      </w:r>
      <w:r>
        <w:rPr/>
        <w:t xml:space="preserve"> which are likely to be different from the operational (actual) shift factors corresponding to the CSC between the congestion zones.  To the extent that that difference is predictable, it can be gamed.  For example, a QSE</w:t>
      </w:r>
      <w:r>
        <w:rPr>
          <w:rStyle w:val="FootnoteCharacters"/>
          <w:rStyle w:val="FootnoteReference"/>
        </w:rPr>
        <w:footnoteReference w:id="56"/>
      </w:r>
      <w:r>
        <w:rPr/>
        <w:t xml:space="preserve"> operating in multiple zones might schedule its resources so as to benefit from relieving the congestion it creates.</w:t>
      </w:r>
      <w:r>
        <w:rPr>
          <w:rStyle w:val="FootnoteCharacters"/>
          <w:rStyle w:val="FootnoteReference"/>
        </w:rPr>
        <w:footnoteReference w:id="57"/>
      </w:r>
    </w:p>
    <w:p>
      <w:pPr>
        <w:pStyle w:val="Heading3"/>
        <w:numPr>
          <w:ilvl w:val="0"/>
          <w:numId w:val="7"/>
        </w:numPr>
        <w:ind w:hanging="0" w:start="0"/>
        <w:rPr>
          <w:lang w:eastAsia="en-US"/>
        </w:rPr>
      </w:pPr>
      <w:bookmarkStart w:id="14" w:name="__RefHeading___Toc511637909"/>
      <w:bookmarkEnd w:id="14"/>
      <w:r>
        <w:rPr>
          <w:lang w:eastAsia="en-US"/>
        </w:rPr>
        <w:t>Interzonal Congestion</w:t>
      </w:r>
    </w:p>
    <w:p>
      <w:pPr>
        <w:pStyle w:val="Header"/>
        <w:tabs>
          <w:tab w:val="clear" w:pos="4320"/>
          <w:tab w:val="clear" w:pos="8640"/>
        </w:tabs>
        <w:spacing w:lineRule="auto" w:line="360" w:before="120" w:after="120"/>
        <w:ind w:firstLine="720" w:end="0"/>
        <w:rPr>
          <w:lang w:eastAsia="en-US"/>
        </w:rPr>
      </w:pPr>
      <w:r>
        <w:rPr>
          <w:lang w:eastAsia="en-US"/>
        </w:rPr>
        <w:t>In order to reduce the potential for gaming of transmission congestion, ERCOT shall amend the Protocols to convert to direct assignment of interzonal congestion costs, and base direct assignment of interzonal congestion costs on an adjustable commercial model that employs operational shift factors on the CSCs.  In addition, ERCOT shall amend the Protocols to require it to publish advisory updates or forecasts of the shift factors corresponding to CSCs to reflect predicted operating conditions and contingencies.  ERCOT’s obligation to guarantee full zone-to-zone congestion cost insurance to those who acquire TCRs in proportions based on forecasted shift factors, shall be eliminated.</w:t>
      </w:r>
      <w:r>
        <w:rPr/>
        <w:t xml:space="preserve">  As a result, a TCR portfolio that provides a full hedge of interzonal congestion cost based on the forecasted shift factors will not guarantee a full hedge against the actual congestion charges, which will be based on the operational shift factors.  This discrepancy can be partially rectified by relying on secondary markets for TCRs, which will allow market participants to adjust their TCR portfolios so as to track the updated shift factors.  Such portfolio adjustments are common in the financial world and are offered as a service by index funds that continuously update their portfolios to track valuation changes in different stocks.  However, even with such adjustments, achieving “full cover” would be unrealistic and too expensive.  Thus, the full cover requirement for TCR holders (who are fully covered based on forecasted shift factors) should be relaxed; ERCOT should not be in the business of insuring transmission users against changes in shift factors.  The residual risk that holders of TCRs will have to absorb due to changes in shift factors is likely to be small.  However, attempting to insulate TCR holders from such residual risk by using an unrealistic model for congestion charges and TCR settlements would cause more harm than good.</w:t>
      </w:r>
      <w:r>
        <w:rPr>
          <w:rStyle w:val="FootnoteCharacters"/>
          <w:rStyle w:val="FootnoteReference"/>
          <w:lang w:eastAsia="en-US"/>
        </w:rPr>
        <w:footnoteReference w:id="58"/>
      </w:r>
    </w:p>
    <w:p>
      <w:pPr>
        <w:pStyle w:val="Header"/>
        <w:tabs>
          <w:tab w:val="clear" w:pos="4320"/>
          <w:tab w:val="clear" w:pos="8640"/>
        </w:tabs>
        <w:spacing w:lineRule="auto" w:line="360" w:before="120" w:after="120"/>
        <w:ind w:firstLine="720" w:end="0"/>
        <w:rPr>
          <w:lang w:eastAsia="en-US"/>
        </w:rPr>
      </w:pPr>
      <w:r>
        <w:rPr/>
        <w:t xml:space="preserve">Because the TCRs defined in the Protocols are financial in nature and do not enable their holders to withhold transmission capacity, they will not exacerbate market power problems.  A TCR system that allows market participants to hedge congestion costs enhances price predictability and facilitates trading.  However, the “use it or lose it” feature of these rights contained in the Protocols will result in inefficient use of the grid.  First, the requirement that a TCR can be exercised only if it is presented to ERCOT in support of a schedule imposes on ERCOT a horrendous monitoring problem.  In order to verify that the TCRs presented are legitimate, ERCOT would need to maintain a registration system and a large live database that would keep track of TCR transfers through secondary market trading.  Because TCRs can be broken into small MW increments and change hands hour by hour, maintaining and updating such a database would be a nontrivial and expensive undertaking.  Second, the “use it or lose it” feature may lead to inefficient transactions aimed at realizing some value of otherwise lost TCRs.  For example, consider the owner of TCRs that turn out to provide cover against a $10/MW congestion cost on a CSC.  That value reflects the cost of counterflow on that CSC.  If the owner of the TCR uses the transmission capacity to support a transaction that only nets him $5/MW, he may cut back that transaction and sell the TCR instead.  However, if such a bilateral TCR trade cannot be consummated in time, he would prefer to exercise the otherwise worthless TCR, gaining $5/MW and forcing ERCOT to buy counterflow at $10/MW.  That inefficient allocation of the grid capacity would have been prevented if the TCR were defined as a financial instrument whose owner is entitled to receive its value independent of use.  Decoupling the TCR settlement from scheduling would also relieve ERCOT from the need to register TCR transfers.  TCRs defined as directional financial flowgate rights entitle their owner to receive remuneration that equals the number of TCR megawatts held times the shadow price on the corresponding directional flowgate.  A holder of 100 MW of TCRs on a CSC in a particular direction who also induces 100MW of flow will be fully hedged, because the congestion payment that equals the shadow price on the flowgate times 100 MW is offset by the TCR revenue.  Therefore, </w:t>
      </w:r>
      <w:r>
        <w:rPr>
          <w:lang w:eastAsia="en-US"/>
        </w:rPr>
        <w:t>ERCOT shall amend the Protocols to define TCRs (in units of megawatts) as pure financial instruments entitling their holders to the shadow prices on directional flowgate constraints; the “use it or lose it” rule shall be eliminated.</w:t>
      </w:r>
      <w:r>
        <w:rPr>
          <w:rStyle w:val="FootnoteCharacters"/>
          <w:rStyle w:val="FootnoteReference"/>
          <w:lang w:eastAsia="en-US"/>
        </w:rPr>
        <w:footnoteReference w:id="59"/>
      </w:r>
    </w:p>
    <w:p>
      <w:pPr>
        <w:pStyle w:val="Header"/>
        <w:tabs>
          <w:tab w:val="clear" w:pos="4320"/>
          <w:tab w:val="clear" w:pos="8640"/>
        </w:tabs>
        <w:spacing w:lineRule="auto" w:line="360" w:before="120" w:after="120"/>
        <w:ind w:firstLine="720" w:end="0"/>
        <w:rPr/>
      </w:pPr>
      <w:r>
        <w:rPr/>
        <w:t>The Protocols call for a multipart auction for TCR sales.  Although multi-round ascending auctions have been used successfully in the context of the spectrum auction for personal communications services (PCS), that use was justified by the highly combinatorial nature of the spectrum auction.  In the TCR context, a single round combinatorial auction is more appropriate.  Bids can take the form of price-quantity pairs for TCR portfolios (in specified proportions) or single TCRs.  And, additional logical constraints (such as either-or or if-then, etc.) can be specified by the bidders.  The awards can be determined by simultaneous optimization that selects the winning bids so as to maximize revealed social value.  This optimization will produce a shadow price for each CSC that equals the marginal value of TCRs on that CSC derived from the submitted bids and the availability constraints.  The price for each TCR should then be set to the corresponding shadow price on the CSC and bids for TCRs that do not beat the TCR price on the specified CSC should be rejected, while all accepted bids pay the corresponding shadow price.  Therefore, ERCOT shall amend the Protocols to provide for a simultaneous combinatorial auction (instead of a multi-round auction) for selling TCRs.</w:t>
      </w:r>
      <w:r>
        <w:rPr>
          <w:rStyle w:val="FootnoteCharacters"/>
          <w:rStyle w:val="FootnoteReference"/>
        </w:rPr>
        <w:footnoteReference w:id="60"/>
      </w:r>
    </w:p>
    <w:p>
      <w:pPr>
        <w:pStyle w:val="Header"/>
        <w:tabs>
          <w:tab w:val="clear" w:pos="4320"/>
          <w:tab w:val="clear" w:pos="8640"/>
        </w:tabs>
        <w:spacing w:lineRule="auto" w:line="360" w:before="120" w:after="120"/>
        <w:ind w:firstLine="720" w:end="0"/>
        <w:rPr/>
      </w:pPr>
      <w:r>
        <w:rPr>
          <w:lang w:eastAsia="en-US"/>
        </w:rPr>
        <w:t>Under Protocols §7.5.4.4, a municipally owned utility (MOU) or electric cooperative that owns or has a long-term (greater than five years) contractual commitment for annual capacity and energy from a specific “remote” generation resource, and that commitment was entered into prior to September 1, 1999, is eligible for preassigned TCRs.  The preassigned TCRs extend three years after the MOU or cooperative institutes customer choice or the effective date of the removal of federal private use act restrictions that may be applicable to specific generation resources.  The cost of the preassigned TCRs is a flat rate that is equal to the annual average of the entity’s load ratio share of the total ERCOT redispatch costs for planned transactions for the years 1997-99.  The preassigned TCRs are to be sufficient to shield the entity from any direct-assigned congestion costs associated with transmitting the output of the remote resource to the entity’s native load.  The concept of preassigning TCRs to MOUs and cooperatives that fall within the scope of Protocols §7.5.4.4 appears reasonable.  However, ERCOT and the parties supporting Protocols §7.5.4.4 provided inadequate support for the specific provisions in Protocols §7.5.4.4.</w:t>
      </w:r>
      <w:r>
        <w:rPr>
          <w:rStyle w:val="FootnoteCharacters"/>
          <w:rStyle w:val="FootnoteReference"/>
          <w:lang w:eastAsia="en-US"/>
        </w:rPr>
        <w:footnoteReference w:id="61"/>
      </w:r>
      <w:r>
        <w:rPr>
          <w:lang w:eastAsia="en-US"/>
        </w:rPr>
        <w:t xml:space="preserve">  Preassigning TCRs reduces the amount of TCRs that are available to other market participants through the TCR auctions and, given the low cost specified in Protocols §7.5.4.4 for the preassigned TCRs,</w:t>
      </w:r>
      <w:r>
        <w:rPr>
          <w:rStyle w:val="FootnoteCharacters"/>
          <w:rStyle w:val="FootnoteReference"/>
          <w:lang w:eastAsia="en-US"/>
        </w:rPr>
        <w:footnoteReference w:id="62"/>
      </w:r>
      <w:r>
        <w:rPr>
          <w:lang w:eastAsia="en-US"/>
        </w:rPr>
        <w:t xml:space="preserve"> increases the congestion costs borne by other market participants.  Although the Commission approves Protocols §7.5.4.4 at this time, ERCOT shall revise this subsection to state that preassigned TCRs are subject to change or elimination at any time, upon ERCOT Board of Directors approval or Commission order.  In addition, ERCOT shall submit to the Commission a complete justification for each of the terms and conditions of the preassigned TCRs.</w:t>
      </w:r>
      <w:r>
        <w:rPr/>
        <w:t xml:space="preserve">  ERCOT shall submit a list of market participants that will receive preassigned TCRs, along with the specific rights that each will receive and the cost that each will pay.  ERCOT shall also provide a complete justification for not having all preassigned TCRs expire after a specified term (e.g., ten years) and for extending the grandfathered TCRs beyond the date a cooperative or MOU institutes customer choice; and a complete justification for the quantification of the cost of the preassigned TCRs, including a complete justification for why the cost of the preassigned TCRs should not escalate over time, given that they could potentially be held for many years.</w:t>
      </w:r>
    </w:p>
    <w:p>
      <w:pPr>
        <w:pStyle w:val="Heading3"/>
        <w:numPr>
          <w:ilvl w:val="0"/>
          <w:numId w:val="7"/>
        </w:numPr>
        <w:ind w:hanging="0" w:start="0"/>
        <w:rPr/>
      </w:pPr>
      <w:bookmarkStart w:id="15" w:name="__RefHeading___Toc511637910"/>
      <w:bookmarkEnd w:id="15"/>
      <w:r>
        <w:rPr/>
        <w:t>Intrazonal Congestion</w:t>
      </w:r>
    </w:p>
    <w:p>
      <w:pPr>
        <w:pStyle w:val="Header"/>
        <w:tabs>
          <w:tab w:val="clear" w:pos="4320"/>
          <w:tab w:val="clear" w:pos="8640"/>
        </w:tabs>
        <w:spacing w:lineRule="auto" w:line="360" w:before="120" w:after="120"/>
        <w:ind w:firstLine="720" w:end="0"/>
        <w:rPr>
          <w:lang w:eastAsia="en-US"/>
        </w:rPr>
      </w:pPr>
      <w:r>
        <w:rPr>
          <w:lang w:eastAsia="en-US"/>
        </w:rPr>
        <w:t>In order to reduce the potential for gaming of transmission congestion, ERCOT shall amend the Protocols to require direct assignment of intrazonal congestion management costs, through a usage fee that is based on the flow on the congested intrazonal interface.  The usage fee shall be set to the operational shadow price on the congested intrazonal interface.  The usage fee shall apply to the generation resources that cause the congestion.  The net revenues resulting from the usage fee shall be distributed, or credited against uplift charges, on a load-ratio basis within the zone in which the congested intrazonal interface is located, or used to fund construction of transmission facilities.</w:t>
      </w:r>
      <w:r>
        <w:rPr>
          <w:rStyle w:val="FootnoteCharacters"/>
          <w:rStyle w:val="FootnoteReference"/>
          <w:lang w:eastAsia="en-US"/>
        </w:rPr>
        <w:footnoteReference w:id="63"/>
      </w:r>
    </w:p>
    <w:p>
      <w:pPr>
        <w:pStyle w:val="Header"/>
        <w:tabs>
          <w:tab w:val="clear" w:pos="4320"/>
          <w:tab w:val="clear" w:pos="8640"/>
        </w:tabs>
        <w:spacing w:lineRule="auto" w:line="360" w:before="120" w:after="120"/>
        <w:ind w:firstLine="720" w:end="0"/>
        <w:rPr>
          <w:lang w:eastAsia="en-US"/>
        </w:rPr>
      </w:pPr>
      <w:r>
        <w:rPr/>
        <w:t>Under the Protocols, interzonal congestion will be cleared through the deployment of balancing energy service by congestion zone.</w:t>
      </w:r>
      <w:r>
        <w:rPr>
          <w:rStyle w:val="FootnoteCharacters"/>
          <w:rStyle w:val="FootnoteReference"/>
        </w:rPr>
        <w:footnoteReference w:id="64"/>
      </w:r>
      <w:r>
        <w:rPr/>
        <w:t xml:space="preserve">  However, local congestion will be cleared through the deployment of specific resources.  Thus, ERCOT should have the ability to determine the impact of specific resources on specific constraints.</w:t>
      </w:r>
      <w:r>
        <w:rPr>
          <w:rStyle w:val="FootnoteCharacters"/>
          <w:rStyle w:val="FootnoteReference"/>
        </w:rPr>
        <w:footnoteReference w:id="65"/>
      </w:r>
      <w:r>
        <w:rPr/>
        <w:t xml:space="preserve">  Therefore, for intrazonal congestion, ERCOT should be able to apply the usage fee ordered by the Commission to specific resources by using this resource-specific information.  However, to the extent that doing so proves infeasible under the zonal, portfolio-based model embodied in the Protocols, ERCOT shall promptly notify the Commission, so that the Commission can promptly consider ordering the implementation of other alternative congestion management methods, particularly locational marginal pricing.</w:t>
      </w:r>
      <w:r>
        <w:rPr>
          <w:rStyle w:val="FootnoteCharacters"/>
          <w:rStyle w:val="FootnoteReference"/>
        </w:rPr>
        <w:footnoteReference w:id="66"/>
      </w:r>
    </w:p>
    <w:p>
      <w:pPr>
        <w:pStyle w:val="Header"/>
        <w:tabs>
          <w:tab w:val="clear" w:pos="4320"/>
          <w:tab w:val="clear" w:pos="8640"/>
        </w:tabs>
        <w:spacing w:lineRule="auto" w:line="360" w:before="120" w:after="120"/>
        <w:ind w:firstLine="720" w:end="0"/>
        <w:rPr/>
      </w:pPr>
      <w:r>
        <w:rPr>
          <w:lang w:eastAsia="en-US"/>
        </w:rPr>
        <w:t>ERCOT shall also revise the equation</w:t>
      </w:r>
      <w:r>
        <w:rPr/>
        <w:t xml:space="preserve"> in Protocols §6.8.2.2(4) so that OOME payments offset imbalance payments for instructed decrements, in order to reduce the potential for gaming where there is no market solution and MCPE is negative.</w:t>
      </w:r>
      <w:r>
        <w:rPr>
          <w:rStyle w:val="FootnoteCharacters"/>
          <w:rStyle w:val="FootnoteReference"/>
        </w:rPr>
        <w:footnoteReference w:id="67"/>
      </w:r>
    </w:p>
    <w:p>
      <w:pPr>
        <w:pStyle w:val="Heading2"/>
        <w:numPr>
          <w:ilvl w:val="0"/>
          <w:numId w:val="3"/>
        </w:numPr>
        <w:ind w:hanging="0" w:start="0"/>
        <w:rPr/>
      </w:pPr>
      <w:bookmarkStart w:id="16" w:name="__RefHeading___Toc511637911"/>
      <w:bookmarkEnd w:id="16"/>
      <w:r>
        <w:rPr/>
        <w:t>Load Participation in the ERCOT Markets</w:t>
      </w:r>
    </w:p>
    <w:p>
      <w:pPr>
        <w:pStyle w:val="Header"/>
        <w:tabs>
          <w:tab w:val="clear" w:pos="4320"/>
          <w:tab w:val="clear" w:pos="8640"/>
        </w:tabs>
        <w:spacing w:lineRule="auto" w:line="360" w:before="120" w:after="120"/>
        <w:ind w:firstLine="720" w:end="0"/>
        <w:rPr/>
      </w:pPr>
      <w:r>
        <w:rPr/>
        <w:t>Prior to this docket, including the workshop held on September 22, 2000 in Project No. 21079, the Commission has expressed great interest in opportunities for load resource participation in the ERCOT ancillary services markets.  The Commission commends the stakeholders for the strides that they have made in this regard.  However, the Commission is not satisfied that the Protocols sufficiently allow load resources to participate in the restructured ERCOT markets.  At the Commission’s workshop held in this docket on February 15, 2001, stakeholders agreed that robust load participation in the markets is a key element in well functioning competitive electricity markets.  Historically, ERCOT has had relatively high load resource participation in its markets.  The Commission wants to ensure not only that the load resources that have historically participated in the markets have reasonable opportunities to continue to participate, but also that a framework is established for even greater participation by load resources in the future.</w:t>
      </w:r>
    </w:p>
    <w:p>
      <w:pPr>
        <w:pStyle w:val="Header"/>
        <w:tabs>
          <w:tab w:val="clear" w:pos="4320"/>
          <w:tab w:val="clear" w:pos="8640"/>
        </w:tabs>
        <w:spacing w:lineRule="auto" w:line="360" w:before="120" w:after="120"/>
        <w:ind w:firstLine="720" w:end="0"/>
        <w:rPr/>
      </w:pPr>
      <w:r>
        <w:rPr/>
        <w:t>The Protocols that address load participation in the markets are adopted at this time.  However, ERCOT shall develop additional measures and refine existing measures, to enable load resources a greater opportunity to participate in the ERCOT markets.  As many of these measures as possible should take effect by January 1, 2002, because existing Commission-approved tariffs addressing load resource participation in the markets will expire this year.</w:t>
      </w:r>
    </w:p>
    <w:p>
      <w:pPr>
        <w:pStyle w:val="Header"/>
        <w:tabs>
          <w:tab w:val="clear" w:pos="4320"/>
          <w:tab w:val="clear" w:pos="8640"/>
        </w:tabs>
        <w:spacing w:lineRule="auto" w:line="360" w:before="120" w:after="120"/>
        <w:ind w:firstLine="720" w:end="0"/>
        <w:rPr/>
      </w:pPr>
      <w:r>
        <w:rPr/>
        <w:t>The ancillary services Protocols were initially designed specifically to accommodate generation resources’ participation in the ancillary services market.  In response to the Commission’s concern that these Protocols did not adequately accommodate load resources, the Protocols were modified to better accommodate load resources, within the ancillary services framework that was specifically designed for generation resources.  This is reflected in the Protocols’ requirement that load resources respond to ERCOT instructions “in a similar manner” to generation resources.</w:t>
      </w:r>
      <w:r>
        <w:rPr>
          <w:rStyle w:val="FootnoteCharacters"/>
          <w:rStyle w:val="FootnoteReference"/>
        </w:rPr>
        <w:footnoteReference w:id="68"/>
      </w:r>
      <w:r>
        <w:rPr/>
        <w:t xml:space="preserve">  The Commission is concerned that designing the markets for generation resources and requiring load resources to generally adhere to Protocols that were designed for generation resources, may unreasonably limit load resources’ participation in the ERCOT ancillary services markets.  In addition, to the extent that these “act like a generator” requirements can be overcome by load resources through pairing with generation resources, the Commission is concerned that such pairing could cause unnecessary market concentration.</w:t>
      </w:r>
      <w:r>
        <w:rPr>
          <w:rStyle w:val="FootnoteCharacters"/>
          <w:rStyle w:val="FootnoteReference"/>
        </w:rPr>
        <w:footnoteReference w:id="69"/>
      </w:r>
    </w:p>
    <w:p>
      <w:pPr>
        <w:pStyle w:val="Header"/>
        <w:tabs>
          <w:tab w:val="clear" w:pos="4320"/>
          <w:tab w:val="clear" w:pos="8640"/>
        </w:tabs>
        <w:spacing w:lineRule="auto" w:line="360" w:before="120" w:after="120"/>
        <w:ind w:firstLine="720" w:end="0"/>
        <w:rPr/>
      </w:pPr>
      <w:r>
        <w:rPr/>
        <w:t>In improving load resources’ ability to participate in the ancillary services markets, ERCOT should consider hiring an independent expert on load participation in competitive electricity markets to aid its efforts.  In addition, ERCOT should consider creating a new standing subcommittee or work group dedicated to addressing load resource issues, in order that load resources can cost effectively participate in addressing issues that affect them.</w:t>
      </w:r>
      <w:r>
        <w:rPr>
          <w:rStyle w:val="FootnoteCharacters"/>
          <w:rStyle w:val="FootnoteReference"/>
        </w:rPr>
        <w:footnoteReference w:id="70"/>
      </w:r>
    </w:p>
    <w:p>
      <w:pPr>
        <w:pStyle w:val="Header"/>
        <w:tabs>
          <w:tab w:val="clear" w:pos="4320"/>
          <w:tab w:val="clear" w:pos="8640"/>
        </w:tabs>
        <w:spacing w:lineRule="auto" w:line="360" w:before="120" w:after="120"/>
        <w:ind w:firstLine="720" w:end="0"/>
        <w:rPr/>
      </w:pPr>
      <w:r>
        <w:rPr/>
        <w:t>Electricity competition experts unanimously agree that, in the long run, the key to fully achieving the benefits of electric competition is customer/load responsiveness to price signals.  The Commission recognizes that there is a limit to what can be accomplished to achieve load responsiveness between now and the beginning of retail customer choice on January 1, 2002.  However, as stated above, the Commission fully expects ERCOT to aggressively and thoroughly review and change the wholesale market design embodied in the Protocols to encourage load resource participation and “passive” load response as much as reasonably possible, with as many of the design changes as possible implemented by January 1, 2002.  With a wholesale market design in place that is receptive to active and passive load participation, there will be a solid platform to move forward with competitive and regulatory retail initiatives to increase load responsiveness.</w:t>
      </w:r>
    </w:p>
    <w:p>
      <w:pPr>
        <w:pStyle w:val="Header"/>
        <w:tabs>
          <w:tab w:val="clear" w:pos="4320"/>
          <w:tab w:val="clear" w:pos="8640"/>
        </w:tabs>
        <w:spacing w:lineRule="auto" w:line="360" w:before="120" w:after="120"/>
        <w:ind w:firstLine="720" w:end="0"/>
        <w:rPr/>
      </w:pPr>
      <w:r>
        <w:rPr/>
        <w:t>The Protocols require that all retail customers that have a peak demand greater than 1 MW or that are served at transmission voltage (essentially, non-price to beat customers),</w:t>
      </w:r>
      <w:r>
        <w:rPr>
          <w:rStyle w:val="FootnoteCharacters"/>
          <w:rStyle w:val="FootnoteReference"/>
        </w:rPr>
        <w:footnoteReference w:id="71"/>
      </w:r>
      <w:r>
        <w:rPr/>
        <w:t xml:space="preserve"> and that are served by a transmission and/or distribution service provider (TDSP) that provides retail customer choice, be metered using interval data recorders (IDRs).</w:t>
      </w:r>
      <w:r>
        <w:rPr>
          <w:rStyle w:val="FootnoteCharacters"/>
          <w:rStyle w:val="FootnoteReference"/>
        </w:rPr>
        <w:footnoteReference w:id="72"/>
      </w:r>
      <w:r>
        <w:rPr/>
        <w:t xml:space="preserve">  IDRs are meters that measure consumption in each 15-minute settlement interval.</w:t>
      </w:r>
      <w:r>
        <w:rPr>
          <w:rStyle w:val="FootnoteCharacters"/>
          <w:rStyle w:val="FootnoteReference"/>
        </w:rPr>
        <w:footnoteReference w:id="73"/>
      </w:r>
      <w:r>
        <w:rPr/>
        <w:t xml:space="preserve">  Therefore, competitive retailers that serve IDR-metered customers have the capability and incentive to offer real-time pricing to these large customers.  The Commission expects that the forces of competition will rapidly and fully exploit this capability to send accurate price signals to these industrial and large commercial customers.</w:t>
      </w:r>
      <w:r>
        <w:rPr>
          <w:rStyle w:val="FootnoteCharacters"/>
          <w:rStyle w:val="FootnoteReference"/>
        </w:rPr>
        <w:footnoteReference w:id="74"/>
      </w:r>
    </w:p>
    <w:p>
      <w:pPr>
        <w:pStyle w:val="Header"/>
        <w:tabs>
          <w:tab w:val="clear" w:pos="4320"/>
          <w:tab w:val="clear" w:pos="8640"/>
        </w:tabs>
        <w:spacing w:lineRule="auto" w:line="360" w:before="120" w:after="120"/>
        <w:ind w:firstLine="720" w:end="0"/>
        <w:rPr/>
      </w:pPr>
      <w:r>
        <w:rPr/>
        <w:t>The Commission sees two basic methods to increase the price responsiveness of small commercial and residential customers:  (1) creation of new load profiles for customers without real-time metering who modify their usage to reduce electricity costs; and, (2) longer term, the deployment of IDR or real-time meters to small commercial and residential customers.  With respect to the first method, the Protocols provide the platform for time-of-use (TOU) pricing and direct load control programs.  TOU pricing requires TOU meters, which are defined as programmable electronic devices that are capable of measuring and recording electric energy in pre-specified time periods which, for load profiling purposes, are deemed to exclude IDRs.</w:t>
      </w:r>
      <w:r>
        <w:rPr>
          <w:rStyle w:val="FootnoteCharacters"/>
          <w:rStyle w:val="FootnoteReference"/>
        </w:rPr>
        <w:footnoteReference w:id="75"/>
      </w:r>
      <w:r>
        <w:rPr/>
        <w:t xml:space="preserve">  A typical TOU rate provides different prices for on-peak, off-peak, and shoulder periods.</w:t>
      </w:r>
      <w:r>
        <w:rPr>
          <w:rStyle w:val="FootnoteCharacters"/>
          <w:rStyle w:val="FootnoteReference"/>
        </w:rPr>
        <w:footnoteReference w:id="76"/>
      </w:r>
    </w:p>
    <w:p>
      <w:pPr>
        <w:pStyle w:val="Header"/>
        <w:tabs>
          <w:tab w:val="clear" w:pos="4320"/>
          <w:tab w:val="clear" w:pos="8640"/>
        </w:tabs>
        <w:spacing w:lineRule="auto" w:line="360" w:before="120" w:after="120"/>
        <w:ind w:firstLine="720" w:end="0"/>
        <w:rPr/>
      </w:pPr>
      <w:r>
        <w:rPr/>
        <w:t>Metering will remain a regulated service, provided by TDSPs, for small commercial customers, as well as large commercial and industrial customers, until January 1, 2004.</w:t>
      </w:r>
      <w:r>
        <w:rPr>
          <w:rStyle w:val="FootnoteCharacters"/>
          <w:rStyle w:val="FootnoteReference"/>
        </w:rPr>
        <w:footnoteReference w:id="77"/>
      </w:r>
      <w:r>
        <w:rPr/>
        <w:t xml:space="preserve">  For residential customers, metering will remain a regulated service provided by TDSPs until at least September 1, 2005.</w:t>
      </w:r>
      <w:r>
        <w:rPr>
          <w:rStyle w:val="FootnoteCharacters"/>
          <w:rStyle w:val="FootnoteReference"/>
        </w:rPr>
        <w:footnoteReference w:id="78"/>
      </w:r>
      <w:r>
        <w:rPr/>
        <w:t xml:space="preserve">  Thus, in the next few years, TDSPs will have a role to play in increasing load responsiveness, which the Protocols recognize.  The Protocols provide that all competitive retailers will be able to offer a TOU schedule associated with a TOU tariff that was in effect before December 31, 2000, in the TDSP service area in which the TOU tariff was offered.</w:t>
      </w:r>
      <w:r>
        <w:rPr>
          <w:rStyle w:val="FootnoteCharacters"/>
          <w:rStyle w:val="FootnoteReference"/>
        </w:rPr>
        <w:footnoteReference w:id="79"/>
      </w:r>
      <w:r>
        <w:rPr/>
        <w:t xml:space="preserve">  Protocols §18.7.1.4(2) goes on to state that, within each TDSP service area, additional TOU schedules can be developed based on agreement between the TDSP and the requesting competitive retailer.  This Protocols section shall be revised to state that, for TDSPs regulated by the Commission, additional TOU schedules shall be implemented upon approval by the Commission.  This revision recognizes that these TDSPs’ conduct with respect to TOU schedules is regulated by the Commission.  Direct Commission oversight of this area will enable the Commission to encourage the further development of TOU pricing and provide an avenue for competitive retailers to resolve any disputes that they have with these TDSPs concerning TOU schedules.</w:t>
      </w:r>
      <w:r>
        <w:rPr>
          <w:rStyle w:val="FootnoteCharacters"/>
          <w:rStyle w:val="FootnoteReference"/>
        </w:rPr>
        <w:footnoteReference w:id="80"/>
      </w:r>
    </w:p>
    <w:p>
      <w:pPr>
        <w:pStyle w:val="Header"/>
        <w:tabs>
          <w:tab w:val="clear" w:pos="4320"/>
          <w:tab w:val="clear" w:pos="8640"/>
        </w:tabs>
        <w:spacing w:lineRule="auto" w:line="360" w:before="120" w:after="120"/>
        <w:ind w:firstLine="720" w:end="0"/>
        <w:rPr/>
      </w:pPr>
      <w:r>
        <w:rPr/>
        <w:t xml:space="preserve">Protocols §18.4.4.1 states that TDSPs </w:t>
      </w:r>
      <w:r>
        <w:rPr>
          <w:i/>
        </w:rPr>
        <w:t>may</w:t>
      </w:r>
      <w:r>
        <w:rPr/>
        <w:t xml:space="preserve"> be required to change the assignment of load profile types or weather zones based on the outcome of disputes filed by competitive retailers.  ERCOT shall revise this provision to clarify that a TDSP </w:t>
      </w:r>
      <w:r>
        <w:rPr>
          <w:i/>
        </w:rPr>
        <w:t>shall</w:t>
      </w:r>
      <w:r>
        <w:rPr/>
        <w:t xml:space="preserve"> change the assignment of a load profile based on the outcome of a dispute in favor of a competitive retailer.</w:t>
      </w:r>
      <w:r>
        <w:rPr>
          <w:rStyle w:val="FootnoteCharacters"/>
          <w:rStyle w:val="FootnoteReference"/>
        </w:rPr>
        <w:footnoteReference w:id="81"/>
      </w:r>
    </w:p>
    <w:p>
      <w:pPr>
        <w:pStyle w:val="Header"/>
        <w:tabs>
          <w:tab w:val="clear" w:pos="4320"/>
          <w:tab w:val="clear" w:pos="8640"/>
        </w:tabs>
        <w:spacing w:lineRule="auto" w:line="360" w:before="120" w:after="120"/>
        <w:ind w:firstLine="720" w:end="0"/>
        <w:rPr/>
      </w:pPr>
      <w:r>
        <w:rPr/>
        <w:t>In the long term, increased small commercial and residential load responsiveness can be best achieved through deployment of real-time metering for these customers.  Deployment costs for these meters continue to drop, and the Commission consequently welcomes suggestions from any interested party on how to cost effectively deploy real-time meters.</w:t>
      </w:r>
    </w:p>
    <w:p>
      <w:pPr>
        <w:pStyle w:val="Heading2"/>
        <w:numPr>
          <w:ilvl w:val="0"/>
          <w:numId w:val="3"/>
        </w:numPr>
        <w:ind w:hanging="0" w:start="0"/>
        <w:rPr/>
      </w:pPr>
      <w:bookmarkStart w:id="17" w:name="__RefHeading___Toc511637912"/>
      <w:bookmarkEnd w:id="17"/>
      <w:r>
        <w:rPr/>
        <w:t>Reserve Margin</w:t>
      </w:r>
    </w:p>
    <w:p>
      <w:pPr>
        <w:pStyle w:val="Header"/>
        <w:tabs>
          <w:tab w:val="clear" w:pos="4320"/>
          <w:tab w:val="clear" w:pos="8640"/>
        </w:tabs>
        <w:spacing w:lineRule="auto" w:line="360" w:before="120" w:after="120"/>
        <w:ind w:firstLine="720" w:end="0"/>
        <w:rPr>
          <w:lang w:eastAsia="en-US"/>
        </w:rPr>
      </w:pPr>
      <w:r>
        <w:rPr>
          <w:lang w:eastAsia="en-US"/>
        </w:rPr>
        <w:t>Historically, the Commission and ERCOT have required that each load serving entity maintain a reserve margin (planning reserve) of at least 15 percent of its forecasted demand.  The importance of maintaining an adequate reserve margin cannot be overstated.  The Commission notes that the current competitive wholesale market in ERCOT has led to a healthy reserve margin (25 percent over forecasted firm demand for summer, 2001), and is interested in relying on market forces to the maximum extent possible.  However, given lead times for planning and construction of new supply sources, it is important to consider the appropriate long-term incentive to maintain a sufficient reserve margin.  ERCOT has already identified this issue and will conduct studies to determine the reserve margin level that will be adequate in ERCOT in the future.  However, the Commission will address fundamental policy issues up front.  The Commission must decide whether the adequacy of reserve margins should be left to market forces, or whether other means should be created to help ensure a minimum reserve margin and, if so, what means should be used.  Therefore, the Commission intends to consider these policy issues later this year.  ERCOT shall continue its efforts to determine an appropriate reserve margin, and shall be prepared to implement a reserve margin method if one is imposed by the Commission.</w:t>
      </w:r>
      <w:r>
        <w:rPr>
          <w:rStyle w:val="FootnoteCharacters"/>
          <w:rStyle w:val="FootnoteReference"/>
          <w:lang w:eastAsia="en-US"/>
        </w:rPr>
        <w:footnoteReference w:id="82"/>
      </w:r>
    </w:p>
    <w:p>
      <w:pPr>
        <w:pStyle w:val="Heading2"/>
        <w:numPr>
          <w:ilvl w:val="0"/>
          <w:numId w:val="3"/>
        </w:numPr>
        <w:ind w:hanging="0" w:start="0"/>
        <w:rPr>
          <w:lang w:eastAsia="en-US"/>
        </w:rPr>
      </w:pPr>
      <w:bookmarkStart w:id="18" w:name="__RefHeading___Toc511637913"/>
      <w:bookmarkEnd w:id="18"/>
      <w:r>
        <w:rPr>
          <w:lang w:eastAsia="en-US"/>
        </w:rPr>
        <w:t>Qualifying Facilities</w:t>
      </w:r>
    </w:p>
    <w:p>
      <w:pPr>
        <w:pStyle w:val="Header"/>
        <w:tabs>
          <w:tab w:val="clear" w:pos="4320"/>
          <w:tab w:val="clear" w:pos="8640"/>
        </w:tabs>
        <w:spacing w:lineRule="auto" w:line="360" w:before="120" w:after="120"/>
        <w:ind w:firstLine="720" w:end="0"/>
        <w:rPr>
          <w:lang w:eastAsia="en-US"/>
        </w:rPr>
      </w:pPr>
      <w:r>
        <w:rPr>
          <w:lang w:eastAsia="en-US"/>
        </w:rPr>
        <w:t xml:space="preserve">The Protocols will provide all generation resources, including qualifying facilities, full, non-discriminatory access to the competitive energy and ancillary services markets.  While balancing energy is currently exclusively provided by control area utilities, under the Protocols ERCOT will operate a single control area and all generation resources, regardless of ownership, will have an opportunity to provide balancing energy service, as well as other ancillary services, to ERCOT on a nondiscriminatory basis.  In addition, electric utility tariffs that address the purchase of power from qualifying facilities remain in effect until January 1, 2002.  Upon the implementation of retail customer choice on January 1, 2002 and the corresponding complete deregulation of generation resources currently owned by electric utilities, the “playing field” to supply power will be sufficiently level that distinguishing qualifying facilities from other generation resources will no longer be necessary.  As a result, the Commission has petitioned the Federal Energy Regulatory Commission for an express waiver of special requirements pertaining to qualifying facilities.  </w:t>
      </w:r>
      <w:r>
        <w:rPr>
          <w:i/>
          <w:lang w:eastAsia="en-US"/>
        </w:rPr>
        <w:t>Petition of the Public Utility Commission of Texas for Waiver of Commission Rules pursuant to 18 CFR Part 292, Subpart C</w:t>
      </w:r>
      <w:r>
        <w:rPr>
          <w:lang w:eastAsia="en-US"/>
        </w:rPr>
        <w:t>, Docket No. EL01-60-000.</w:t>
      </w:r>
      <w:r>
        <w:rPr>
          <w:rStyle w:val="FootnoteCharacters"/>
          <w:rStyle w:val="FootnoteReference"/>
          <w:lang w:eastAsia="en-US"/>
        </w:rPr>
        <w:footnoteReference w:id="83"/>
      </w:r>
    </w:p>
    <w:p>
      <w:pPr>
        <w:pStyle w:val="Heading2"/>
        <w:numPr>
          <w:ilvl w:val="0"/>
          <w:numId w:val="3"/>
        </w:numPr>
        <w:ind w:hanging="0" w:start="0"/>
        <w:rPr>
          <w:lang w:eastAsia="en-US"/>
        </w:rPr>
      </w:pPr>
      <w:bookmarkStart w:id="19" w:name="__RefHeading___Toc511637914"/>
      <w:bookmarkEnd w:id="19"/>
      <w:r>
        <w:rPr>
          <w:lang w:eastAsia="en-US"/>
        </w:rPr>
        <w:t>Federal Resources</w:t>
      </w:r>
    </w:p>
    <w:p>
      <w:pPr>
        <w:pStyle w:val="Header"/>
        <w:tabs>
          <w:tab w:val="clear" w:pos="4320"/>
          <w:tab w:val="clear" w:pos="8640"/>
        </w:tabs>
        <w:spacing w:lineRule="auto" w:line="360" w:before="120" w:after="120"/>
        <w:ind w:firstLine="720" w:end="0"/>
        <w:rPr/>
      </w:pPr>
      <w:r>
        <w:rPr>
          <w:lang w:eastAsia="en-US"/>
        </w:rPr>
        <w:t>Tex-La Electric Cooperative of Texas, Inc. stated that a federal agency that sells power in ERCOT has been reluctant to provide the standard generation resource information to ERCOT and sign the standard resource entity agreement with ERCOT, due to sovereignty concerns.</w:t>
      </w:r>
      <w:r>
        <w:rPr>
          <w:rStyle w:val="FootnoteCharacters"/>
          <w:rStyle w:val="FootnoteReference"/>
          <w:lang w:eastAsia="en-US"/>
        </w:rPr>
        <w:footnoteReference w:id="84"/>
      </w:r>
      <w:r>
        <w:rPr>
          <w:lang w:eastAsia="en-US"/>
        </w:rPr>
        <w:t xml:space="preserve">  Therefore, ERCOT shall revise the Protocols to the extent necessary to address issues specific to federal resources.</w:t>
      </w:r>
    </w:p>
    <w:p>
      <w:pPr>
        <w:pStyle w:val="Heading2"/>
        <w:numPr>
          <w:ilvl w:val="0"/>
          <w:numId w:val="3"/>
        </w:numPr>
        <w:ind w:hanging="0" w:start="0"/>
        <w:rPr>
          <w:lang w:eastAsia="en-US"/>
        </w:rPr>
      </w:pPr>
      <w:bookmarkStart w:id="20" w:name="__RefHeading___Toc511637915"/>
      <w:bookmarkEnd w:id="20"/>
      <w:r>
        <w:rPr>
          <w:lang w:eastAsia="en-US"/>
        </w:rPr>
        <w:t>Renewable Energy</w:t>
      </w:r>
    </w:p>
    <w:p>
      <w:pPr>
        <w:pStyle w:val="Header"/>
        <w:tabs>
          <w:tab w:val="clear" w:pos="4320"/>
          <w:tab w:val="clear" w:pos="8640"/>
        </w:tabs>
        <w:spacing w:lineRule="auto" w:line="360" w:before="120" w:after="120"/>
        <w:ind w:firstLine="720" w:end="0"/>
        <w:rPr>
          <w:lang w:eastAsia="en-US"/>
        </w:rPr>
      </w:pPr>
      <w:r>
        <w:rPr>
          <w:lang w:eastAsia="en-US"/>
        </w:rPr>
        <w:t>Protocols §14 was completed in a Commission project,</w:t>
      </w:r>
      <w:r>
        <w:rPr>
          <w:rStyle w:val="FootnoteCharacters"/>
          <w:rStyle w:val="FootnoteReference"/>
          <w:lang w:eastAsia="en-US"/>
        </w:rPr>
        <w:footnoteReference w:id="85"/>
      </w:r>
      <w:r>
        <w:rPr>
          <w:lang w:eastAsia="en-US"/>
        </w:rPr>
        <w:t xml:space="preserve"> and implements the renewable energy credit (REC) trading program prescribed by P.U.C. </w:t>
      </w:r>
      <w:r>
        <w:rPr>
          <w:smallCaps/>
          <w:lang w:eastAsia="en-US"/>
        </w:rPr>
        <w:t>Subst.</w:t>
      </w:r>
      <w:r>
        <w:rPr>
          <w:lang w:eastAsia="en-US"/>
        </w:rPr>
        <w:t xml:space="preserve"> R. 25.173.  In </w:t>
      </w:r>
      <w:r>
        <w:rPr/>
        <w:t xml:space="preserve">Project No. 22816, </w:t>
      </w:r>
      <w:r>
        <w:rPr>
          <w:i/>
        </w:rPr>
        <w:t>PUC Rulemaking Proceeding to Develop Standards for the Labeling of Electricity with Respect to Fuel Mix and Air Emissions</w:t>
      </w:r>
      <w:r>
        <w:rPr/>
        <w:t xml:space="preserve">, the Commission has proposed P.U.C. </w:t>
      </w:r>
      <w:r>
        <w:rPr>
          <w:smallCaps/>
        </w:rPr>
        <w:t>Subst.</w:t>
      </w:r>
      <w:r>
        <w:rPr/>
        <w:t xml:space="preserve"> R. 25.476, which among other things would permit, for existing renewable resources, the acquisition of certificates of generation in lieu of REC offsets provided for in P.U.C. </w:t>
      </w:r>
      <w:r>
        <w:rPr>
          <w:smallCaps/>
        </w:rPr>
        <w:t>Subst.</w:t>
      </w:r>
      <w:r>
        <w:rPr/>
        <w:t xml:space="preserve"> R. 25.173 and Protocols §14.  In order to give the Commission and interested entities an opportunity to consider the interplay between REC offsets and certificates of generation, the Commission severed Protocols §14 from this docket and placed it into </w:t>
      </w:r>
      <w:r>
        <w:rPr>
          <w:i/>
        </w:rPr>
        <w:t>ERCOT Proceeding to Consider Protocols Section 14 (Severed from Docket No. 23220),</w:t>
      </w:r>
      <w:r>
        <w:rPr/>
        <w:t xml:space="preserve"> Docket No. 23802.</w:t>
      </w:r>
      <w:r>
        <w:rPr>
          <w:rStyle w:val="FootnoteCharacters"/>
          <w:rStyle w:val="FootnoteReference"/>
        </w:rPr>
        <w:footnoteReference w:id="86"/>
      </w:r>
    </w:p>
    <w:p>
      <w:pPr>
        <w:pStyle w:val="Heading2"/>
        <w:numPr>
          <w:ilvl w:val="0"/>
          <w:numId w:val="3"/>
        </w:numPr>
        <w:ind w:hanging="0" w:start="0"/>
        <w:rPr>
          <w:lang w:eastAsia="en-US"/>
        </w:rPr>
      </w:pPr>
      <w:bookmarkStart w:id="21" w:name="__RefHeading___Toc511637916"/>
      <w:bookmarkEnd w:id="21"/>
      <w:r>
        <w:rPr>
          <w:lang w:eastAsia="en-US"/>
        </w:rPr>
        <w:t>Surety Bond to Meet Creditworthiness Requirements</w:t>
      </w:r>
    </w:p>
    <w:p>
      <w:pPr>
        <w:pStyle w:val="Header"/>
        <w:tabs>
          <w:tab w:val="clear" w:pos="4320"/>
          <w:tab w:val="clear" w:pos="8640"/>
        </w:tabs>
        <w:spacing w:lineRule="auto" w:line="360" w:before="120" w:after="120"/>
        <w:ind w:firstLine="720" w:end="0"/>
        <w:rPr>
          <w:lang w:eastAsia="en-US"/>
        </w:rPr>
      </w:pPr>
      <w:r>
        <w:rPr>
          <w:lang w:eastAsia="en-US"/>
        </w:rPr>
        <w:t>The parties are in agreement that posting a surety bond is an appropriate method for a QSE to meet creditworthiness requirements.  Therefore, ERCOT shall amend the Protocols to permit this option.</w:t>
      </w:r>
      <w:r>
        <w:rPr>
          <w:rStyle w:val="FootnoteCharacters"/>
          <w:rStyle w:val="FootnoteReference"/>
          <w:lang w:eastAsia="en-US"/>
        </w:rPr>
        <w:footnoteReference w:id="87"/>
      </w:r>
    </w:p>
    <w:p>
      <w:pPr>
        <w:pStyle w:val="Heading2"/>
        <w:numPr>
          <w:ilvl w:val="0"/>
          <w:numId w:val="3"/>
        </w:numPr>
        <w:ind w:hanging="0" w:start="0"/>
        <w:rPr>
          <w:lang w:eastAsia="en-US"/>
        </w:rPr>
      </w:pPr>
      <w:bookmarkStart w:id="22" w:name="__RefHeading___Toc511637917"/>
      <w:bookmarkEnd w:id="22"/>
      <w:r>
        <w:rPr>
          <w:lang w:eastAsia="en-US"/>
        </w:rPr>
        <w:t>Retail Customer Registration</w:t>
      </w:r>
    </w:p>
    <w:p>
      <w:pPr>
        <w:pStyle w:val="Header"/>
        <w:tabs>
          <w:tab w:val="clear" w:pos="4320"/>
          <w:tab w:val="clear" w:pos="8640"/>
        </w:tabs>
        <w:spacing w:lineRule="auto" w:line="360" w:before="120" w:after="120"/>
        <w:ind w:firstLine="720" w:end="0"/>
        <w:rPr/>
      </w:pPr>
      <w:r>
        <w:rPr>
          <w:lang w:eastAsia="en-US"/>
        </w:rPr>
        <w:t xml:space="preserve">Fundamental to the success of the impending, competitive retail market in Texas is a system whereby retail customers can promptly and efficiently switch competitive retailers.  As part of its petition in this docket, ERCOT requested to be designated the registration agent for Texas pursuant to P.U.C. </w:t>
      </w:r>
      <w:r>
        <w:rPr>
          <w:smallCaps/>
          <w:lang w:eastAsia="en-US"/>
        </w:rPr>
        <w:t>Subst.</w:t>
      </w:r>
      <w:r>
        <w:rPr>
          <w:lang w:eastAsia="en-US"/>
        </w:rPr>
        <w:t xml:space="preserve"> R. 25.471(d)(11), including the areas outside of ERCOT.</w:t>
      </w:r>
      <w:r>
        <w:rPr>
          <w:rStyle w:val="FootnoteCharacters"/>
          <w:rStyle w:val="FootnoteReference"/>
          <w:lang w:eastAsia="en-US"/>
        </w:rPr>
        <w:footnoteReference w:id="88"/>
      </w:r>
      <w:r>
        <w:rPr>
          <w:lang w:eastAsia="en-US"/>
        </w:rPr>
        <w:t xml:space="preserve">  No party objected to this request.  The Commission previously approved ERCOT as the registration agent for the ERCOT power region, by certifying ERCOT pursuant to PURA §§39.151(a)(3) and (c) as the</w:t>
      </w:r>
      <w:r>
        <w:rPr/>
        <w:t xml:space="preserve"> independent organization for the ERCOT power region to ensure that information relating to a customer’s choice of competitive retailer is conveyed in a timely manner to the entities who need that information.</w:t>
      </w:r>
      <w:r>
        <w:rPr>
          <w:rStyle w:val="FootnoteCharacters"/>
          <w:rStyle w:val="FootnoteReference"/>
        </w:rPr>
        <w:footnoteReference w:id="89"/>
      </w:r>
      <w:r>
        <w:rPr/>
        <w:t xml:space="preserve">  </w:t>
      </w:r>
      <w:r>
        <w:rPr>
          <w:lang w:eastAsia="en-US"/>
        </w:rPr>
        <w:t>ERCOT’s request in the current proceeding for certification as the independent organization to ensure that information relating to a customer’s choice of competitive retailer is conveyed in a timely manner to the entities who need that information, for the areas in Texas outside of the ERCOT power region, is approved pursuant to PURA §§39.151(a)(3) and (c).  Many states that have implemented retail competition rely on the TDSPs to serve as the registration agents for their respective service areas.  The Commission believes that having a single registration agent for the entire state of Texas will be more effective and efficient than having numerous TDSP registration agents.</w:t>
      </w:r>
    </w:p>
    <w:p>
      <w:pPr>
        <w:pStyle w:val="Header"/>
        <w:tabs>
          <w:tab w:val="clear" w:pos="4320"/>
          <w:tab w:val="clear" w:pos="8640"/>
        </w:tabs>
        <w:spacing w:lineRule="auto" w:line="360" w:before="120" w:after="120"/>
        <w:ind w:firstLine="720" w:end="0"/>
        <w:rPr>
          <w:lang w:eastAsia="en-US"/>
        </w:rPr>
      </w:pPr>
      <w:r>
        <w:rPr>
          <w:lang w:eastAsia="en-US"/>
        </w:rPr>
        <w:t>As the registration agent, ERCOT will serve as a central clearinghouse and administrator of the information and processes necessary to effectuate retail customer switches.  Although the TDSPs will not be registration agents, they nevertheless will provide services essential to effectuating switches, including meter read and other customer data.  TDSP customer switch performance standards are necessary to ensure prompt customer switching.</w:t>
      </w:r>
      <w:r>
        <w:rPr>
          <w:rStyle w:val="FootnoteCharacters"/>
          <w:rStyle w:val="FootnoteReference"/>
          <w:lang w:eastAsia="en-US"/>
        </w:rPr>
        <w:footnoteReference w:id="90"/>
      </w:r>
      <w:r>
        <w:rPr>
          <w:lang w:eastAsia="en-US"/>
        </w:rPr>
        <w:t xml:space="preserve">  Although ERCOT’s functions include enforcing operating standards to ensure ERCOT grid reliability, ERCOT’s functions do not include enforcing TDSP customer switch performance standards.  Instead, the Commission will enforce these standards, through its Substantive Rules and the standardized Tariff for Retail Delivery Service.</w:t>
      </w:r>
      <w:r>
        <w:rPr>
          <w:rStyle w:val="FootnoteCharacters"/>
          <w:rStyle w:val="FootnoteReference"/>
          <w:lang w:eastAsia="en-US"/>
        </w:rPr>
        <w:footnoteReference w:id="91"/>
      </w:r>
      <w:r>
        <w:rPr>
          <w:lang w:eastAsia="en-US"/>
        </w:rPr>
        <w:t xml:space="preserve">  In order to facilitate the Commission’s enforcement of these standards, ERCOT shall amend the Protocols to require that it immediately notify the Commission and the affected competitive retailers if a TDSP fails to meet its customer switch responsibilities under the Protocols.  In addition, ERCOT shall amend Protocols §11.1.10 to clarify that the deadlines for the interim manual switching process are the same as those for the automated process.</w:t>
      </w:r>
      <w:r>
        <w:rPr>
          <w:rStyle w:val="FootnoteCharacters"/>
          <w:rStyle w:val="FootnoteReference"/>
          <w:lang w:eastAsia="en-US"/>
        </w:rPr>
        <w:footnoteReference w:id="92"/>
      </w:r>
      <w:r>
        <w:rPr>
          <w:lang w:eastAsia="en-US"/>
        </w:rPr>
        <w:t xml:space="preserve">  Also, ERCOT shall amend the Protocols to include a reasonable deadline for it to provide meter-read data to competitive retailers for the interim period before the system vendor can ensure meeting deadlines.</w:t>
      </w:r>
      <w:r>
        <w:rPr>
          <w:rStyle w:val="FootnoteCharacters"/>
          <w:rStyle w:val="FootnoteReference"/>
          <w:lang w:eastAsia="en-US"/>
        </w:rPr>
        <w:footnoteReference w:id="93"/>
      </w:r>
    </w:p>
    <w:p>
      <w:pPr>
        <w:pStyle w:val="Header"/>
        <w:tabs>
          <w:tab w:val="clear" w:pos="4320"/>
          <w:tab w:val="clear" w:pos="8640"/>
        </w:tabs>
        <w:spacing w:lineRule="auto" w:line="360" w:before="120" w:after="120"/>
        <w:ind w:firstLine="720" w:end="0"/>
        <w:rPr/>
      </w:pPr>
      <w:r>
        <w:rPr>
          <w:lang w:eastAsia="en-US"/>
        </w:rPr>
        <w:t>Independent Marketers made further suggestions as to how Protocols §15 could be improved to better meet their needs.</w:t>
      </w:r>
      <w:r>
        <w:rPr>
          <w:rStyle w:val="FootnoteCharacters"/>
          <w:rStyle w:val="FootnoteReference"/>
          <w:lang w:eastAsia="en-US"/>
        </w:rPr>
        <w:footnoteReference w:id="94"/>
      </w:r>
      <w:r>
        <w:rPr>
          <w:lang w:eastAsia="en-US"/>
        </w:rPr>
        <w:t xml:space="preserve">  In order that the implications of implementing these suggestions can be fully considered, Independent Marketers should work with the applicable ERCOT work groups and submit a Protocol revision request to ERCOT.  If Independent Marketers are dissatisfied with ERCOT’s decision on their request, they can appeal the decision to the Commission, pursuant to Protocols §21.4.9.</w:t>
      </w:r>
    </w:p>
    <w:p>
      <w:pPr>
        <w:pStyle w:val="Heading2"/>
        <w:numPr>
          <w:ilvl w:val="0"/>
          <w:numId w:val="3"/>
        </w:numPr>
        <w:ind w:hanging="0" w:start="0"/>
        <w:rPr>
          <w:lang w:eastAsia="en-US"/>
        </w:rPr>
      </w:pPr>
      <w:bookmarkStart w:id="23" w:name="__RefHeading___Toc511637918"/>
      <w:bookmarkEnd w:id="23"/>
      <w:r>
        <w:rPr>
          <w:lang w:eastAsia="en-US"/>
        </w:rPr>
        <w:t>ERCOT Fees and Charges</w:t>
      </w:r>
    </w:p>
    <w:p>
      <w:pPr>
        <w:pStyle w:val="Header"/>
        <w:tabs>
          <w:tab w:val="clear" w:pos="4320"/>
          <w:tab w:val="clear" w:pos="8640"/>
        </w:tabs>
        <w:spacing w:lineRule="auto" w:line="360" w:before="120" w:after="120"/>
        <w:ind w:firstLine="720" w:end="0"/>
        <w:rPr/>
      </w:pPr>
      <w:r>
        <w:rPr/>
        <w:t xml:space="preserve">Pursuant to PURA §39.151(e), the Commission must ensure that ERCOT’s fees and charges are reasonable and competitively neutral.  Therefore, Protocols §9, Settlement and Billing, is approved on an interim basis, subject to refund or surcharge, with the exception of §9.7.2, but is severed and consolidated with </w:t>
      </w:r>
      <w:r>
        <w:rPr>
          <w:i/>
        </w:rPr>
        <w:t>Petition of ERCOT for Approval of the ERCOT Administrative Fee</w:t>
      </w:r>
      <w:r>
        <w:rPr/>
        <w:t>, Docket No. 23320, for final review, in order that the Commission can assure that the fees and charges in this section are reasonable and competitively neutral.  The fees, as currently contemplated, may place too much burden and risks on renewable energy generators and new competitive retailers.</w:t>
      </w:r>
      <w:r>
        <w:rPr>
          <w:rStyle w:val="FootnoteCharacters"/>
          <w:rStyle w:val="FootnoteReference"/>
        </w:rPr>
        <w:footnoteReference w:id="95"/>
      </w:r>
      <w:r>
        <w:rPr/>
        <w:t xml:space="preserve">  ERCOT’s request to impose a REC fee, pursuant to Protocols §9.7.2, is denied until such time as this issue can be considered further in Docket No. 23320, because the relatively large fee contemplated by ERCOT may have a significant, adverse impact during the time it takes the Commission to set a final fee for the REC trading program.</w:t>
      </w:r>
      <w:r>
        <w:rPr>
          <w:rStyle w:val="FootnoteCharacters"/>
          <w:rStyle w:val="FootnoteReference"/>
        </w:rPr>
        <w:footnoteReference w:id="96"/>
      </w:r>
      <w:r>
        <w:rPr/>
        <w:t xml:space="preserve">  Therefore, ERCOT shall delete the provisions of Protocols §9.7.2 at this time, subject to reinsertion in Docket No. 23320.</w:t>
      </w:r>
    </w:p>
    <w:p>
      <w:pPr>
        <w:pStyle w:val="Header"/>
        <w:tabs>
          <w:tab w:val="clear" w:pos="4320"/>
          <w:tab w:val="clear" w:pos="8640"/>
        </w:tabs>
        <w:spacing w:lineRule="auto" w:line="360" w:before="120" w:after="120"/>
        <w:ind w:firstLine="720" w:end="0"/>
        <w:rPr/>
      </w:pPr>
      <w:r>
        <w:rPr/>
        <w:t>Protocols §9.5.2 requires that a statement or invoice recipient initiate any dispute within ten business days from the issuance of the disputed settlement statement or invoice.  Independent Marketers assert that this deadline is too short, and state that other retail markets provide substantially more time to initiate a dispute.</w:t>
      </w:r>
      <w:r>
        <w:rPr>
          <w:rStyle w:val="FootnoteCharacters"/>
          <w:rStyle w:val="FootnoteReference"/>
        </w:rPr>
        <w:footnoteReference w:id="97"/>
      </w:r>
      <w:r>
        <w:rPr/>
        <w:t xml:space="preserve">  The Commission is concerned that this ten-day deadline is too short and will serve as an unnecessary barrier to entry.  This issue should be further addressed in Docket No. 23320.</w:t>
      </w:r>
    </w:p>
    <w:p>
      <w:pPr>
        <w:pStyle w:val="Header"/>
        <w:tabs>
          <w:tab w:val="clear" w:pos="4320"/>
          <w:tab w:val="clear" w:pos="8640"/>
        </w:tabs>
        <w:spacing w:lineRule="auto" w:line="360" w:before="120" w:after="120"/>
        <w:ind w:firstLine="720" w:end="0"/>
        <w:rPr/>
      </w:pPr>
      <w:r>
        <w:rPr/>
        <w:t xml:space="preserve">Protocols §9.5.5 states that an entity may </w:t>
      </w:r>
      <w:r>
        <w:rPr>
          <w:i/>
        </w:rPr>
        <w:t>dispute</w:t>
      </w:r>
      <w:r>
        <w:rPr/>
        <w:t xml:space="preserve"> a decision only if it </w:t>
      </w:r>
      <w:r>
        <w:rPr>
          <w:i/>
        </w:rPr>
        <w:t>proves</w:t>
      </w:r>
      <w:r>
        <w:rPr/>
        <w:t xml:space="preserve"> that the decision violates the Protocols.  This is an unachievable standard for initiating a dispute.  Therefore, ERCOT shall revise Protocols §9.5.5 to change “proven” to “alleged.”</w:t>
      </w:r>
      <w:r>
        <w:rPr>
          <w:rStyle w:val="FootnoteCharacters"/>
          <w:rStyle w:val="FootnoteReference"/>
        </w:rPr>
        <w:footnoteReference w:id="98"/>
      </w:r>
    </w:p>
    <w:p>
      <w:pPr>
        <w:pStyle w:val="Header"/>
        <w:tabs>
          <w:tab w:val="clear" w:pos="4320"/>
          <w:tab w:val="clear" w:pos="8640"/>
        </w:tabs>
        <w:spacing w:lineRule="auto" w:line="360" w:before="120" w:after="120"/>
        <w:ind w:firstLine="720" w:end="0"/>
        <w:rPr>
          <w:lang w:eastAsia="en-US"/>
        </w:rPr>
      </w:pPr>
      <w:r>
        <w:rPr/>
        <w:t>Protocols §7.3.3.1 provides for a system congestion fund fee that ERCOT will use to pay for CSC congestion management costs.  In addition, Protocols §§7.4.2 and 7.4.3 address how ERCOT will recover local congestion management costs.  As with the fees in Protocols §9, the Commission must ensure that ERCOT recovers its congestion management costs in a reasonable and competitively neutral manner, pursuant to PURA §39.151(e).</w:t>
      </w:r>
      <w:r>
        <w:rPr>
          <w:rStyle w:val="FootnoteCharacters"/>
          <w:rStyle w:val="FootnoteReference"/>
        </w:rPr>
        <w:footnoteReference w:id="99"/>
      </w:r>
      <w:r>
        <w:rPr/>
        <w:t xml:space="preserve">  Therefore, Protocols §§7.3.3.1, 7.4.2 and 7.4.3 are approved on an interim basis, subject to refund or surcharge, but are severed and consolidated with </w:t>
      </w:r>
      <w:r>
        <w:rPr>
          <w:i/>
        </w:rPr>
        <w:t>Petition of ERCOT for Approval of the ERCOT Administrative Fee</w:t>
      </w:r>
      <w:r>
        <w:rPr/>
        <w:t>, Docket No. 23320 for final review.</w:t>
      </w:r>
    </w:p>
    <w:p>
      <w:pPr>
        <w:pStyle w:val="Heading1"/>
        <w:ind w:hanging="0" w:start="0"/>
        <w:rPr/>
      </w:pPr>
      <w:bookmarkStart w:id="24" w:name="__RefHeading___Toc511637919"/>
      <w:bookmarkEnd w:id="24"/>
      <w:r>
        <w:rPr/>
        <w:t>Findings of Fact and Conclusion of Law</w:t>
      </w:r>
    </w:p>
    <w:p>
      <w:pPr>
        <w:pStyle w:val="Header"/>
        <w:tabs>
          <w:tab w:val="clear" w:pos="4320"/>
          <w:tab w:val="clear" w:pos="8640"/>
        </w:tabs>
        <w:spacing w:lineRule="auto" w:line="360" w:before="120" w:after="120"/>
        <w:ind w:firstLine="720" w:end="0"/>
        <w:rPr/>
      </w:pPr>
      <w:r>
        <w:rPr/>
        <w:t>The Commission adopts the following findings of fact and conclusions of law.</w:t>
      </w:r>
    </w:p>
    <w:p>
      <w:pPr>
        <w:pStyle w:val="Heading2"/>
        <w:numPr>
          <w:ilvl w:val="0"/>
          <w:numId w:val="11"/>
        </w:numPr>
        <w:ind w:hanging="0" w:start="0"/>
        <w:rPr/>
      </w:pPr>
      <w:bookmarkStart w:id="25" w:name="__RefHeading___Toc511637920"/>
      <w:bookmarkEnd w:id="25"/>
      <w:r>
        <w:rPr/>
        <w:t>Findings of Fact</w:t>
      </w:r>
    </w:p>
    <w:p>
      <w:pPr>
        <w:pStyle w:val="Header"/>
        <w:tabs>
          <w:tab w:val="clear" w:pos="4320"/>
          <w:tab w:val="clear" w:pos="8640"/>
        </w:tabs>
        <w:spacing w:lineRule="auto" w:line="360" w:before="120" w:after="120"/>
        <w:rPr>
          <w:b/>
          <w:i/>
          <w:i/>
          <w:u w:val="single"/>
        </w:rPr>
      </w:pPr>
      <w:r>
        <w:rPr>
          <w:b/>
          <w:i/>
          <w:u w:val="single"/>
        </w:rPr>
        <w:t>Procedural History</w:t>
      </w:r>
    </w:p>
    <w:p>
      <w:pPr>
        <w:pStyle w:val="Header"/>
        <w:numPr>
          <w:ilvl w:val="0"/>
          <w:numId w:val="6"/>
        </w:numPr>
        <w:tabs>
          <w:tab w:val="clear" w:pos="4320"/>
          <w:tab w:val="clear" w:pos="8640"/>
        </w:tabs>
        <w:spacing w:lineRule="auto" w:line="360" w:before="120" w:after="120"/>
        <w:rPr/>
      </w:pPr>
      <w:r>
        <w:rPr/>
        <w:t xml:space="preserve">On November 2, 2000, ERCOT filed its petition for approval of the ERCOT Protocols; designation as the registration agent for Texas under </w:t>
      </w:r>
      <w:r>
        <w:rPr>
          <w:smallCaps/>
        </w:rPr>
        <w:t xml:space="preserve">P.U.C Subst. R. </w:t>
      </w:r>
      <w:r>
        <w:rPr/>
        <w:t xml:space="preserve">25.471(d)(11); and designation as the designated agent under </w:t>
      </w:r>
      <w:r>
        <w:rPr>
          <w:smallCaps/>
        </w:rPr>
        <w:t xml:space="preserve">P.U.C. Subst. R. </w:t>
      </w:r>
      <w:r>
        <w:rPr/>
        <w:t>25.484(a) for management of the do not call list.</w:t>
      </w:r>
    </w:p>
    <w:p>
      <w:pPr>
        <w:pStyle w:val="Header"/>
        <w:numPr>
          <w:ilvl w:val="0"/>
          <w:numId w:val="6"/>
        </w:numPr>
        <w:tabs>
          <w:tab w:val="clear" w:pos="4320"/>
          <w:tab w:val="clear" w:pos="8640"/>
        </w:tabs>
        <w:spacing w:lineRule="auto" w:line="360" w:before="120" w:after="120"/>
        <w:rPr/>
      </w:pPr>
      <w:r>
        <w:rPr/>
        <w:t>On November 6, 2000, the Commission issued Order No. 1, addressing notice, severing ERCOT Protocols §14, establishing an intervention deadline, and setting a prehearing conference.</w:t>
      </w:r>
    </w:p>
    <w:p>
      <w:pPr>
        <w:pStyle w:val="Header"/>
        <w:numPr>
          <w:ilvl w:val="0"/>
          <w:numId w:val="6"/>
        </w:numPr>
        <w:tabs>
          <w:tab w:val="clear" w:pos="4320"/>
          <w:tab w:val="clear" w:pos="8640"/>
        </w:tabs>
        <w:spacing w:lineRule="auto" w:line="360" w:before="120" w:after="120"/>
        <w:rPr/>
      </w:pPr>
      <w:r>
        <w:rPr/>
        <w:t xml:space="preserve">On November 10, 2000, in compliance with Order No. 1, ERCOT filed proof that, on November 8, 2000, it provided notice of this proceeding by providing a copy of Order No. 1 to: </w:t>
      </w:r>
      <w:r>
        <w:rPr>
          <w:color w:val="000000"/>
        </w:rPr>
        <w:t xml:space="preserve"> (a) users of its internet site by posting Order No. 1 on its website; (b) ERCOT stakeholders who participated in the formulation of the Protocols, by emailing Order No. 1 to the </w:t>
      </w:r>
      <w:hyperlink r:id="rId2">
        <w:r>
          <w:rPr>
            <w:rStyle w:val="Hyperlink"/>
          </w:rPr>
          <w:t>isonp@ercot.com</w:t>
        </w:r>
      </w:hyperlink>
      <w:r>
        <w:rPr>
          <w:color w:val="000000"/>
        </w:rPr>
        <w:t xml:space="preserve"> email exploder; and to the participants in </w:t>
      </w:r>
      <w:r>
        <w:rPr>
          <w:i/>
          <w:color w:val="000000"/>
        </w:rPr>
        <w:t xml:space="preserve">Certification of Independent Organizations to Perform Transmission and Distribution Access, Reliability, Information Exchange, and Settlement Functions; Possible Market Operation Rules, </w:t>
      </w:r>
      <w:r>
        <w:rPr>
          <w:color w:val="000000"/>
        </w:rPr>
        <w:t xml:space="preserve">Project No. 21079, and parties in </w:t>
      </w:r>
      <w:r>
        <w:rPr>
          <w:i/>
          <w:color w:val="000000"/>
        </w:rPr>
        <w:t>Application of the ERCOT ISO for Certification as an Independent Organization to Perform Transmission and Distribution Access, Reliability, Information Exchange, and Settlement Functions</w:t>
      </w:r>
      <w:r>
        <w:rPr>
          <w:color w:val="000000"/>
        </w:rPr>
        <w:t>, Docket No. 22061, by facsimile transmission, or by letter to those participants and parties for which facsimile transmission was unsuccessful.</w:t>
      </w:r>
    </w:p>
    <w:p>
      <w:pPr>
        <w:pStyle w:val="Header"/>
        <w:numPr>
          <w:ilvl w:val="0"/>
          <w:numId w:val="6"/>
        </w:numPr>
        <w:tabs>
          <w:tab w:val="clear" w:pos="4320"/>
          <w:tab w:val="clear" w:pos="8640"/>
        </w:tabs>
        <w:spacing w:lineRule="auto" w:line="360" w:before="120" w:after="120"/>
        <w:rPr/>
      </w:pPr>
      <w:r>
        <w:rPr/>
        <w:t>The following parties filed motions to intervene and were granted intervenor status:</w:t>
      </w:r>
    </w:p>
    <w:p>
      <w:pPr>
        <w:pStyle w:val="Header"/>
        <w:tabs>
          <w:tab w:val="clear" w:pos="4320"/>
          <w:tab w:val="clear" w:pos="8640"/>
        </w:tabs>
        <w:spacing w:lineRule="auto" w:line="360" w:before="120" w:after="120"/>
        <w:ind w:start="720" w:end="0"/>
        <w:rPr/>
      </w:pPr>
      <w:r>
        <w:rPr/>
        <w:t>Texas Industrial Energy Consumers; PG&amp;E National Energy Group; City of Austin d/b/a Austin Energy; City of Garland; Greenville Electric Utility System; Cap Rock Electric Cooperative, Inc.; City of Denton; Texas Municipal Power Agency; Pedernales Electric Cooperative; Power Choice, Inc.;</w:t>
      </w:r>
      <w:r>
        <w:rPr>
          <w:rStyle w:val="FootnoteCharacters"/>
          <w:rStyle w:val="FootnoteReference"/>
        </w:rPr>
        <w:footnoteReference w:id="100"/>
      </w:r>
      <w:r>
        <w:rPr/>
        <w:t xml:space="preserve"> Alcoa, Inc.; AES Deepwater, Inc.; Texas Electric Cooperatives, Inc; Texas-New Mexico Power Company; Public Utilities Board of the City of Brownsville; Texas, Industries, Inc.; TXU Electric Company; Cleco ConnexUs, LLC; Office of Public Utility Council; Lower Colorado River Authority; Texas Ratepayers’ Organization to Save Energy; Texas Legal Services Center; Consumers’ Union Southwest Regional Office; American National Power; Competitive Power Advocates; South Texas Electric Cooperative; Brazos Electric Power Cooperative, Inc.; Nucor Steel; Tex-La Electric Cooperative of Texas, Inc.; Reliant Energy HL&amp;P; FPL Energy, LLC; Enron Power Marketing; Enron Energy Services; Dynegy, Inc.; Calpine Corporation; Mirant Americas Energy Marketing, LP (formerly Southern Company Energy Marketing, LP); Occidental Chemical Corporation; Sharyland Utilities, LP; AES New Energy, Inc.; Green Mountain Energy Company; Strategic Energy, LLC; Exelon Energy; The New Power Company; Central Power and Light Company; West Texas Utilities; City Public Service of San Antonio; Texas Apartment Association, Inc.; Texas Renewable Power Coalition; Exelon Generation Company; and Permian Basin Electric Users Group.</w:t>
      </w:r>
    </w:p>
    <w:p>
      <w:pPr>
        <w:pStyle w:val="Header"/>
        <w:numPr>
          <w:ilvl w:val="0"/>
          <w:numId w:val="6"/>
        </w:numPr>
        <w:tabs>
          <w:tab w:val="clear" w:pos="4320"/>
          <w:tab w:val="clear" w:pos="8640"/>
        </w:tabs>
        <w:spacing w:lineRule="auto" w:line="360" w:before="120" w:after="120"/>
        <w:rPr/>
      </w:pPr>
      <w:r>
        <w:rPr/>
        <w:t>On December 13, 2000, the Commission approved the issuance of an order identifying issues.</w:t>
      </w:r>
    </w:p>
    <w:p>
      <w:pPr>
        <w:pStyle w:val="Header"/>
        <w:numPr>
          <w:ilvl w:val="0"/>
          <w:numId w:val="6"/>
        </w:numPr>
        <w:tabs>
          <w:tab w:val="clear" w:pos="4320"/>
          <w:tab w:val="clear" w:pos="8640"/>
        </w:tabs>
        <w:spacing w:lineRule="auto" w:line="360" w:before="120" w:after="120"/>
        <w:rPr/>
      </w:pPr>
      <w:r>
        <w:rPr/>
        <w:t>On December 15, 2000 and January 12, 2001, the Commission held prehearing conferences to address procedural matters related to the processing of this proceeding.  In lieu of a formal adjudicative hearing, the parties agreed to a procedure that involved developing lists of issues, submitting briefs on those issues, and participating in technical conferences and a workshop as the best approach to resolving the issues raised by the Protocols.</w:t>
      </w:r>
    </w:p>
    <w:p>
      <w:pPr>
        <w:pStyle w:val="Header"/>
        <w:numPr>
          <w:ilvl w:val="0"/>
          <w:numId w:val="6"/>
        </w:numPr>
        <w:tabs>
          <w:tab w:val="clear" w:pos="4320"/>
          <w:tab w:val="clear" w:pos="8640"/>
        </w:tabs>
        <w:spacing w:lineRule="auto" w:line="360" w:before="120" w:after="120"/>
        <w:rPr/>
      </w:pPr>
      <w:r>
        <w:rPr/>
        <w:t>On January 5, 2001, ERCOT filed a supplemental petition for approval of revised ERCOT Protocols, including Protocols §14.</w:t>
      </w:r>
    </w:p>
    <w:p>
      <w:pPr>
        <w:pStyle w:val="Header"/>
        <w:numPr>
          <w:ilvl w:val="0"/>
          <w:numId w:val="6"/>
        </w:numPr>
        <w:tabs>
          <w:tab w:val="clear" w:pos="4320"/>
          <w:tab w:val="clear" w:pos="8640"/>
        </w:tabs>
        <w:spacing w:lineRule="auto" w:line="360" w:before="120" w:after="120"/>
        <w:rPr/>
      </w:pPr>
      <w:r>
        <w:rPr/>
        <w:t>On January 5 and January 19, 2001, the Commission held technical conferences to obtain information about the Protocols.</w:t>
      </w:r>
    </w:p>
    <w:p>
      <w:pPr>
        <w:pStyle w:val="Header"/>
        <w:numPr>
          <w:ilvl w:val="0"/>
          <w:numId w:val="6"/>
        </w:numPr>
        <w:tabs>
          <w:tab w:val="clear" w:pos="4320"/>
          <w:tab w:val="clear" w:pos="8640"/>
        </w:tabs>
        <w:spacing w:lineRule="auto" w:line="360" w:before="120" w:after="120"/>
        <w:rPr/>
      </w:pPr>
      <w:r>
        <w:rPr/>
        <w:t xml:space="preserve">On January 26, 2001, ERCOT withdrew its request for designation in this proceeding as the designated agent under </w:t>
      </w:r>
      <w:r>
        <w:rPr>
          <w:smallCaps/>
        </w:rPr>
        <w:t xml:space="preserve">P.U.C. Subst. R. </w:t>
      </w:r>
      <w:r>
        <w:rPr/>
        <w:t>25.484(a) for management of the do not call list.</w:t>
      </w:r>
    </w:p>
    <w:p>
      <w:pPr>
        <w:pStyle w:val="Header"/>
        <w:numPr>
          <w:ilvl w:val="0"/>
          <w:numId w:val="6"/>
        </w:numPr>
        <w:tabs>
          <w:tab w:val="clear" w:pos="4320"/>
          <w:tab w:val="clear" w:pos="8640"/>
        </w:tabs>
        <w:spacing w:lineRule="auto" w:line="360" w:before="120" w:after="120"/>
        <w:rPr/>
      </w:pPr>
      <w:r>
        <w:rPr/>
        <w:t>Also on January 26, 2001, parties filed initial briefs addressing issues related to the Protocols.</w:t>
      </w:r>
    </w:p>
    <w:p>
      <w:pPr>
        <w:pStyle w:val="Header"/>
        <w:numPr>
          <w:ilvl w:val="0"/>
          <w:numId w:val="6"/>
        </w:numPr>
        <w:tabs>
          <w:tab w:val="clear" w:pos="4320"/>
          <w:tab w:val="clear" w:pos="8640"/>
        </w:tabs>
        <w:spacing w:lineRule="auto" w:line="360" w:before="120" w:after="120"/>
        <w:rPr/>
      </w:pPr>
      <w:r>
        <w:rPr/>
        <w:t>On February 5, 2001, parties filed reply briefs addressing issues related to the Protocols.</w:t>
      </w:r>
    </w:p>
    <w:p>
      <w:pPr>
        <w:pStyle w:val="Header"/>
        <w:numPr>
          <w:ilvl w:val="0"/>
          <w:numId w:val="6"/>
        </w:numPr>
        <w:tabs>
          <w:tab w:val="clear" w:pos="4320"/>
          <w:tab w:val="clear" w:pos="8640"/>
        </w:tabs>
        <w:spacing w:lineRule="auto" w:line="360" w:before="120" w:after="120"/>
        <w:rPr/>
      </w:pPr>
      <w:r>
        <w:rPr/>
        <w:t>On February 9, 2001, the Commission filed and distributed to the parties Dr. Shmuel S. Oren’s report to the Commission on the Protocols.</w:t>
      </w:r>
    </w:p>
    <w:p>
      <w:pPr>
        <w:pStyle w:val="Header"/>
        <w:numPr>
          <w:ilvl w:val="0"/>
          <w:numId w:val="6"/>
        </w:numPr>
        <w:tabs>
          <w:tab w:val="clear" w:pos="4320"/>
          <w:tab w:val="clear" w:pos="8640"/>
        </w:tabs>
        <w:spacing w:lineRule="auto" w:line="360" w:before="120" w:after="120"/>
        <w:rPr/>
      </w:pPr>
      <w:r>
        <w:rPr/>
        <w:t>On February 14, 2001, parties filed comments addressing Dr. Oren’s report to the Commission on the Protocols.</w:t>
      </w:r>
    </w:p>
    <w:p>
      <w:pPr>
        <w:pStyle w:val="Header"/>
        <w:numPr>
          <w:ilvl w:val="0"/>
          <w:numId w:val="6"/>
        </w:numPr>
        <w:tabs>
          <w:tab w:val="clear" w:pos="4320"/>
          <w:tab w:val="clear" w:pos="8640"/>
        </w:tabs>
        <w:spacing w:lineRule="auto" w:line="360" w:before="120" w:after="120"/>
        <w:rPr/>
      </w:pPr>
      <w:r>
        <w:rPr/>
        <w:t>On February 15, 2001, the Commission held a workshop attended by experts and interested parties to discuss issues related to the Protocols.</w:t>
      </w:r>
    </w:p>
    <w:p>
      <w:pPr>
        <w:pStyle w:val="Header"/>
        <w:numPr>
          <w:ilvl w:val="0"/>
          <w:numId w:val="6"/>
        </w:numPr>
        <w:tabs>
          <w:tab w:val="clear" w:pos="4320"/>
          <w:tab w:val="clear" w:pos="8640"/>
        </w:tabs>
        <w:spacing w:lineRule="auto" w:line="360" w:before="120" w:after="120"/>
        <w:rPr/>
      </w:pPr>
      <w:r>
        <w:rPr/>
        <w:t>On February 20, 2001, parties filed final comments regarding issues raised at the February 15, 2001 workshop.</w:t>
      </w:r>
    </w:p>
    <w:p>
      <w:pPr>
        <w:pStyle w:val="Header"/>
        <w:numPr>
          <w:ilvl w:val="0"/>
          <w:numId w:val="6"/>
        </w:numPr>
        <w:tabs>
          <w:tab w:val="clear" w:pos="4320"/>
          <w:tab w:val="clear" w:pos="8640"/>
        </w:tabs>
        <w:spacing w:lineRule="auto" w:line="360" w:before="120" w:after="120"/>
        <w:rPr/>
      </w:pPr>
      <w:r>
        <w:rPr/>
        <w:t>On February 22 and March 2, 2001, the Commission made its final determinations regarding the Protocols, except for Protocols §§9 and 14, and designation of ERCOT as the registration agent.</w:t>
      </w:r>
    </w:p>
    <w:p>
      <w:pPr>
        <w:pStyle w:val="Header"/>
        <w:numPr>
          <w:ilvl w:val="0"/>
          <w:numId w:val="6"/>
        </w:numPr>
        <w:tabs>
          <w:tab w:val="clear" w:pos="4320"/>
          <w:tab w:val="clear" w:pos="8640"/>
        </w:tabs>
        <w:spacing w:lineRule="auto" w:line="360" w:before="120" w:after="120"/>
        <w:rPr/>
      </w:pPr>
      <w:r>
        <w:rPr/>
        <w:t xml:space="preserve">On March 8, 2001, Order No. 12 was issued, which severed Protocols §14 from this proceeding and placed it into </w:t>
      </w:r>
      <w:r>
        <w:rPr>
          <w:i/>
        </w:rPr>
        <w:t>ERCOT Proceeding to Consider Protocols Section 14 (Severed from Docket No. 23220),</w:t>
      </w:r>
      <w:r>
        <w:rPr/>
        <w:t xml:space="preserve"> Docket No. 23802, in order to give the Commission and interested entities an opportunity to consider the interplay between REC offsets and certificates of generation.</w:t>
      </w:r>
      <w:r>
        <w:br w:type="page"/>
      </w:r>
    </w:p>
    <w:p>
      <w:pPr>
        <w:pStyle w:val="Header"/>
        <w:tabs>
          <w:tab w:val="clear" w:pos="4320"/>
          <w:tab w:val="clear" w:pos="8640"/>
        </w:tabs>
        <w:spacing w:lineRule="auto" w:line="360" w:before="120" w:after="120"/>
        <w:rPr>
          <w:b/>
          <w:i/>
          <w:i/>
        </w:rPr>
      </w:pPr>
      <w:r>
        <w:rPr>
          <w:b/>
          <w:i/>
        </w:rPr>
        <w:t>Technical Issues</w:t>
      </w:r>
    </w:p>
    <w:p>
      <w:pPr>
        <w:pStyle w:val="Header"/>
        <w:tabs>
          <w:tab w:val="clear" w:pos="4320"/>
          <w:tab w:val="clear" w:pos="8640"/>
        </w:tabs>
        <w:spacing w:lineRule="auto" w:line="360" w:before="120" w:after="120"/>
        <w:ind w:start="720" w:end="0"/>
        <w:rPr>
          <w:b/>
          <w:i/>
          <w:i/>
        </w:rPr>
      </w:pPr>
      <w:r>
        <w:rPr>
          <w:b/>
          <w:i/>
        </w:rPr>
        <w:t>Effective Date of Protocols</w:t>
      </w:r>
    </w:p>
    <w:p>
      <w:pPr>
        <w:pStyle w:val="Header"/>
        <w:numPr>
          <w:ilvl w:val="0"/>
          <w:numId w:val="6"/>
        </w:numPr>
        <w:tabs>
          <w:tab w:val="clear" w:pos="4320"/>
          <w:tab w:val="clear" w:pos="8640"/>
        </w:tabs>
        <w:spacing w:lineRule="auto" w:line="360" w:before="120" w:after="120"/>
        <w:rPr/>
      </w:pPr>
      <w:r>
        <w:rPr>
          <w:lang w:eastAsia="en-US"/>
        </w:rPr>
        <w:t>The Protocols are scheduled to take effect on June 1, 2001.  Although a variety of concerns were raised concerning the Protocols, the Protocols are fundamentally sound.  As a result, consistent with the consensus of the parties, they should take effect as scheduled, on June 1, 2001.</w:t>
      </w:r>
    </w:p>
    <w:p>
      <w:pPr>
        <w:pStyle w:val="Header"/>
        <w:numPr>
          <w:ilvl w:val="0"/>
          <w:numId w:val="6"/>
        </w:numPr>
        <w:tabs>
          <w:tab w:val="clear" w:pos="4320"/>
          <w:tab w:val="clear" w:pos="8640"/>
        </w:tabs>
        <w:spacing w:lineRule="auto" w:line="360" w:before="120" w:after="120"/>
        <w:rPr/>
      </w:pPr>
      <w:r>
        <w:rPr>
          <w:lang w:eastAsia="en-US"/>
        </w:rPr>
        <w:t>The Protocols contain certain provisions in boxes that will not be implemented until ERCOT’s systems can support them, as provided in the Protocol Implementation Plan.  These boxed provisions provide a number of important improvements to the Protocols.  Therefore, ERCOT should implement the boxed provisions as soon as possible.</w:t>
      </w:r>
    </w:p>
    <w:p>
      <w:pPr>
        <w:pStyle w:val="Header"/>
        <w:numPr>
          <w:ilvl w:val="0"/>
          <w:numId w:val="6"/>
        </w:numPr>
        <w:tabs>
          <w:tab w:val="clear" w:pos="4320"/>
          <w:tab w:val="clear" w:pos="8640"/>
        </w:tabs>
        <w:spacing w:lineRule="auto" w:line="360" w:before="120" w:after="120"/>
        <w:rPr/>
      </w:pPr>
      <w:r>
        <w:rPr>
          <w:lang w:eastAsia="en-US"/>
        </w:rPr>
        <w:t>The Protocols do not address the process for implementation of the boxed provisions, and possibilities range from implementing them through the Protocol revision process provided for in Protocols §21; implementing them upon approval by the ERCOT Board of Directors; or implementing them based on a decision by ERCOT staff.  ERCOT should establish an expeditious procedure to implement the boxed provisions of the Protocols, to address implementation of the boxed provisions once the systems are capable of accommodating them.  Using the standard timeline for the Protocols §21 revision process would unnecessarily delay implementation of these provisions.</w:t>
      </w:r>
    </w:p>
    <w:p>
      <w:pPr>
        <w:pStyle w:val="Header"/>
        <w:numPr>
          <w:ilvl w:val="0"/>
          <w:numId w:val="6"/>
        </w:numPr>
        <w:tabs>
          <w:tab w:val="clear" w:pos="4320"/>
          <w:tab w:val="clear" w:pos="8640"/>
        </w:tabs>
        <w:spacing w:lineRule="auto" w:line="360" w:before="120" w:after="120"/>
        <w:rPr/>
      </w:pPr>
      <w:r>
        <w:rPr>
          <w:lang w:eastAsia="en-US"/>
        </w:rPr>
        <w:t>Certain parts of the Protocols need to be modified.  Some of these modifications shall take effect on June 1, 2001, while others will take effect later.  As with any undertaking of this complexity and importance, the Protocols should continue to be modified over time as experience reveals areas of improvement.</w:t>
      </w:r>
    </w:p>
    <w:p>
      <w:pPr>
        <w:pStyle w:val="Header"/>
        <w:tabs>
          <w:tab w:val="clear" w:pos="4320"/>
          <w:tab w:val="clear" w:pos="8640"/>
        </w:tabs>
        <w:spacing w:lineRule="auto" w:line="360" w:before="120" w:after="120"/>
        <w:ind w:start="720" w:end="0"/>
        <w:rPr>
          <w:b/>
          <w:i/>
          <w:i/>
        </w:rPr>
      </w:pPr>
      <w:r>
        <w:rPr>
          <w:b/>
          <w:i/>
          <w:lang w:eastAsia="en-US"/>
        </w:rPr>
        <w:t>Standards for ERCOT’s Conduct</w:t>
      </w:r>
    </w:p>
    <w:p>
      <w:pPr>
        <w:pStyle w:val="Header"/>
        <w:numPr>
          <w:ilvl w:val="0"/>
          <w:numId w:val="6"/>
        </w:numPr>
        <w:tabs>
          <w:tab w:val="clear" w:pos="4320"/>
          <w:tab w:val="clear" w:pos="8640"/>
        </w:tabs>
        <w:spacing w:lineRule="auto" w:line="360" w:before="120" w:after="120"/>
        <w:rPr/>
      </w:pPr>
      <w:r>
        <w:rPr>
          <w:lang w:eastAsia="en-US"/>
        </w:rPr>
        <w:t>Although ERCOT needs the ability to exercise discretion with respect to some matters, it must do so in a reasonable, nondiscriminatory manner.  In some parts of the Protocols where ERCOT’s conduct is addressed, there is a statement that ERCOT has “sole discretion” in its conduct.  In order to reconcile the Protocols with ERCOT’s obligation to conduct itself in a reasonable, nondiscriminatory manner, ERCOT should either eliminate the “sole discretion” language addressing its conduct or revise Protocols §1 to state that where the Protocols refer to ERCOT’s sole discretion, ERCOT shall exercise its discretion in a reasonable, nondiscriminatory manner.</w:t>
      </w:r>
    </w:p>
    <w:p>
      <w:pPr>
        <w:pStyle w:val="Header"/>
        <w:numPr>
          <w:ilvl w:val="0"/>
          <w:numId w:val="6"/>
        </w:numPr>
        <w:tabs>
          <w:tab w:val="clear" w:pos="4320"/>
          <w:tab w:val="clear" w:pos="8640"/>
        </w:tabs>
        <w:spacing w:lineRule="auto" w:line="360" w:before="120" w:after="120"/>
        <w:rPr/>
      </w:pPr>
      <w:r>
        <w:rPr>
          <w:lang w:eastAsia="en-US"/>
        </w:rPr>
        <w:t>Protocols §1.1 states that if any express provision of any Agreement conflicts with any provision of the Protocols, the Agreement shall prevail to the extent of the conflict.  In order to ensure reasonable, nondiscriminatory conduct by ERCOT, Protocols §1.1 should be modified to require that Agreement provisions that deviate from the Protocols shall be required to explicitly state that they deviate from the Protocols and that such deviations shall be effective only upon the approval by the ERCOT Board of Directors on a showing of good cause.</w:t>
      </w:r>
    </w:p>
    <w:p>
      <w:pPr>
        <w:pStyle w:val="Header"/>
        <w:tabs>
          <w:tab w:val="clear" w:pos="4320"/>
          <w:tab w:val="clear" w:pos="8640"/>
        </w:tabs>
        <w:spacing w:lineRule="auto" w:line="360" w:before="120" w:after="120"/>
        <w:ind w:start="720" w:end="0"/>
        <w:rPr>
          <w:b/>
          <w:i/>
          <w:i/>
        </w:rPr>
      </w:pPr>
      <w:r>
        <w:rPr>
          <w:b/>
          <w:i/>
        </w:rPr>
        <w:t>Ancillary Services</w:t>
      </w:r>
    </w:p>
    <w:p>
      <w:pPr>
        <w:pStyle w:val="Header"/>
        <w:tabs>
          <w:tab w:val="clear" w:pos="4320"/>
          <w:tab w:val="clear" w:pos="8640"/>
        </w:tabs>
        <w:spacing w:lineRule="auto" w:line="360" w:before="120" w:after="120"/>
        <w:ind w:start="720" w:end="0"/>
        <w:rPr>
          <w:b/>
          <w:i/>
          <w:i/>
        </w:rPr>
      </w:pPr>
      <w:r>
        <w:rPr>
          <w:b/>
          <w:i/>
        </w:rPr>
        <w:tab/>
        <w:t>Bid Caps</w:t>
      </w:r>
    </w:p>
    <w:p>
      <w:pPr>
        <w:pStyle w:val="Header"/>
        <w:numPr>
          <w:ilvl w:val="0"/>
          <w:numId w:val="6"/>
        </w:numPr>
        <w:tabs>
          <w:tab w:val="clear" w:pos="4320"/>
          <w:tab w:val="clear" w:pos="8640"/>
        </w:tabs>
        <w:spacing w:lineRule="auto" w:line="360" w:before="120" w:after="120"/>
        <w:rPr/>
      </w:pPr>
      <w:r>
        <w:rPr>
          <w:lang w:eastAsia="en-US"/>
        </w:rPr>
        <w:t>During the transition to a fully competitive ERCOT market, bid caps are a necessary “circuit breaker” or backstop against the possible exercise of market power by generation entities, for the short-term ancillary services markets operated by ERCOT.</w:t>
      </w:r>
    </w:p>
    <w:p>
      <w:pPr>
        <w:pStyle w:val="Header"/>
        <w:numPr>
          <w:ilvl w:val="0"/>
          <w:numId w:val="6"/>
        </w:numPr>
        <w:tabs>
          <w:tab w:val="clear" w:pos="4320"/>
          <w:tab w:val="clear" w:pos="8640"/>
        </w:tabs>
        <w:spacing w:lineRule="auto" w:line="360" w:before="120" w:after="120"/>
        <w:rPr/>
      </w:pPr>
      <w:r>
        <w:rPr>
          <w:lang w:eastAsia="en-US"/>
        </w:rPr>
        <w:t>ERCOT should amend the Protocols to include a generation resource bid cap of $1,000 per MWh for energy that it procures, so that it will not accept bids of more than $1,000 per MWh from generation resources.  The bid cap should not apply to load resources; they should be allowed to bid higher than $1,000 per MWh.  This bid cap was calculated by estimating the cost of a new simple cycle gas turbine and a high price for natural gas:  a fixed annual cost of $70,000/MW-year divided by 75 hours/year of operation plus a 12,000 heat rate multiplied by a $8/mmBtu gas price.</w:t>
      </w:r>
      <w:r>
        <w:rPr>
          <w:rStyle w:val="FootnoteCharacters"/>
          <w:rStyle w:val="FootnoteReference"/>
          <w:lang w:eastAsia="en-US"/>
        </w:rPr>
        <w:footnoteReference w:id="101"/>
      </w:r>
      <w:r>
        <w:rPr>
          <w:lang w:eastAsia="en-US"/>
        </w:rPr>
        <w:t xml:space="preserve">  This bid cap should expire on July 4, 2003, because the Commission expects by that time any generation entity market power issues will have been better addressed through other means.</w:t>
      </w:r>
    </w:p>
    <w:p>
      <w:pPr>
        <w:pStyle w:val="Header"/>
        <w:numPr>
          <w:ilvl w:val="0"/>
          <w:numId w:val="6"/>
        </w:numPr>
        <w:tabs>
          <w:tab w:val="clear" w:pos="4320"/>
          <w:tab w:val="clear" w:pos="8640"/>
        </w:tabs>
        <w:spacing w:lineRule="auto" w:line="360" w:before="120" w:after="120"/>
        <w:rPr/>
      </w:pPr>
      <w:r>
        <w:rPr>
          <w:lang w:eastAsia="en-US"/>
        </w:rPr>
        <w:t>ERCOT should develop and submit to the Commission for possible approval a bid cap on capacity bids for generation resources offering to provide replacement reserve service.</w:t>
      </w:r>
    </w:p>
    <w:p>
      <w:pPr>
        <w:pStyle w:val="Header"/>
        <w:numPr>
          <w:ilvl w:val="0"/>
          <w:numId w:val="6"/>
        </w:numPr>
        <w:tabs>
          <w:tab w:val="clear" w:pos="4320"/>
          <w:tab w:val="clear" w:pos="8640"/>
        </w:tabs>
        <w:spacing w:lineRule="auto" w:line="360" w:before="120" w:after="120"/>
        <w:rPr/>
      </w:pPr>
      <w:r>
        <w:rPr>
          <w:lang w:eastAsia="en-US"/>
        </w:rPr>
        <w:t>ERCOT should also consider and report to the Commission measures to avoid excessive capacity payments to load resources that are procured for replacement reserve service.</w:t>
      </w:r>
    </w:p>
    <w:p>
      <w:pPr>
        <w:pStyle w:val="Header"/>
        <w:tabs>
          <w:tab w:val="clear" w:pos="4320"/>
          <w:tab w:val="clear" w:pos="8640"/>
        </w:tabs>
        <w:spacing w:lineRule="auto" w:line="360" w:before="120" w:after="120"/>
        <w:ind w:start="1440" w:end="0"/>
        <w:rPr>
          <w:b/>
          <w:i/>
          <w:i/>
        </w:rPr>
      </w:pPr>
      <w:r>
        <w:rPr>
          <w:b/>
          <w:i/>
          <w:lang w:eastAsia="en-US"/>
        </w:rPr>
        <w:t>Optimization of Ancillary Services Procurement and Reduction of Gaming Opportunities</w:t>
      </w:r>
    </w:p>
    <w:p>
      <w:pPr>
        <w:pStyle w:val="Header"/>
        <w:numPr>
          <w:ilvl w:val="0"/>
          <w:numId w:val="6"/>
        </w:numPr>
        <w:tabs>
          <w:tab w:val="clear" w:pos="4320"/>
          <w:tab w:val="clear" w:pos="8640"/>
        </w:tabs>
        <w:spacing w:lineRule="auto" w:line="360" w:before="120" w:after="120"/>
        <w:rPr/>
      </w:pPr>
      <w:r>
        <w:rPr/>
        <w:t>The ancillary services procurement procedures provided for in the Protocols will create perverse incentives for bidders to misrepresent cost or capability, which in turn can result in misallocation of resources and reliability problems due to artificial shortages of regulation-up or responsive reserve bids.  Therefore, ERCOT should amend the Protocols such that it will procure ancillary services through use of simultaneous optimization for assignment of resources to A/S products, and will set prices for each ancillary service to the corresponding shadow price.</w:t>
      </w:r>
    </w:p>
    <w:p>
      <w:pPr>
        <w:pStyle w:val="Header"/>
        <w:numPr>
          <w:ilvl w:val="0"/>
          <w:numId w:val="6"/>
        </w:numPr>
        <w:tabs>
          <w:tab w:val="clear" w:pos="4320"/>
          <w:tab w:val="clear" w:pos="8640"/>
        </w:tabs>
        <w:spacing w:lineRule="auto" w:line="360" w:before="120" w:after="120"/>
        <w:rPr/>
      </w:pPr>
      <w:r>
        <w:rPr/>
        <w:t>The Protocols allow suppliers selected in the day-ahead period to influence the MCPC that will be paid to their already selected bids by manipulating their unselected bids.  This perverse incentive can be neutralized by using a two settlement system.  However, it is not feasible to implement this two settlement system on June 1, 2001, because of the impacts on ERCOT’s IT systems.  Therefore, until the implementation of the two settlement system, ERCOT should amend the Protocols to use activity rules that allow only downward adjustment of prices for unselected A/S bids and allow unselected bids by a QSE to be withdrawn only in descending order of bid prices.</w:t>
      </w:r>
    </w:p>
    <w:p>
      <w:pPr>
        <w:pStyle w:val="Header"/>
        <w:numPr>
          <w:ilvl w:val="0"/>
          <w:numId w:val="6"/>
        </w:numPr>
        <w:tabs>
          <w:tab w:val="clear" w:pos="4320"/>
          <w:tab w:val="clear" w:pos="8640"/>
        </w:tabs>
        <w:spacing w:lineRule="auto" w:line="360" w:before="120" w:after="120"/>
        <w:rPr/>
      </w:pPr>
      <w:r>
        <w:rPr/>
        <w:t>The Protocols allow QSEs to submit portfolio, rather than unit specific, bids, which enables QSEs to better optimize the use of their resources by allowing them to retain flexibility in unit commitment.  On the other hand, the uncertainty in QSE resource plans at the time of day</w:t>
        <w:softHyphen/>
        <w:t>-ahead A/S selection may result in higher cost to ERCOT, because the irreversibly selected A/S bids in the day-ahead period may end up in the wrong location from a system security perspective.  ERCOT should consider and report to the Commission whether A/S bids in the day-ahead period should be conditionally selected, with the option to deselect based on location after the QSE resource plans are published.</w:t>
      </w:r>
    </w:p>
    <w:p>
      <w:pPr>
        <w:pStyle w:val="Header"/>
        <w:numPr>
          <w:ilvl w:val="0"/>
          <w:numId w:val="6"/>
        </w:numPr>
        <w:tabs>
          <w:tab w:val="clear" w:pos="4320"/>
          <w:tab w:val="clear" w:pos="8640"/>
        </w:tabs>
        <w:spacing w:lineRule="auto" w:line="360" w:before="120" w:after="120"/>
        <w:rPr/>
      </w:pPr>
      <w:r>
        <w:rPr/>
        <w:t>ERCOT will need to perform cost-benefit analyses, whether explicit or implicit, to determine appropriate amounts of ancillary services.  ERCOT should therefore consider and report to the Commission whether a day-ahead period demand function for each ancillary service based on price should be developed, such that ERCOT would adjust the amount of A/S service procured day-ahead (as a percentage of forecasted need) as a function of price.</w:t>
      </w:r>
    </w:p>
    <w:p>
      <w:pPr>
        <w:pStyle w:val="Header"/>
        <w:tabs>
          <w:tab w:val="clear" w:pos="4320"/>
          <w:tab w:val="clear" w:pos="8640"/>
        </w:tabs>
        <w:spacing w:lineRule="auto" w:line="360" w:before="120" w:after="120"/>
        <w:ind w:start="1440" w:end="0"/>
        <w:rPr>
          <w:b/>
          <w:i/>
          <w:i/>
        </w:rPr>
      </w:pPr>
      <w:r>
        <w:rPr>
          <w:b/>
          <w:i/>
        </w:rPr>
        <w:t>Eligibility to Provide Responsive Reserve Service</w:t>
      </w:r>
    </w:p>
    <w:p>
      <w:pPr>
        <w:pStyle w:val="Header"/>
        <w:numPr>
          <w:ilvl w:val="0"/>
          <w:numId w:val="6"/>
        </w:numPr>
        <w:tabs>
          <w:tab w:val="clear" w:pos="4320"/>
          <w:tab w:val="clear" w:pos="8640"/>
        </w:tabs>
        <w:spacing w:lineRule="auto" w:line="360" w:before="120" w:after="120"/>
        <w:rPr/>
      </w:pPr>
      <w:r>
        <w:rPr/>
        <w:t>Apparently by oversight, the Protocols effectively preclude hydroelectric resources from providing responsive reserve service.  ERCOT should amend the Protocols in order to allow hydroelectric resources to provide responsive reserves upon implementation of the Protocols, effective June 1, 2001.</w:t>
      </w:r>
    </w:p>
    <w:p>
      <w:pPr>
        <w:pStyle w:val="Header"/>
        <w:tabs>
          <w:tab w:val="clear" w:pos="4320"/>
          <w:tab w:val="clear" w:pos="8640"/>
        </w:tabs>
        <w:spacing w:lineRule="auto" w:line="360" w:before="120" w:after="120"/>
        <w:ind w:start="1440" w:end="0"/>
        <w:rPr>
          <w:b/>
          <w:i/>
          <w:i/>
        </w:rPr>
      </w:pPr>
      <w:r>
        <w:rPr>
          <w:b/>
          <w:i/>
        </w:rPr>
        <w:t>Market Solution</w:t>
      </w:r>
    </w:p>
    <w:p>
      <w:pPr>
        <w:pStyle w:val="Header"/>
        <w:numPr>
          <w:ilvl w:val="0"/>
          <w:numId w:val="6"/>
        </w:numPr>
        <w:tabs>
          <w:tab w:val="clear" w:pos="4320"/>
          <w:tab w:val="clear" w:pos="8640"/>
        </w:tabs>
        <w:spacing w:lineRule="auto" w:line="360" w:before="120" w:after="120"/>
        <w:rPr/>
      </w:pPr>
      <w:r>
        <w:rPr/>
        <w:t>Under the Protocols, a “Market Solution exists when at least three unaffiliated Resources have available capacity making them capable of submitting bids to ERCOT to solve a circumstance of local Congestion and no one bidder is essential to solving the Congestion.”  Under this definition, a market solution could exist with only one bid, so long as two other unaffiliated resources are capable of submitting bids.  This definition does not provide adequate assurance that sufficient, active competition will exist when ERCOT uses market pricing to resolve local congestion.  To provide better assurance of sufficient, active competition, ERCOT should amend the definition of market solution to require the actual submission of three bids from unaffiliated resources that have capacity available to solve the local congestion, with no one bidder essential to solve the congestion.</w:t>
      </w:r>
    </w:p>
    <w:p>
      <w:pPr>
        <w:pStyle w:val="Header"/>
        <w:numPr>
          <w:ilvl w:val="0"/>
          <w:numId w:val="6"/>
        </w:numPr>
        <w:tabs>
          <w:tab w:val="clear" w:pos="4320"/>
          <w:tab w:val="clear" w:pos="8640"/>
        </w:tabs>
        <w:spacing w:lineRule="auto" w:line="360" w:before="120" w:after="120"/>
        <w:rPr/>
      </w:pPr>
      <w:r>
        <w:rPr/>
        <w:t>No explanation was provided for why the requirement for, and use of, the market solution approach to pricing of ancillary services is not used for all ancillary services procured by ERCOT.  Competitive pricing should be used where feasible, so long as the price is the result of sufficient, active competition.  Therefore, ERCOT should consider and report to the Commission on expanding the definition of market solution to apply to all circumstances in which ERCOT procures ancillary services.</w:t>
      </w:r>
    </w:p>
    <w:p>
      <w:pPr>
        <w:pStyle w:val="Header"/>
        <w:tabs>
          <w:tab w:val="clear" w:pos="4320"/>
          <w:tab w:val="clear" w:pos="8640"/>
        </w:tabs>
        <w:spacing w:lineRule="auto" w:line="360" w:before="120" w:after="120"/>
        <w:ind w:start="1440" w:end="0"/>
        <w:rPr>
          <w:b/>
          <w:i/>
          <w:i/>
        </w:rPr>
      </w:pPr>
      <w:r>
        <w:rPr>
          <w:b/>
          <w:i/>
        </w:rPr>
        <w:t>Out of Merit Service</w:t>
      </w:r>
    </w:p>
    <w:p>
      <w:pPr>
        <w:pStyle w:val="Header"/>
        <w:numPr>
          <w:ilvl w:val="0"/>
          <w:numId w:val="6"/>
        </w:numPr>
        <w:tabs>
          <w:tab w:val="clear" w:pos="4320"/>
          <w:tab w:val="clear" w:pos="8640"/>
        </w:tabs>
        <w:spacing w:lineRule="auto" w:line="360" w:before="120" w:after="120"/>
        <w:rPr/>
      </w:pPr>
      <w:r>
        <w:rPr/>
        <w:t>Protocols §6.8.2.1(3) provides a ratcheting down mechanism for OOMC payments.  The same concept can, and should, be applied to OOME payments that are based on the 18,000 heat rate in Protocols §6.8.2.2(1)(a)(ii).</w:t>
      </w:r>
    </w:p>
    <w:p>
      <w:pPr>
        <w:pStyle w:val="Header"/>
        <w:tabs>
          <w:tab w:val="clear" w:pos="4320"/>
          <w:tab w:val="clear" w:pos="8640"/>
        </w:tabs>
        <w:spacing w:lineRule="auto" w:line="360" w:before="120" w:after="120"/>
        <w:ind w:start="1440" w:end="0"/>
        <w:rPr>
          <w:b/>
          <w:i/>
          <w:i/>
        </w:rPr>
      </w:pPr>
      <w:r>
        <w:rPr>
          <w:b/>
          <w:i/>
        </w:rPr>
        <w:t>Reliability Must-Run Service</w:t>
      </w:r>
    </w:p>
    <w:p>
      <w:pPr>
        <w:pStyle w:val="Header"/>
        <w:numPr>
          <w:ilvl w:val="0"/>
          <w:numId w:val="6"/>
        </w:numPr>
        <w:tabs>
          <w:tab w:val="clear" w:pos="4320"/>
          <w:tab w:val="clear" w:pos="8640"/>
        </w:tabs>
        <w:spacing w:lineRule="auto" w:line="360" w:before="120" w:after="120"/>
        <w:rPr/>
      </w:pPr>
      <w:r>
        <w:rPr/>
        <w:t>Protocols §6.8.3.7(1) allows an RMR unit owner to retain 90% of the gross revenues from energy generated in excess of the amount that the unit is obligated to produce under its RMR contract.  However, a generation entity generally bases its decision to run its generation facility on whether the revenues resulting from running the facility would exceed the cost to run the unit; i.e., whether running the facility would produce net positive margins.  Tying an RMR unit owner’s compensation to a percentage of gross revenues may not produce the economically efficient outcome; i.e., it may not induce the owner to run the plant in all cases in which there would be net positive margins.  Therefore, ERCOT should amend the Protocols to give an RMR unit owner the additional option of receiving 10% of net positive margins for energy generated in excess of the amount that the unit is obligated to produce under its RMR contract.  An RMR unit owner should be allowed to select one of the two options no more frequently than on a yearly basis, prior to the time in which the selected option will be in effect.</w:t>
      </w:r>
    </w:p>
    <w:p>
      <w:pPr>
        <w:pStyle w:val="Header"/>
        <w:tabs>
          <w:tab w:val="clear" w:pos="4320"/>
          <w:tab w:val="clear" w:pos="8640"/>
        </w:tabs>
        <w:spacing w:lineRule="auto" w:line="360" w:before="120" w:after="120"/>
        <w:ind w:start="1440" w:end="0"/>
        <w:rPr>
          <w:b/>
          <w:i/>
          <w:i/>
        </w:rPr>
      </w:pPr>
      <w:r>
        <w:rPr>
          <w:b/>
          <w:i/>
        </w:rPr>
        <w:t>Uninstructed Deviations</w:t>
      </w:r>
    </w:p>
    <w:p>
      <w:pPr>
        <w:pStyle w:val="Header"/>
        <w:numPr>
          <w:ilvl w:val="0"/>
          <w:numId w:val="6"/>
        </w:numPr>
        <w:tabs>
          <w:tab w:val="clear" w:pos="4320"/>
          <w:tab w:val="clear" w:pos="8640"/>
        </w:tabs>
        <w:spacing w:lineRule="auto" w:line="360" w:before="120" w:after="120"/>
        <w:rPr/>
      </w:pPr>
      <w:r>
        <w:rPr/>
        <w:t xml:space="preserve">Protocols §§4.6(5) and 6.7.1.1(9) require that ERCOT publish the balancing energy MCPE approximately ten minutes prior to the applicable settlement interval.  The purpose of this ex ante posting of the MCPE is to allow market participants to respond to the price signal, through passive load response (reduction in loads to reduce exposure to a high MCPE) and good price chasing by generation resources (uninstructed increases in output in response to a high MCPE that result in a decreased need for regulation service).  Although Protocols §6.8.1.15 contains a method to discourage bad price chasing (uninstructed increases in output in response to a high MCPE that result in increased need for regulation service), the Commission believes that a better method exists.  ERCOT should amend the Protocols to apply the ex ante MCPE for balancing energy set ten minutes before the beginning of a settlement interval to all instructed deployment of balancing energy during the settlement interval (as currently provided by the Protocols); and use the second subsequent settlement interval ex post MCPE, which will be set five minutes after the end of the first settlement interval, for uninstructed deviations (including passive load response) during the first settlement interval.  Upon implementation, this method of addressing price chasing should supercede the method currently contained in the Protocols.  However, the Commission recognizes the importance of ERCOT having adequate tools to ensure grid reliability.  Therefore, ERCOT may develop, if it deems it necessary, a “command-and-control” </w:t>
      </w:r>
      <w:r>
        <w:rPr>
          <w:lang w:eastAsia="en-US"/>
        </w:rPr>
        <w:t xml:space="preserve">“circuit breaker” or backstop that can be quickly invoked if the method in </w:t>
      </w:r>
      <w:r>
        <w:rPr/>
        <w:t>Protocols §6.8.1.15 or the one ordered by the Commission to discourage bad price chasing proves inadequate to ensure reliability.</w:t>
      </w:r>
    </w:p>
    <w:p>
      <w:pPr>
        <w:pStyle w:val="Header"/>
        <w:tabs>
          <w:tab w:val="clear" w:pos="4320"/>
          <w:tab w:val="clear" w:pos="8640"/>
        </w:tabs>
        <w:spacing w:lineRule="auto" w:line="360" w:before="120" w:after="120"/>
        <w:ind w:start="1440" w:end="0"/>
        <w:rPr>
          <w:b/>
          <w:i/>
          <w:i/>
        </w:rPr>
      </w:pPr>
      <w:r>
        <w:rPr>
          <w:b/>
          <w:i/>
        </w:rPr>
        <w:t>Balanced Schedule Requirement</w:t>
      </w:r>
    </w:p>
    <w:p>
      <w:pPr>
        <w:pStyle w:val="Header"/>
        <w:numPr>
          <w:ilvl w:val="0"/>
          <w:numId w:val="6"/>
        </w:numPr>
        <w:tabs>
          <w:tab w:val="clear" w:pos="4320"/>
          <w:tab w:val="clear" w:pos="8640"/>
        </w:tabs>
        <w:spacing w:lineRule="auto" w:line="360" w:before="120" w:after="120"/>
        <w:rPr/>
      </w:pPr>
      <w:r>
        <w:rPr/>
        <w:t>The Protocols require QSEs to submit balanced schedules for each settlement interval.  The intent of this requirement is to preclude QSEs from relying on the ERCOT-administered balancing energy market as part of their resource portfolios, except to cover any underestimated energy needs.  The Commission intends to consider the policy implications of the balanced schedule requirement, and whether the requirement should be relaxed or eliminated.  In addition, ERCOT should consider and report on the technical implications of relaxing or eliminating the balanced schedule requirement.</w:t>
      </w:r>
    </w:p>
    <w:p>
      <w:pPr>
        <w:pStyle w:val="Header"/>
        <w:tabs>
          <w:tab w:val="clear" w:pos="4320"/>
          <w:tab w:val="clear" w:pos="8640"/>
        </w:tabs>
        <w:spacing w:lineRule="auto" w:line="360" w:before="120" w:after="120"/>
        <w:ind w:start="720" w:end="0"/>
        <w:rPr>
          <w:b/>
          <w:i/>
          <w:i/>
        </w:rPr>
      </w:pPr>
      <w:r>
        <w:rPr>
          <w:b/>
          <w:i/>
        </w:rPr>
        <w:t>Congestion Management</w:t>
      </w:r>
    </w:p>
    <w:p>
      <w:pPr>
        <w:pStyle w:val="Header"/>
        <w:tabs>
          <w:tab w:val="clear" w:pos="4320"/>
          <w:tab w:val="clear" w:pos="8640"/>
        </w:tabs>
        <w:spacing w:lineRule="auto" w:line="360" w:before="120" w:after="120"/>
        <w:ind w:start="1440" w:end="0"/>
        <w:rPr>
          <w:b/>
          <w:i/>
          <w:i/>
        </w:rPr>
      </w:pPr>
      <w:r>
        <w:rPr>
          <w:b/>
          <w:i/>
          <w:lang w:eastAsia="en-US"/>
        </w:rPr>
        <w:t>Interzonal Congestion</w:t>
      </w:r>
    </w:p>
    <w:p>
      <w:pPr>
        <w:pStyle w:val="Header"/>
        <w:numPr>
          <w:ilvl w:val="0"/>
          <w:numId w:val="6"/>
        </w:numPr>
        <w:tabs>
          <w:tab w:val="clear" w:pos="4320"/>
          <w:tab w:val="clear" w:pos="8640"/>
        </w:tabs>
        <w:spacing w:lineRule="auto" w:line="360" w:before="120" w:after="120"/>
        <w:rPr/>
      </w:pPr>
      <w:r>
        <w:rPr>
          <w:lang w:eastAsia="en-US"/>
        </w:rPr>
        <w:t>In order to reduce the potential for gaming of transmission congestion, ERCOT should amend the Protocols to convert to direct assignment of interzonal congestion costs, and base direct assignment of interzonal congestion costs on an adjustable commercial model that employs operational shift factors on the CSCs.</w:t>
      </w:r>
    </w:p>
    <w:p>
      <w:pPr>
        <w:pStyle w:val="Header"/>
        <w:numPr>
          <w:ilvl w:val="0"/>
          <w:numId w:val="6"/>
        </w:numPr>
        <w:tabs>
          <w:tab w:val="clear" w:pos="4320"/>
          <w:tab w:val="clear" w:pos="8640"/>
        </w:tabs>
        <w:spacing w:lineRule="auto" w:line="360" w:before="120" w:after="120"/>
        <w:rPr/>
      </w:pPr>
      <w:r>
        <w:rPr>
          <w:lang w:eastAsia="en-US"/>
        </w:rPr>
        <w:t>ERCOT should amend the Protocols to require it to publish advisory updates or forecasts of the shift factors corresponding to CSCs to reflect predicted operating conditions and contingencies.</w:t>
      </w:r>
    </w:p>
    <w:p>
      <w:pPr>
        <w:pStyle w:val="Header"/>
        <w:numPr>
          <w:ilvl w:val="0"/>
          <w:numId w:val="6"/>
        </w:numPr>
        <w:tabs>
          <w:tab w:val="clear" w:pos="4320"/>
          <w:tab w:val="clear" w:pos="8640"/>
        </w:tabs>
        <w:spacing w:lineRule="auto" w:line="360" w:before="120" w:after="120"/>
        <w:rPr/>
      </w:pPr>
      <w:r>
        <w:rPr>
          <w:lang w:eastAsia="en-US"/>
        </w:rPr>
        <w:t>ERCOT’s obligation to guarantee full zone-to-zone congestion cost insurance to those who acquire TCRs in proportions based on forecasted shift factors, should be eliminated.</w:t>
      </w:r>
      <w:r>
        <w:rPr/>
        <w:t xml:space="preserve">  As a result, a TCR portfolio that provides full cover of interzonal congestion cost based on the forecasted shift factors will not guarantee a full hedge against the congestion charges, which will be based on the operational shift factors.  This discrepancy can be partially rectified by relying on secondary markets for TCRs, which will allow market participants to adjust their TCR portfolios so as to track the updated shift factors.  Such portfolio adjustments are common in the financial world and are offered as a service by index funds that continuously update their portfolios to track valuation changes in different stocks.  However, even with such adjustments, achieving full cover would be unrealistic and too expensive.</w:t>
      </w:r>
    </w:p>
    <w:p>
      <w:pPr>
        <w:pStyle w:val="Header"/>
        <w:numPr>
          <w:ilvl w:val="0"/>
          <w:numId w:val="6"/>
        </w:numPr>
        <w:tabs>
          <w:tab w:val="clear" w:pos="4320"/>
          <w:tab w:val="clear" w:pos="8640"/>
        </w:tabs>
        <w:spacing w:lineRule="auto" w:line="360" w:before="120" w:after="120"/>
        <w:rPr/>
      </w:pPr>
      <w:r>
        <w:rPr/>
        <w:t>The “full cover” requirement for TCR holders (who are fully covered based on forecasted shift factors) should be relaxed; ERCOT should not be in the business of insuring transmission users against changes in shift factors.  The residual risk that holders of TCRs will have to absorb due to changes in shift factors is likely to be small.  However, attempting to insulate TCR holders from such residual risk by using an unrealistic model for congestion charges and TCR settlements would cause more harm than good.</w:t>
      </w:r>
    </w:p>
    <w:p>
      <w:pPr>
        <w:pStyle w:val="Header"/>
        <w:tabs>
          <w:tab w:val="clear" w:pos="4320"/>
          <w:tab w:val="clear" w:pos="8640"/>
        </w:tabs>
        <w:spacing w:lineRule="auto" w:line="360" w:before="120" w:after="120"/>
        <w:ind w:start="1440" w:end="0"/>
        <w:rPr>
          <w:b/>
          <w:i/>
          <w:i/>
        </w:rPr>
      </w:pPr>
      <w:r>
        <w:rPr>
          <w:b/>
          <w:i/>
          <w:lang w:eastAsia="en-US"/>
        </w:rPr>
        <w:t>Intrazonal Congestion</w:t>
      </w:r>
    </w:p>
    <w:p>
      <w:pPr>
        <w:pStyle w:val="Header"/>
        <w:numPr>
          <w:ilvl w:val="0"/>
          <w:numId w:val="6"/>
        </w:numPr>
        <w:tabs>
          <w:tab w:val="clear" w:pos="4320"/>
          <w:tab w:val="clear" w:pos="8640"/>
        </w:tabs>
        <w:spacing w:lineRule="auto" w:line="360" w:before="120" w:after="120"/>
        <w:rPr/>
      </w:pPr>
      <w:r>
        <w:rPr>
          <w:lang w:eastAsia="en-US"/>
        </w:rPr>
        <w:t>In order to reduce the potential for gaming of transmission congestion, ERCOT should amend the Protocols to require direct assignment of intrazonal congestion management costs, through a usage fee that is based on the flow on the congested intrazonal interface.  The usage fee should be set to the operational shadow price on the congested intrazonal interface.  The usage fee should apply to the generation resources that cause the congestion.  The net revenues resulting from the usage fee should be distributed, or credited against uplift charges, on a load-ratio basis within the zone in which the congested intrazonal interface is located, or used to fund construction of transmission facilities.</w:t>
      </w:r>
    </w:p>
    <w:p>
      <w:pPr>
        <w:pStyle w:val="Header"/>
        <w:numPr>
          <w:ilvl w:val="0"/>
          <w:numId w:val="6"/>
        </w:numPr>
        <w:tabs>
          <w:tab w:val="clear" w:pos="4320"/>
          <w:tab w:val="clear" w:pos="8640"/>
        </w:tabs>
        <w:spacing w:lineRule="auto" w:line="360" w:before="120" w:after="120"/>
        <w:rPr/>
      </w:pPr>
      <w:r>
        <w:rPr/>
        <w:t>Under the Protocols, interzonal congestion will be cleared through the deployment of balancing energy service by congestion zone.  However, local congestion will be cleared through the deployment of specific resources.  Thus, ERCOT should have the ability to determine the impact of specific resources on specific constraints.  Therefore, for intrazonal congestion, ERCOT should be able to apply the usage fee ordered by the Commission to specific resources using this resource-specific information.  However, to the extent that doing so proves infeasible under the zonal, portfolio-based model embodied in the Protocols, ERCOT should promptly notify the Commission, so that the Commission can consider implementation of other alternative congestion management methods, particularly locational marginal pricing.</w:t>
      </w:r>
    </w:p>
    <w:p>
      <w:pPr>
        <w:pStyle w:val="Header"/>
        <w:numPr>
          <w:ilvl w:val="0"/>
          <w:numId w:val="6"/>
        </w:numPr>
        <w:tabs>
          <w:tab w:val="clear" w:pos="4320"/>
          <w:tab w:val="clear" w:pos="8640"/>
        </w:tabs>
        <w:spacing w:lineRule="auto" w:line="360" w:before="120" w:after="120"/>
        <w:rPr/>
      </w:pPr>
      <w:r>
        <w:rPr>
          <w:lang w:eastAsia="en-US"/>
        </w:rPr>
        <w:t>ERCOT should revise the equation</w:t>
      </w:r>
      <w:r>
        <w:rPr/>
        <w:t xml:space="preserve"> in Protocols §6.8.2.2(4) so that OOME payments offset imbalance payments for instructed decrements, in order to reduce the potential for gaming where there is no market solution and MCPE is negative.</w:t>
      </w:r>
    </w:p>
    <w:p>
      <w:pPr>
        <w:pStyle w:val="Header"/>
        <w:tabs>
          <w:tab w:val="clear" w:pos="4320"/>
          <w:tab w:val="clear" w:pos="8640"/>
        </w:tabs>
        <w:spacing w:lineRule="auto" w:line="360" w:before="120" w:after="120"/>
        <w:ind w:start="720" w:end="0"/>
        <w:rPr>
          <w:b/>
          <w:i/>
          <w:i/>
        </w:rPr>
      </w:pPr>
      <w:r>
        <w:rPr>
          <w:b/>
          <w:i/>
        </w:rPr>
        <w:t>Load Participation in the ERCOT Markets</w:t>
      </w:r>
    </w:p>
    <w:p>
      <w:pPr>
        <w:pStyle w:val="Header"/>
        <w:numPr>
          <w:ilvl w:val="0"/>
          <w:numId w:val="6"/>
        </w:numPr>
        <w:tabs>
          <w:tab w:val="clear" w:pos="4320"/>
          <w:tab w:val="clear" w:pos="8640"/>
        </w:tabs>
        <w:spacing w:lineRule="auto" w:line="360" w:before="120" w:after="120"/>
        <w:rPr/>
      </w:pPr>
      <w:r>
        <w:rPr/>
        <w:t>Robust load participation in the markets is a key element in well functioning competitive electricity markets.</w:t>
      </w:r>
    </w:p>
    <w:p>
      <w:pPr>
        <w:pStyle w:val="Header"/>
        <w:numPr>
          <w:ilvl w:val="0"/>
          <w:numId w:val="6"/>
        </w:numPr>
        <w:tabs>
          <w:tab w:val="clear" w:pos="4320"/>
          <w:tab w:val="clear" w:pos="8640"/>
        </w:tabs>
        <w:spacing w:lineRule="auto" w:line="360" w:before="120" w:after="120"/>
        <w:rPr/>
      </w:pPr>
      <w:r>
        <w:rPr/>
        <w:t>ERCOT should develop additional measures and refine existing measures, to enable load resources a greater opportunity to participate in the ERCOT markets.  As many of these measures as possible should take effect by January 1, 2002, because existing Commission-approved tariffs addressing load resource participation in the markets will expire this year.</w:t>
      </w:r>
    </w:p>
    <w:p>
      <w:pPr>
        <w:pStyle w:val="Header"/>
        <w:numPr>
          <w:ilvl w:val="0"/>
          <w:numId w:val="6"/>
        </w:numPr>
        <w:tabs>
          <w:tab w:val="clear" w:pos="4320"/>
          <w:tab w:val="clear" w:pos="8640"/>
        </w:tabs>
        <w:spacing w:lineRule="auto" w:line="360" w:before="120" w:after="120"/>
        <w:rPr/>
      </w:pPr>
      <w:r>
        <w:rPr/>
        <w:t>In improving load resources’ ability to participate in the ancillary services markets, ERCOT should consider hiring an independent expert on load participation in competitive electricity markets to aid its efforts.  In addition, ERCOT should consider creating a new standing subcommittee or work group dedicated to addressing load resource issues, in order that load resources can cost effectively participate in addressing issues that affect them.</w:t>
      </w:r>
    </w:p>
    <w:p>
      <w:pPr>
        <w:pStyle w:val="Header"/>
        <w:numPr>
          <w:ilvl w:val="0"/>
          <w:numId w:val="6"/>
        </w:numPr>
        <w:tabs>
          <w:tab w:val="clear" w:pos="4320"/>
          <w:tab w:val="clear" w:pos="8640"/>
        </w:tabs>
        <w:spacing w:lineRule="auto" w:line="360" w:before="120" w:after="120"/>
        <w:rPr/>
      </w:pPr>
      <w:r>
        <w:rPr/>
        <w:t>Protocols §18.7.1.4(2) states that, within each TDSP service area, additional TOU schedules can be developed based on agreement between the TDSP and the requesting competitive retailer.  This Protocols section should be revised to state that, for TDSPs regulated by the Commission, additional TOU schedules shall be implemented upon approval by the Commission.  This revision recognizes that these TDSPs’ conduct with respect to TOU schedules is regulated by the Commission.  Direct Commission oversight of this area will enable the Commission to encourage the further development of TOU pricing and provide an avenue for competitive retailers to resolve any disputes that they have with these TDSPs concerning TOU schedules.</w:t>
      </w:r>
    </w:p>
    <w:p>
      <w:pPr>
        <w:pStyle w:val="Header"/>
        <w:numPr>
          <w:ilvl w:val="0"/>
          <w:numId w:val="6"/>
        </w:numPr>
        <w:tabs>
          <w:tab w:val="clear" w:pos="4320"/>
          <w:tab w:val="clear" w:pos="8640"/>
        </w:tabs>
        <w:spacing w:lineRule="auto" w:line="360" w:before="120" w:after="120"/>
        <w:rPr/>
      </w:pPr>
      <w:r>
        <w:rPr/>
        <w:t xml:space="preserve">Protocols §18.4.4.1 states that TDSPs </w:t>
      </w:r>
      <w:r>
        <w:rPr>
          <w:i/>
        </w:rPr>
        <w:t>may</w:t>
      </w:r>
      <w:r>
        <w:rPr/>
        <w:t xml:space="preserve"> be required to change the assignment of load profile types or weather zones based on the outcome of disputes filed by competitive retailers.  ERCOT should revise this provision to clarify that a TDSP </w:t>
      </w:r>
      <w:r>
        <w:rPr>
          <w:i/>
        </w:rPr>
        <w:t>shall</w:t>
      </w:r>
      <w:r>
        <w:rPr/>
        <w:t xml:space="preserve"> change the assignment of a load profile based on the outcome of a dispute in favor of a competitive retailer.</w:t>
      </w:r>
    </w:p>
    <w:p>
      <w:pPr>
        <w:pStyle w:val="Header"/>
        <w:numPr>
          <w:ilvl w:val="0"/>
          <w:numId w:val="6"/>
        </w:numPr>
        <w:tabs>
          <w:tab w:val="clear" w:pos="4320"/>
          <w:tab w:val="clear" w:pos="8640"/>
        </w:tabs>
        <w:spacing w:lineRule="auto" w:line="360" w:before="120" w:after="120"/>
        <w:rPr/>
      </w:pPr>
      <w:r>
        <w:rPr/>
        <w:t>In the long term, increased small commercial and residential load responsiveness can be best achieved through deployment of real-time metering for these customers.  Deployment costs for these meters continue to drop, and the Commission consequently welcomes suggestions on how to cost effectively deploy real-time meters.</w:t>
      </w:r>
    </w:p>
    <w:p>
      <w:pPr>
        <w:pStyle w:val="Header"/>
        <w:tabs>
          <w:tab w:val="clear" w:pos="4320"/>
          <w:tab w:val="clear" w:pos="8640"/>
        </w:tabs>
        <w:spacing w:lineRule="auto" w:line="360" w:before="120" w:after="120"/>
        <w:ind w:start="720" w:end="0"/>
        <w:rPr>
          <w:b/>
          <w:i/>
          <w:i/>
        </w:rPr>
      </w:pPr>
      <w:r>
        <w:rPr>
          <w:b/>
          <w:i/>
        </w:rPr>
        <w:t>Reserve Margin</w:t>
      </w:r>
    </w:p>
    <w:p>
      <w:pPr>
        <w:pStyle w:val="Header"/>
        <w:numPr>
          <w:ilvl w:val="0"/>
          <w:numId w:val="6"/>
        </w:numPr>
        <w:tabs>
          <w:tab w:val="clear" w:pos="4320"/>
          <w:tab w:val="clear" w:pos="8640"/>
        </w:tabs>
        <w:spacing w:lineRule="auto" w:line="360" w:before="120" w:after="120"/>
        <w:rPr/>
      </w:pPr>
      <w:r>
        <w:rPr>
          <w:lang w:eastAsia="en-US"/>
        </w:rPr>
        <w:t>The Commission must decide whether the adequacy of reserve margins should be left to market forces, or whether regulations should be created to help ensure a minimum reserve margin and, if so, what regulatory method should be used.  Therefore, the Commission intends to consider these policy issues later this year.  ERCOT should continue its efforts to determine an appropriate reserve margin, and should be prepared to implement a reserve margin requirement if one is imposed by the Commission.</w:t>
      </w:r>
    </w:p>
    <w:p>
      <w:pPr>
        <w:pStyle w:val="Header"/>
        <w:tabs>
          <w:tab w:val="clear" w:pos="4320"/>
          <w:tab w:val="clear" w:pos="8640"/>
        </w:tabs>
        <w:spacing w:lineRule="auto" w:line="360" w:before="120" w:after="120"/>
        <w:ind w:start="720" w:end="0"/>
        <w:rPr>
          <w:b/>
          <w:i/>
          <w:i/>
        </w:rPr>
      </w:pPr>
      <w:r>
        <w:rPr>
          <w:b/>
          <w:i/>
          <w:lang w:eastAsia="en-US"/>
        </w:rPr>
        <w:t>Qualifying Facilities</w:t>
      </w:r>
    </w:p>
    <w:p>
      <w:pPr>
        <w:pStyle w:val="Header"/>
        <w:numPr>
          <w:ilvl w:val="0"/>
          <w:numId w:val="6"/>
        </w:numPr>
        <w:tabs>
          <w:tab w:val="clear" w:pos="4320"/>
          <w:tab w:val="clear" w:pos="8640"/>
        </w:tabs>
        <w:spacing w:lineRule="auto" w:line="360" w:before="120" w:after="120"/>
        <w:rPr/>
      </w:pPr>
      <w:r>
        <w:rPr>
          <w:lang w:eastAsia="en-US"/>
        </w:rPr>
        <w:t xml:space="preserve">The Commission has petitioned the Federal Energy Regulatory Commission for an express waiver of special requirements pertaining to qualifying facilities.  </w:t>
      </w:r>
      <w:r>
        <w:rPr>
          <w:i/>
          <w:lang w:eastAsia="en-US"/>
        </w:rPr>
        <w:t>Petition of the Public Utility Commission of Texas for Waiver of Commission Rules pursuant to 18 CFR Part 292, Subpart C</w:t>
      </w:r>
      <w:r>
        <w:rPr>
          <w:lang w:eastAsia="en-US"/>
        </w:rPr>
        <w:t>, Docket No. EL01-60-000.</w:t>
      </w:r>
    </w:p>
    <w:p>
      <w:pPr>
        <w:pStyle w:val="Header"/>
        <w:tabs>
          <w:tab w:val="clear" w:pos="4320"/>
          <w:tab w:val="clear" w:pos="8640"/>
        </w:tabs>
        <w:spacing w:lineRule="auto" w:line="360" w:before="120" w:after="120"/>
        <w:ind w:start="720" w:end="0"/>
        <w:rPr>
          <w:b/>
          <w:i/>
          <w:i/>
        </w:rPr>
      </w:pPr>
      <w:r>
        <w:rPr>
          <w:b/>
          <w:i/>
          <w:lang w:eastAsia="en-US"/>
        </w:rPr>
        <w:t>Federal Resources</w:t>
      </w:r>
    </w:p>
    <w:p>
      <w:pPr>
        <w:pStyle w:val="Header"/>
        <w:numPr>
          <w:ilvl w:val="0"/>
          <w:numId w:val="6"/>
        </w:numPr>
        <w:tabs>
          <w:tab w:val="clear" w:pos="4320"/>
          <w:tab w:val="clear" w:pos="8640"/>
        </w:tabs>
        <w:spacing w:lineRule="auto" w:line="360" w:before="120" w:after="120"/>
        <w:rPr/>
      </w:pPr>
      <w:r>
        <w:rPr>
          <w:lang w:eastAsia="en-US"/>
        </w:rPr>
        <w:t>A federal agency that sells power in ERCOT has been reluctant to provide the standard generation resource information to ERCOT and sign the standard resource entity agreement with ERCOT, due to sovereignty concerns.  Therefore, ERCOT should revise the Protocols to the extent necessary to address issues specific to federal resources.</w:t>
      </w:r>
    </w:p>
    <w:p>
      <w:pPr>
        <w:pStyle w:val="Header"/>
        <w:tabs>
          <w:tab w:val="clear" w:pos="4320"/>
          <w:tab w:val="clear" w:pos="8640"/>
        </w:tabs>
        <w:spacing w:lineRule="auto" w:line="360" w:before="120" w:after="120"/>
        <w:ind w:start="720" w:end="0"/>
        <w:rPr>
          <w:b/>
          <w:i/>
          <w:i/>
        </w:rPr>
      </w:pPr>
      <w:r>
        <w:rPr>
          <w:b/>
          <w:i/>
          <w:lang w:eastAsia="en-US"/>
        </w:rPr>
        <w:t>Surety Bond to Meet Creditworthiness Requirements</w:t>
      </w:r>
    </w:p>
    <w:p>
      <w:pPr>
        <w:pStyle w:val="Header"/>
        <w:numPr>
          <w:ilvl w:val="0"/>
          <w:numId w:val="6"/>
        </w:numPr>
        <w:tabs>
          <w:tab w:val="clear" w:pos="4320"/>
          <w:tab w:val="clear" w:pos="8640"/>
        </w:tabs>
        <w:spacing w:lineRule="auto" w:line="360" w:before="120" w:after="120"/>
        <w:rPr/>
      </w:pPr>
      <w:r>
        <w:rPr>
          <w:lang w:eastAsia="en-US"/>
        </w:rPr>
        <w:t>The parties were in agreement that posting a surety bond is an appropriate method for a QSE to meet creditworthiness requirements.  Therefore, ERCOT should amend the Protocols to permit this option.</w:t>
      </w:r>
    </w:p>
    <w:p>
      <w:pPr>
        <w:pStyle w:val="Header"/>
        <w:tabs>
          <w:tab w:val="clear" w:pos="4320"/>
          <w:tab w:val="clear" w:pos="8640"/>
        </w:tabs>
        <w:spacing w:lineRule="auto" w:line="360" w:before="120" w:after="120"/>
        <w:ind w:start="720" w:end="0"/>
        <w:rPr>
          <w:b/>
          <w:i/>
          <w:i/>
        </w:rPr>
      </w:pPr>
      <w:r>
        <w:rPr>
          <w:b/>
          <w:i/>
          <w:lang w:eastAsia="en-US"/>
        </w:rPr>
        <w:t>Retail Customer Registration</w:t>
      </w:r>
    </w:p>
    <w:p>
      <w:pPr>
        <w:pStyle w:val="Header"/>
        <w:numPr>
          <w:ilvl w:val="0"/>
          <w:numId w:val="6"/>
        </w:numPr>
        <w:tabs>
          <w:tab w:val="clear" w:pos="4320"/>
          <w:tab w:val="clear" w:pos="8640"/>
        </w:tabs>
        <w:spacing w:lineRule="auto" w:line="360" w:before="120" w:after="120"/>
        <w:rPr/>
      </w:pPr>
      <w:r>
        <w:rPr>
          <w:lang w:eastAsia="en-US"/>
        </w:rPr>
        <w:t xml:space="preserve">As part of its petition in this docket, ERCOT requested to be designated the registration agent for Texas pursuant to P.U.C. </w:t>
      </w:r>
      <w:r>
        <w:rPr>
          <w:smallCaps/>
          <w:lang w:eastAsia="en-US"/>
        </w:rPr>
        <w:t>Subst.</w:t>
      </w:r>
      <w:r>
        <w:rPr>
          <w:lang w:eastAsia="en-US"/>
        </w:rPr>
        <w:t xml:space="preserve"> R. 25.471(d)(11), including the areas outside of ERCOT.  The Commission previously approved ERCOT as the registration agent for the ERCOT power region, by certifying ERCOT pursuant to PURA §§39.151(a)(3) and (c) as the</w:t>
      </w:r>
      <w:r>
        <w:rPr/>
        <w:t xml:space="preserve"> independent organization for the ERCOT power region to ensure that information relating to a customer’s choice of competitive retailer is conveyed in a timely manner to the entities who need that information.  </w:t>
      </w:r>
      <w:r>
        <w:rPr>
          <w:lang w:eastAsia="en-US"/>
        </w:rPr>
        <w:t>ERCOT’s request in the current proceeding for certification as the independent organization to ensure that information relating to a customer’s choice of competitive retailer is conveyed in a timely manner to the entities who need that information, for the areas in Texas outside of the ERCOT power region, should be approved.</w:t>
      </w:r>
    </w:p>
    <w:p>
      <w:pPr>
        <w:pStyle w:val="Header"/>
        <w:numPr>
          <w:ilvl w:val="0"/>
          <w:numId w:val="6"/>
        </w:numPr>
        <w:tabs>
          <w:tab w:val="clear" w:pos="4320"/>
          <w:tab w:val="clear" w:pos="8640"/>
        </w:tabs>
        <w:spacing w:lineRule="auto" w:line="360" w:before="120" w:after="120"/>
        <w:rPr/>
      </w:pPr>
      <w:r>
        <w:rPr>
          <w:lang w:eastAsia="en-US"/>
        </w:rPr>
        <w:t>Although ERCOT’s functions include enforcing operating standards to ensure ERCOT grid reliability, ERCOT’s functions do not include enforcing TDSP customer switch performance standards.  Instead, the Commission will enforce these standards, through its Substantive Rules and the standardized Tariff for Retail Delivery Service.  In order to facilitate the Commission’s enforcement of these standards, ERCOT should amend the Protocols to require that it immediately notify the Commission and the affected competitive retailers if a TDSP fails to meet its customer switch responsibilities under the Protocols.</w:t>
      </w:r>
    </w:p>
    <w:p>
      <w:pPr>
        <w:pStyle w:val="Header"/>
        <w:numPr>
          <w:ilvl w:val="0"/>
          <w:numId w:val="6"/>
        </w:numPr>
        <w:tabs>
          <w:tab w:val="clear" w:pos="4320"/>
          <w:tab w:val="clear" w:pos="8640"/>
        </w:tabs>
        <w:spacing w:lineRule="auto" w:line="360" w:before="120" w:after="120"/>
        <w:rPr/>
      </w:pPr>
      <w:r>
        <w:rPr>
          <w:lang w:eastAsia="en-US"/>
        </w:rPr>
        <w:t>ERCOT should amend Protocols §11.1.10 to clarify that the deadlines for the interim manual switching process are the same as those for the automated process.</w:t>
      </w:r>
    </w:p>
    <w:p>
      <w:pPr>
        <w:pStyle w:val="Header"/>
        <w:numPr>
          <w:ilvl w:val="0"/>
          <w:numId w:val="6"/>
        </w:numPr>
        <w:tabs>
          <w:tab w:val="clear" w:pos="4320"/>
          <w:tab w:val="clear" w:pos="8640"/>
        </w:tabs>
        <w:spacing w:lineRule="auto" w:line="360" w:before="120" w:after="120"/>
        <w:rPr/>
      </w:pPr>
      <w:r>
        <w:rPr>
          <w:lang w:eastAsia="en-US"/>
        </w:rPr>
        <w:t>ERCOT should amend the Protocols to include a reasonable deadline for it to provide meter-read data to competitive retailers for the interim period before the system vendor can ensure meeting deadlines.</w:t>
      </w:r>
    </w:p>
    <w:p>
      <w:pPr>
        <w:pStyle w:val="Header"/>
        <w:numPr>
          <w:ilvl w:val="0"/>
          <w:numId w:val="6"/>
        </w:numPr>
        <w:tabs>
          <w:tab w:val="clear" w:pos="4320"/>
          <w:tab w:val="clear" w:pos="8640"/>
        </w:tabs>
        <w:spacing w:lineRule="auto" w:line="360" w:before="120" w:after="120"/>
        <w:rPr/>
      </w:pPr>
      <w:r>
        <w:rPr>
          <w:lang w:eastAsia="en-US"/>
        </w:rPr>
        <w:t>Independent Marketers made further suggestions as to how Protocols §15 could be improved to better meet their needs.  In order that the implications of implementing these suggestions can be fully considered, Independent Marketers should work with the applicable ERCOT work groups and submit a Protocol revision request to ERCOT.  If Independent Marketers are dissatisfied with ERCOT’s decision on their request, they can appeal the decision to the Commission, pursuant to Protocols §21.4.9.</w:t>
      </w:r>
    </w:p>
    <w:p>
      <w:pPr>
        <w:pStyle w:val="Header"/>
        <w:tabs>
          <w:tab w:val="clear" w:pos="4320"/>
          <w:tab w:val="clear" w:pos="8640"/>
        </w:tabs>
        <w:spacing w:lineRule="auto" w:line="360" w:before="120" w:after="120"/>
        <w:ind w:start="720" w:end="0"/>
        <w:rPr>
          <w:b/>
          <w:i/>
          <w:i/>
        </w:rPr>
      </w:pPr>
      <w:r>
        <w:rPr>
          <w:b/>
          <w:i/>
          <w:lang w:eastAsia="en-US"/>
        </w:rPr>
        <w:t>ERCOT Fees and Charges</w:t>
      </w:r>
    </w:p>
    <w:p>
      <w:pPr>
        <w:pStyle w:val="Header"/>
        <w:numPr>
          <w:ilvl w:val="0"/>
          <w:numId w:val="6"/>
        </w:numPr>
        <w:tabs>
          <w:tab w:val="clear" w:pos="4320"/>
          <w:tab w:val="clear" w:pos="8640"/>
        </w:tabs>
        <w:spacing w:lineRule="auto" w:line="360" w:before="120" w:after="120"/>
        <w:rPr/>
      </w:pPr>
      <w:r>
        <w:rPr/>
        <w:t xml:space="preserve">Protocols §§7.3.3.1, 7.4.2, 7.4.3, and 9 should be approved on an interim basis, subject to refund or surcharge, with the exception of §9.7.2, but severed and consolidated with </w:t>
      </w:r>
      <w:r>
        <w:rPr>
          <w:i/>
        </w:rPr>
        <w:t>Petition of ERCOT for Approval of the ERCOT Administrative Fee</w:t>
      </w:r>
      <w:r>
        <w:rPr/>
        <w:t>, Docket No. 23320, for final review, in order that the Commission can assure that the fees and charges in this section are reasonable and competitively neutral.  The fees, as currently contemplated, may place too much burden and risk on renewable energy generators and new competitive retailers.  ERCOT’s request to impose a REC fee, pursuant to Protocols §9.7.2, should be denied until such time as this issue can be considered further in Docket No. 23320, because the relatively large fee contemplated by ERCOT may have a significant, adverse impact during the time it takes the Commission to set a final fee for the REC trading program.  Therefore, ERCOT should delete the provisions of Protocols §9.7.2 at this time, subject to reinsertion in Docket No. 23320.</w:t>
      </w:r>
    </w:p>
    <w:p>
      <w:pPr>
        <w:pStyle w:val="Header"/>
        <w:numPr>
          <w:ilvl w:val="0"/>
          <w:numId w:val="6"/>
        </w:numPr>
        <w:tabs>
          <w:tab w:val="clear" w:pos="4320"/>
          <w:tab w:val="clear" w:pos="8640"/>
        </w:tabs>
        <w:spacing w:lineRule="auto" w:line="360" w:before="120" w:after="120"/>
        <w:rPr/>
      </w:pPr>
      <w:r>
        <w:rPr/>
        <w:t>Protocols §9.5.2 requires that a statement or invoice recipient initiate any dispute within ten business days from the issuance of the disputed settlement statement or invoice.  Other retail markets provide substantially more time to initiate a dispute. This ten-day deadline may be too short and may serve as an unnecessary barrier to entry.  This issue should be further addressed in Docket No. 23320.</w:t>
      </w:r>
    </w:p>
    <w:p>
      <w:pPr>
        <w:pStyle w:val="Header"/>
        <w:numPr>
          <w:ilvl w:val="0"/>
          <w:numId w:val="6"/>
        </w:numPr>
        <w:tabs>
          <w:tab w:val="clear" w:pos="4320"/>
          <w:tab w:val="clear" w:pos="8640"/>
        </w:tabs>
        <w:spacing w:lineRule="auto" w:line="360" w:before="120" w:after="120"/>
        <w:rPr/>
      </w:pPr>
      <w:r>
        <w:rPr/>
        <w:t xml:space="preserve">Protocols §9.5.5 states that an entity may </w:t>
      </w:r>
      <w:r>
        <w:rPr>
          <w:i/>
        </w:rPr>
        <w:t>dispute</w:t>
      </w:r>
      <w:r>
        <w:rPr/>
        <w:t xml:space="preserve"> a decision only if it </w:t>
      </w:r>
      <w:r>
        <w:rPr>
          <w:i/>
        </w:rPr>
        <w:t>proves</w:t>
      </w:r>
      <w:r>
        <w:rPr/>
        <w:t xml:space="preserve"> that the decision violates the Protocols.  This is an unachievable standard for initiating a dispute.  Therefore, ERCOT should revise the Protocols §9.5.5 to change “proven” to “alleged.”</w:t>
      </w:r>
    </w:p>
    <w:p>
      <w:pPr>
        <w:pStyle w:val="Heading2"/>
        <w:numPr>
          <w:ilvl w:val="0"/>
          <w:numId w:val="3"/>
        </w:numPr>
        <w:ind w:hanging="0" w:start="0"/>
        <w:rPr/>
      </w:pPr>
      <w:bookmarkStart w:id="26" w:name="__RefHeading___Toc511637921"/>
      <w:bookmarkEnd w:id="26"/>
      <w:r>
        <w:rPr/>
        <w:t>Conclusions of Law</w:t>
      </w:r>
    </w:p>
    <w:p>
      <w:pPr>
        <w:pStyle w:val="Header"/>
        <w:numPr>
          <w:ilvl w:val="0"/>
          <w:numId w:val="4"/>
        </w:numPr>
        <w:tabs>
          <w:tab w:val="clear" w:pos="4320"/>
          <w:tab w:val="clear" w:pos="8640"/>
        </w:tabs>
        <w:spacing w:lineRule="auto" w:line="360" w:before="120" w:after="120"/>
        <w:rPr/>
      </w:pPr>
      <w:r>
        <w:rPr/>
        <w:t>The Commission has jurisdiction over ERCOT’s petition pursuant to PURA §§35.004(e), 39.001, and 39.151.</w:t>
      </w:r>
    </w:p>
    <w:p>
      <w:pPr>
        <w:pStyle w:val="Header"/>
        <w:numPr>
          <w:ilvl w:val="0"/>
          <w:numId w:val="4"/>
        </w:numPr>
        <w:tabs>
          <w:tab w:val="clear" w:pos="4320"/>
          <w:tab w:val="clear" w:pos="8640"/>
        </w:tabs>
        <w:spacing w:lineRule="auto" w:line="360" w:before="120" w:after="120"/>
        <w:rPr/>
      </w:pPr>
      <w:r>
        <w:rPr/>
        <w:t xml:space="preserve">ERCOT provided adequate notice of its application, as required by the administrative law judge pursuant to P.U.C. </w:t>
      </w:r>
      <w:r>
        <w:rPr>
          <w:smallCaps/>
        </w:rPr>
        <w:t>Proc</w:t>
      </w:r>
      <w:r>
        <w:rPr/>
        <w:t>. R. 22.55.</w:t>
      </w:r>
    </w:p>
    <w:p>
      <w:pPr>
        <w:pStyle w:val="Header"/>
        <w:numPr>
          <w:ilvl w:val="0"/>
          <w:numId w:val="4"/>
        </w:numPr>
        <w:tabs>
          <w:tab w:val="clear" w:pos="4320"/>
          <w:tab w:val="clear" w:pos="8640"/>
        </w:tabs>
        <w:spacing w:lineRule="auto" w:line="360" w:before="120" w:after="120"/>
        <w:rPr/>
      </w:pPr>
      <w:r>
        <w:rPr/>
        <w:t>Pursuant to PURA §39.151(i), the Commission may delegate authority to ERCOT to enforce operating standards</w:t>
      </w:r>
      <w:r>
        <w:rPr>
          <w:lang w:eastAsia="en-US"/>
        </w:rPr>
        <w:t xml:space="preserve"> and establish and oversee transaction settlement procedures, within the ERCOT power region.</w:t>
      </w:r>
    </w:p>
    <w:p>
      <w:pPr>
        <w:pStyle w:val="Header"/>
        <w:numPr>
          <w:ilvl w:val="0"/>
          <w:numId w:val="4"/>
        </w:numPr>
        <w:tabs>
          <w:tab w:val="clear" w:pos="4320"/>
          <w:tab w:val="clear" w:pos="8640"/>
        </w:tabs>
        <w:spacing w:lineRule="auto" w:line="360" w:before="120" w:after="120"/>
        <w:rPr/>
      </w:pPr>
      <w:r>
        <w:rPr>
          <w:lang w:eastAsia="en-US"/>
        </w:rPr>
        <w:t>Pursuant to PURA §35.004(e), the Commission must ensure that ancillary services necessary to facilitate the transmission of electric energy are available at reasonable prices with terms and conditions that are not unreasonably preferential, prejudicial, discriminatory, predatory, or anticompetitive.</w:t>
      </w:r>
    </w:p>
    <w:p>
      <w:pPr>
        <w:pStyle w:val="Header"/>
        <w:numPr>
          <w:ilvl w:val="0"/>
          <w:numId w:val="4"/>
        </w:numPr>
        <w:tabs>
          <w:tab w:val="clear" w:pos="4320"/>
          <w:tab w:val="clear" w:pos="8640"/>
        </w:tabs>
        <w:spacing w:lineRule="auto" w:line="360" w:before="120" w:after="120"/>
        <w:rPr/>
      </w:pPr>
      <w:r>
        <w:rPr/>
        <w:t>The Commission has the authority to approve the ERCOT Protocols pursuant to PURA §§35.004(e) and 39.151(d), (e), and (i).</w:t>
      </w:r>
    </w:p>
    <w:p>
      <w:pPr>
        <w:pStyle w:val="Header"/>
        <w:numPr>
          <w:ilvl w:val="0"/>
          <w:numId w:val="4"/>
        </w:numPr>
        <w:tabs>
          <w:tab w:val="clear" w:pos="4320"/>
          <w:tab w:val="clear" w:pos="8640"/>
        </w:tabs>
        <w:spacing w:lineRule="auto" w:line="360" w:before="120" w:after="120"/>
        <w:rPr/>
      </w:pPr>
      <w:r>
        <w:rPr>
          <w:lang w:eastAsia="en-US"/>
        </w:rPr>
        <w:t>Pursuant to PURA §§35.004(e) and 39.151(d) and (e), ERCOT’s procedures and actions to meet its obligations under PURA §§39.151(a), (d), (i), and (j), including the Protocols, are subject to the Commission’s ongoing oversight and review.</w:t>
      </w:r>
    </w:p>
    <w:p>
      <w:pPr>
        <w:pStyle w:val="Header"/>
        <w:numPr>
          <w:ilvl w:val="0"/>
          <w:numId w:val="4"/>
        </w:numPr>
        <w:tabs>
          <w:tab w:val="clear" w:pos="4320"/>
          <w:tab w:val="clear" w:pos="8640"/>
        </w:tabs>
        <w:spacing w:lineRule="auto" w:line="360" w:before="120" w:after="120"/>
        <w:rPr/>
      </w:pPr>
      <w:r>
        <w:rPr>
          <w:lang w:eastAsia="en-US"/>
        </w:rPr>
        <w:t>As an independent organization, ERCOT is sufficiently independent of any producer or seller of electricity such that its decisions will not be unduly influenced by any producer or seller, pursuant to</w:t>
      </w:r>
      <w:r>
        <w:rPr/>
        <w:t xml:space="preserve"> PURA §39.151(b)</w:t>
      </w:r>
      <w:r>
        <w:rPr>
          <w:lang w:eastAsia="en-US"/>
        </w:rPr>
        <w:t xml:space="preserve">.  As a result, the Commission will generally show substantial deference to ERCOT decisions.  However, because the Commission is ultimately responsible for ensuring full and fair competition among all providers of electricity, pursuant to </w:t>
      </w:r>
      <w:r>
        <w:rPr/>
        <w:t xml:space="preserve">PURA §§39.001(b)(1) and 35.002, </w:t>
      </w:r>
      <w:r>
        <w:rPr>
          <w:lang w:eastAsia="en-US"/>
        </w:rPr>
        <w:t>the following matters will be subject to a heightened level of scrutiny by the Commission:  (1) matters that have major impacts on the fundamental design and competitiveness of markets; (2) matters that have disparate impacts on particular types of market participants; (3) matters that may unnecessarily create barriers to entry; and (4) matters that may conflict with legislative or Commission policies.</w:t>
      </w:r>
    </w:p>
    <w:p>
      <w:pPr>
        <w:pStyle w:val="Header"/>
        <w:numPr>
          <w:ilvl w:val="0"/>
          <w:numId w:val="4"/>
        </w:numPr>
        <w:tabs>
          <w:tab w:val="clear" w:pos="4320"/>
          <w:tab w:val="clear" w:pos="8640"/>
        </w:tabs>
        <w:spacing w:lineRule="auto" w:line="360" w:before="120" w:after="120"/>
        <w:rPr/>
      </w:pPr>
      <w:r>
        <w:rPr/>
        <w:t>Pursuant to PURA §§39.151(a)(3) and (c), the Commission must certify an independent organization to ensure that information relating to a customer’s choice of competitive retailer is conveyed in a timely manner to the entities who need that information.</w:t>
      </w:r>
    </w:p>
    <w:p>
      <w:pPr>
        <w:pStyle w:val="Heading1"/>
        <w:ind w:hanging="0" w:start="0"/>
        <w:rPr/>
      </w:pPr>
      <w:bookmarkStart w:id="27" w:name="__RefHeading___Toc511637922"/>
      <w:bookmarkEnd w:id="27"/>
      <w:r>
        <w:rPr/>
        <w:t>Ordering Paragraphs</w:t>
      </w:r>
    </w:p>
    <w:p>
      <w:pPr>
        <w:pStyle w:val="Header"/>
        <w:numPr>
          <w:ilvl w:val="0"/>
          <w:numId w:val="2"/>
        </w:numPr>
        <w:tabs>
          <w:tab w:val="clear" w:pos="4320"/>
          <w:tab w:val="clear" w:pos="8640"/>
        </w:tabs>
        <w:spacing w:lineRule="auto" w:line="360" w:before="120" w:after="120"/>
        <w:rPr/>
      </w:pPr>
      <w:r>
        <w:rPr/>
        <w:t>ERCOT’s petition for approval of the Protocols is approved to the extent specified herein, and subject to the amendments ordered herein.  ERCOT shall amend the Protocols as required by this Order and shall take all other actions prescribed in this Order, and shall take these actions consistent with the timeline contained in Attachment 1 of this Order.</w:t>
      </w:r>
    </w:p>
    <w:p>
      <w:pPr>
        <w:pStyle w:val="Header"/>
        <w:numPr>
          <w:ilvl w:val="0"/>
          <w:numId w:val="2"/>
        </w:numPr>
        <w:tabs>
          <w:tab w:val="clear" w:pos="4320"/>
          <w:tab w:val="clear" w:pos="8640"/>
        </w:tabs>
        <w:spacing w:lineRule="auto" w:line="360" w:before="120" w:after="120"/>
        <w:rPr/>
      </w:pPr>
      <w:r>
        <w:rPr/>
        <w:t xml:space="preserve">Protocols §14 is not approved in this proceeding, and shall be considered further in </w:t>
      </w:r>
      <w:r>
        <w:rPr>
          <w:i/>
        </w:rPr>
        <w:t>ERCOT Proceeding to Consider Protocols Section 14 (Severed from Docket No. 23220),</w:t>
      </w:r>
      <w:r>
        <w:rPr/>
        <w:t xml:space="preserve"> Docket No. 23802, in order to give the Commission and interested entities an opportunity to consider the interplay between REC offsets and certificates of generation.</w:t>
      </w:r>
    </w:p>
    <w:p>
      <w:pPr>
        <w:pStyle w:val="Header"/>
        <w:numPr>
          <w:ilvl w:val="0"/>
          <w:numId w:val="2"/>
        </w:numPr>
        <w:tabs>
          <w:tab w:val="clear" w:pos="4320"/>
          <w:tab w:val="clear" w:pos="8640"/>
        </w:tabs>
        <w:spacing w:lineRule="auto" w:line="360" w:before="120" w:after="120"/>
        <w:rPr/>
      </w:pPr>
      <w:r>
        <w:rPr/>
        <w:t xml:space="preserve">Protocols §§7.3.3.1, 7.4.2, 7.4.3, and 9 are approved on an interim basis, subject to refund or surcharge, with the exception of §9.7.2, but are severed and consolidated with </w:t>
      </w:r>
      <w:r>
        <w:rPr>
          <w:i/>
        </w:rPr>
        <w:t>Petition of ERCOT for Approval of the ERCOT Administrative Fee</w:t>
      </w:r>
      <w:r>
        <w:rPr/>
        <w:t>, Docket No. 23320, for final review.  Approval of §9.7.2 is denied at this time, subject to reconsideration in Docket No. 23320.</w:t>
      </w:r>
    </w:p>
    <w:p>
      <w:pPr>
        <w:pStyle w:val="Header"/>
        <w:numPr>
          <w:ilvl w:val="0"/>
          <w:numId w:val="2"/>
        </w:numPr>
        <w:tabs>
          <w:tab w:val="clear" w:pos="4320"/>
          <w:tab w:val="clear" w:pos="8640"/>
        </w:tabs>
        <w:spacing w:lineRule="auto" w:line="360" w:before="120" w:after="120"/>
        <w:rPr/>
      </w:pPr>
      <w:r>
        <w:rPr>
          <w:lang w:eastAsia="en-US"/>
        </w:rPr>
        <w:t>ERCOT’s petition for certification as the independent organization to ensure that information relating to a customer’s choice of competitive retailer is conveyed in a timely manner to the entities who need that information, for the areas in Texas outside of the ERCOT power region, is approved.</w:t>
      </w:r>
    </w:p>
    <w:p>
      <w:pPr>
        <w:pStyle w:val="Header"/>
        <w:numPr>
          <w:ilvl w:val="0"/>
          <w:numId w:val="2"/>
        </w:numPr>
        <w:tabs>
          <w:tab w:val="clear" w:pos="4320"/>
          <w:tab w:val="clear" w:pos="8640"/>
        </w:tabs>
        <w:spacing w:lineRule="auto" w:line="360" w:before="120" w:after="120"/>
        <w:rPr/>
      </w:pPr>
      <w:r>
        <w:rPr/>
        <w:t>All motions, applications, and requests for entry of specific findings of fact and conclusions of law, and other requests for relief, general and specific, if not expressly granted herein are denied for want of merit.</w:t>
      </w:r>
      <w:r>
        <w:br w:type="page"/>
      </w:r>
    </w:p>
    <w:p>
      <w:pPr>
        <w:pStyle w:val="Header"/>
        <w:tabs>
          <w:tab w:val="clear" w:pos="4320"/>
          <w:tab w:val="clear" w:pos="8640"/>
        </w:tabs>
        <w:rPr/>
      </w:pPr>
      <w:r>
        <w:rPr/>
      </w:r>
    </w:p>
    <w:p>
      <w:pPr>
        <w:pStyle w:val="Normal"/>
        <w:rPr/>
      </w:pPr>
      <w:r>
        <w:rPr/>
      </w:r>
    </w:p>
    <w:p>
      <w:pPr>
        <w:pStyle w:val="Normal"/>
        <w:rPr/>
      </w:pPr>
      <w:r>
        <w:rPr>
          <w:b/>
        </w:rPr>
        <w:tab/>
        <w:t xml:space="preserve">SIGNED AT AUSTIN, TEXAS the </w:t>
      </w:r>
      <w:r>
        <w:rPr>
          <w:b/>
          <w:u w:val="single"/>
        </w:rPr>
        <w:t>______</w:t>
      </w:r>
      <w:r>
        <w:rPr>
          <w:b/>
        </w:rPr>
        <w:t xml:space="preserve"> day of </w:t>
      </w:r>
      <w:r>
        <w:rPr>
          <w:b/>
          <w:sz w:val="26"/>
        </w:rPr>
        <w:t>_________________ 2001</w:t>
      </w:r>
      <w:r>
        <w:rPr>
          <w:b/>
        </w:rPr>
        <w:t>.</w:t>
      </w:r>
    </w:p>
    <w:p>
      <w:pPr>
        <w:pStyle w:val="Normal"/>
        <w:tabs>
          <w:tab w:val="clear" w:pos="720"/>
          <w:tab w:val="left" w:pos="4320" w:leader="none"/>
        </w:tabs>
        <w:spacing w:before="360" w:after="0"/>
        <w:rPr>
          <w:b/>
        </w:rPr>
      </w:pPr>
      <w:r>
        <w:rPr>
          <w:b/>
        </w:rPr>
        <w:tab/>
        <w:t>PUBLIC UTILITY COMMISSION OF TEXAS</w:t>
      </w:r>
    </w:p>
    <w:p>
      <w:pPr>
        <w:pStyle w:val="Normal"/>
        <w:tabs>
          <w:tab w:val="clear" w:pos="720"/>
          <w:tab w:val="left" w:pos="4320" w:leader="none"/>
        </w:tabs>
        <w:rPr>
          <w:b/>
        </w:rPr>
      </w:pPr>
      <w:r>
        <w:rPr>
          <w:b/>
        </w:rPr>
      </w:r>
    </w:p>
    <w:p>
      <w:pPr>
        <w:pStyle w:val="Normal"/>
        <w:tabs>
          <w:tab w:val="clear" w:pos="720"/>
          <w:tab w:val="left" w:pos="4320" w:leader="none"/>
          <w:tab w:val="left" w:pos="8640" w:leader="none"/>
        </w:tabs>
        <w:spacing w:before="240" w:after="0"/>
        <w:rPr/>
      </w:pPr>
      <w:r>
        <w:rPr>
          <w:b/>
        </w:rPr>
        <w:tab/>
      </w:r>
      <w:r>
        <w:rPr>
          <w:b/>
          <w:u w:val="single"/>
        </w:rPr>
        <w:tab/>
      </w:r>
    </w:p>
    <w:p>
      <w:pPr>
        <w:pStyle w:val="Normal"/>
        <w:tabs>
          <w:tab w:val="clear" w:pos="720"/>
          <w:tab w:val="left" w:pos="4320" w:leader="none"/>
          <w:tab w:val="left" w:pos="8640" w:leader="none"/>
        </w:tabs>
        <w:rPr>
          <w:b/>
        </w:rPr>
      </w:pPr>
      <w:r>
        <w:rPr>
          <w:b/>
        </w:rPr>
        <w:tab/>
        <w:t>PAT WOOD, III, CHAIRMAN</w:t>
      </w:r>
    </w:p>
    <w:p>
      <w:pPr>
        <w:pStyle w:val="Normal"/>
        <w:tabs>
          <w:tab w:val="clear" w:pos="720"/>
          <w:tab w:val="left" w:pos="4320" w:leader="none"/>
          <w:tab w:val="left" w:pos="8640" w:leader="none"/>
        </w:tabs>
        <w:rPr>
          <w:b/>
        </w:rPr>
      </w:pPr>
      <w:r>
        <w:rPr>
          <w:b/>
        </w:rPr>
      </w:r>
    </w:p>
    <w:p>
      <w:pPr>
        <w:pStyle w:val="Normal"/>
        <w:tabs>
          <w:tab w:val="clear" w:pos="720"/>
          <w:tab w:val="left" w:pos="4320" w:leader="none"/>
          <w:tab w:val="left" w:pos="8640" w:leader="none"/>
        </w:tabs>
        <w:spacing w:before="240" w:after="0"/>
        <w:rPr/>
      </w:pPr>
      <w:r>
        <w:rPr>
          <w:b/>
        </w:rPr>
        <w:tab/>
      </w:r>
      <w:r>
        <w:rPr>
          <w:b/>
          <w:u w:val="single"/>
        </w:rPr>
        <w:tab/>
      </w:r>
    </w:p>
    <w:p>
      <w:pPr>
        <w:pStyle w:val="Normal"/>
        <w:tabs>
          <w:tab w:val="clear" w:pos="720"/>
          <w:tab w:val="left" w:pos="4320" w:leader="none"/>
          <w:tab w:val="left" w:pos="8640" w:leader="none"/>
        </w:tabs>
        <w:rPr>
          <w:b/>
        </w:rPr>
      </w:pPr>
      <w:r>
        <w:rPr>
          <w:b/>
        </w:rPr>
        <w:tab/>
        <w:t>JUDY WALSH, COMMISSIONER</w:t>
      </w:r>
    </w:p>
    <w:p>
      <w:pPr>
        <w:pStyle w:val="Normal"/>
        <w:tabs>
          <w:tab w:val="clear" w:pos="720"/>
          <w:tab w:val="left" w:pos="4320" w:leader="none"/>
          <w:tab w:val="left" w:pos="8640" w:leader="none"/>
        </w:tabs>
        <w:rPr>
          <w:b/>
        </w:rPr>
      </w:pPr>
      <w:r>
        <w:rPr>
          <w:b/>
        </w:rPr>
      </w:r>
    </w:p>
    <w:p>
      <w:pPr>
        <w:pStyle w:val="Normal"/>
        <w:tabs>
          <w:tab w:val="clear" w:pos="720"/>
          <w:tab w:val="left" w:pos="4320" w:leader="none"/>
          <w:tab w:val="left" w:pos="8640" w:leader="none"/>
        </w:tabs>
        <w:spacing w:before="240" w:after="0"/>
        <w:rPr/>
      </w:pPr>
      <w:r>
        <w:rPr>
          <w:b/>
        </w:rPr>
        <w:tab/>
      </w:r>
      <w:r>
        <w:rPr>
          <w:b/>
          <w:u w:val="single"/>
        </w:rPr>
        <w:tab/>
      </w:r>
    </w:p>
    <w:p>
      <w:pPr>
        <w:pStyle w:val="Normal"/>
        <w:tabs>
          <w:tab w:val="clear" w:pos="720"/>
          <w:tab w:val="left" w:pos="4320" w:leader="none"/>
          <w:tab w:val="left" w:pos="8640" w:leader="none"/>
        </w:tabs>
        <w:rPr>
          <w:b/>
        </w:rPr>
      </w:pPr>
      <w:r>
        <w:rPr>
          <w:b/>
        </w:rPr>
        <w:tab/>
        <w:t>BRETT A. PERLMAN, COMMISSIONER</w:t>
      </w:r>
    </w:p>
    <w:p>
      <w:pPr>
        <w:pStyle w:val="Normal"/>
        <w:tabs>
          <w:tab w:val="clear" w:pos="720"/>
          <w:tab w:val="left" w:pos="4320" w:leader="none"/>
          <w:tab w:val="left" w:pos="8640" w:leader="none"/>
        </w:tabs>
        <w:rPr>
          <w:b/>
        </w:rPr>
      </w:pPr>
      <w:r>
        <w:rPr>
          <w:b/>
        </w:rPr>
      </w:r>
    </w:p>
    <w:p>
      <w:pPr>
        <w:pStyle w:val="Normal"/>
        <w:tabs>
          <w:tab w:val="clear" w:pos="720"/>
          <w:tab w:val="left" w:pos="4320" w:leader="none"/>
          <w:tab w:val="left" w:pos="8640" w:leader="none"/>
        </w:tabs>
        <w:rPr>
          <w:b/>
        </w:rPr>
      </w:pPr>
      <w:r>
        <w:rPr>
          <w:b/>
        </w:rPr>
      </w:r>
    </w:p>
    <w:p>
      <w:pPr>
        <w:pStyle w:val="Normal"/>
        <w:tabs>
          <w:tab w:val="clear" w:pos="720"/>
          <w:tab w:val="left" w:pos="4320" w:leader="none"/>
          <w:tab w:val="left" w:pos="8640" w:leader="none"/>
        </w:tabs>
        <w:rPr>
          <w:sz w:val="20"/>
        </w:rPr>
      </w:pPr>
      <w:r>
        <w:rPr>
          <w:sz w:val="20"/>
        </w:rPr>
        <w:fldChar w:fldCharType="begin"/>
      </w:r>
      <w:r>
        <w:rPr>
          <w:sz w:val="20"/>
        </w:rPr>
        <w:instrText xml:space="preserve"> FILENAME \p </w:instrText>
      </w:r>
      <w:r>
        <w:rPr>
          <w:sz w:val="20"/>
        </w:rPr>
        <w:fldChar w:fldCharType="separate"/>
      </w:r>
      <w:r>
        <w:rPr>
          <w:sz w:val="20"/>
        </w:rPr>
        <w:t>/mnt/main-storage/datasets/enron-docs/doc/23220fo.doc</w:t>
      </w:r>
      <w:r>
        <w:rPr>
          <w:sz w:val="20"/>
        </w:rPr>
        <w:fldChar w:fldCharType="end"/>
      </w:r>
      <w:r>
        <w:br w:type="page"/>
      </w:r>
    </w:p>
    <w:p>
      <w:pPr>
        <w:pStyle w:val="Normal"/>
        <w:tabs>
          <w:tab w:val="clear" w:pos="720"/>
          <w:tab w:val="left" w:pos="4320" w:leader="none"/>
          <w:tab w:val="left" w:pos="8640" w:leader="none"/>
        </w:tabs>
        <w:rPr>
          <w:sz w:val="20"/>
        </w:rPr>
      </w:pPr>
      <w:r>
        <w:rPr>
          <w:sz w:val="20"/>
        </w:rPr>
      </w:r>
    </w:p>
    <w:p>
      <w:pPr>
        <w:pStyle w:val="Heading5"/>
        <w:tabs>
          <w:tab w:val="clear" w:pos="4320"/>
          <w:tab w:val="clear" w:pos="8640"/>
        </w:tabs>
        <w:rPr/>
      </w:pPr>
      <w:r>
        <w:rPr/>
        <w:t>Attachment 1</w:t>
      </w:r>
    </w:p>
    <w:p>
      <w:pPr>
        <w:pStyle w:val="Heading4"/>
        <w:tabs>
          <w:tab w:val="clear" w:pos="4320"/>
          <w:tab w:val="clear" w:pos="8640"/>
        </w:tabs>
        <w:rPr>
          <w:sz w:val="24"/>
        </w:rPr>
      </w:pPr>
      <w:r>
        <w:rPr>
          <w:sz w:val="24"/>
        </w:rPr>
      </w:r>
    </w:p>
    <w:p>
      <w:pPr>
        <w:pStyle w:val="Heading4"/>
        <w:tabs>
          <w:tab w:val="clear" w:pos="4320"/>
          <w:tab w:val="clear" w:pos="8640"/>
        </w:tabs>
        <w:rPr/>
      </w:pPr>
      <w:r>
        <w:rPr/>
        <w:t>Table of Contents</w:t>
      </w:r>
    </w:p>
    <w:p>
      <w:pPr>
        <w:pStyle w:val="Normal"/>
        <w:tabs>
          <w:tab w:val="clear" w:pos="720"/>
          <w:tab w:val="left" w:pos="4320" w:leader="none"/>
          <w:tab w:val="left" w:pos="8640" w:leader="none"/>
        </w:tabs>
        <w:jc w:val="center"/>
        <w:rPr/>
      </w:pPr>
      <w:r>
        <w:rPr/>
      </w:r>
    </w:p>
    <w:sdt>
      <w:sdtPr>
        <w:docPartObj>
          <w:docPartGallery w:val="Table of Contents"/>
          <w:docPartUnique w:val="true"/>
        </w:docPartObj>
      </w:sdtPr>
      <w:sdtContent>
        <w:p>
          <w:pPr>
            <w:pStyle w:val="TOC2"/>
            <w:tabs>
              <w:tab w:val="left" w:pos="720" w:leader="none"/>
              <w:tab w:val="right" w:pos="9350" w:leader="dot"/>
            </w:tabs>
            <w:rPr>
              <w:lang w:val="en-CA"/>
            </w:rPr>
          </w:pPr>
          <w:r>
            <w:fldChar w:fldCharType="begin"/>
          </w:r>
          <w:r>
            <w:rPr>
              <w:lang w:val="en-CA"/>
            </w:rPr>
            <w:instrText xml:space="preserve"> TOC \o "1-8" </w:instrText>
          </w:r>
          <w:r>
            <w:rPr>
              <w:lang w:val="en-CA"/>
            </w:rPr>
            <w:fldChar w:fldCharType="separate"/>
          </w:r>
          <w:r>
            <w:rPr>
              <w:lang w:val="en-CA"/>
            </w:rPr>
            <w:t>A.</w:t>
            <w:tab/>
            <w:t>Approval of Petition</w:t>
            <w:tab/>
          </w:r>
          <w:hyperlink w:anchor="__RefHeading___Toc511637895">
            <w:r>
              <w:rPr>
                <w:rStyle w:val="IndexLink"/>
                <w:lang w:val="en-CA"/>
              </w:rPr>
              <w:t>2</w:t>
            </w:r>
          </w:hyperlink>
        </w:p>
        <w:p>
          <w:pPr>
            <w:pStyle w:val="TOC2"/>
            <w:tabs>
              <w:tab w:val="left" w:pos="720" w:leader="none"/>
              <w:tab w:val="right" w:pos="9350" w:leader="dot"/>
            </w:tabs>
            <w:rPr>
              <w:lang w:val="en-CA"/>
            </w:rPr>
          </w:pPr>
          <w:r>
            <w:rPr>
              <w:lang w:val="en-CA"/>
            </w:rPr>
            <w:t>B.</w:t>
            <w:tab/>
            <w:t>Effective Date of Protocols</w:t>
            <w:tab/>
          </w:r>
          <w:hyperlink w:anchor="__RefHeading___Toc511637896">
            <w:r>
              <w:rPr>
                <w:rStyle w:val="IndexLink"/>
                <w:lang w:val="en-CA"/>
              </w:rPr>
              <w:t>4</w:t>
            </w:r>
          </w:hyperlink>
        </w:p>
        <w:p>
          <w:pPr>
            <w:pStyle w:val="TOC2"/>
            <w:tabs>
              <w:tab w:val="left" w:pos="720" w:leader="none"/>
              <w:tab w:val="right" w:pos="9350" w:leader="dot"/>
            </w:tabs>
            <w:rPr>
              <w:lang w:val="en-CA"/>
            </w:rPr>
          </w:pPr>
          <w:r>
            <w:rPr>
              <w:lang w:val="en-CA"/>
            </w:rPr>
            <w:t>C.</w:t>
            <w:tab/>
            <w:t>Standards for ERCOT’s Conduct</w:t>
            <w:tab/>
          </w:r>
          <w:hyperlink w:anchor="__RefHeading___Toc511637897">
            <w:r>
              <w:rPr>
                <w:rStyle w:val="IndexLink"/>
                <w:lang w:val="en-CA"/>
              </w:rPr>
              <w:t>5</w:t>
            </w:r>
          </w:hyperlink>
        </w:p>
        <w:p>
          <w:pPr>
            <w:pStyle w:val="TOC2"/>
            <w:tabs>
              <w:tab w:val="left" w:pos="720" w:leader="none"/>
              <w:tab w:val="right" w:pos="9350" w:leader="dot"/>
            </w:tabs>
            <w:rPr>
              <w:lang w:val="en-CA"/>
            </w:rPr>
          </w:pPr>
          <w:r>
            <w:rPr>
              <w:lang w:val="en-CA"/>
            </w:rPr>
            <w:t>D.</w:t>
            <w:tab/>
            <w:t>Ancillary Services</w:t>
            <w:tab/>
          </w:r>
          <w:hyperlink w:anchor="__RefHeading___Toc511637898">
            <w:r>
              <w:rPr>
                <w:rStyle w:val="IndexLink"/>
                <w:lang w:val="en-CA"/>
              </w:rPr>
              <w:t>6</w:t>
            </w:r>
          </w:hyperlink>
        </w:p>
        <w:p>
          <w:pPr>
            <w:pStyle w:val="TOC3"/>
            <w:tabs>
              <w:tab w:val="clear" w:pos="720"/>
              <w:tab w:val="left" w:pos="960" w:leader="none"/>
              <w:tab w:val="right" w:pos="9350" w:leader="dot"/>
            </w:tabs>
            <w:rPr>
              <w:lang w:val="en-CA"/>
            </w:rPr>
          </w:pPr>
          <w:r>
            <w:rPr>
              <w:lang w:val="en-CA"/>
            </w:rPr>
            <w:t>1.</w:t>
            <w:tab/>
            <w:t>Optimization of Ancillary Service Procurement and Reduction of Gaming Opportunities</w:t>
            <w:tab/>
          </w:r>
          <w:hyperlink w:anchor="__RefHeading___Toc511637899">
            <w:r>
              <w:rPr>
                <w:rStyle w:val="IndexLink"/>
                <w:lang w:val="en-CA"/>
              </w:rPr>
              <w:t>7</w:t>
            </w:r>
          </w:hyperlink>
        </w:p>
        <w:p>
          <w:pPr>
            <w:pStyle w:val="TOC3"/>
            <w:tabs>
              <w:tab w:val="clear" w:pos="720"/>
              <w:tab w:val="left" w:pos="960" w:leader="none"/>
              <w:tab w:val="right" w:pos="9350" w:leader="dot"/>
            </w:tabs>
            <w:rPr>
              <w:lang w:val="en-CA"/>
            </w:rPr>
          </w:pPr>
          <w:r>
            <w:rPr>
              <w:lang w:val="en-CA"/>
            </w:rPr>
            <w:t>2.</w:t>
            <w:tab/>
            <w:t>Eligibility to Provide Responsive Reserve Service</w:t>
            <w:tab/>
          </w:r>
          <w:hyperlink w:anchor="__RefHeading___Toc511637900">
            <w:r>
              <w:rPr>
                <w:rStyle w:val="IndexLink"/>
                <w:lang w:val="en-CA"/>
              </w:rPr>
              <w:t>9</w:t>
            </w:r>
          </w:hyperlink>
        </w:p>
        <w:p>
          <w:pPr>
            <w:pStyle w:val="TOC3"/>
            <w:tabs>
              <w:tab w:val="clear" w:pos="720"/>
              <w:tab w:val="left" w:pos="960" w:leader="none"/>
              <w:tab w:val="right" w:pos="9350" w:leader="dot"/>
            </w:tabs>
            <w:rPr>
              <w:lang w:val="en-CA"/>
            </w:rPr>
          </w:pPr>
          <w:r>
            <w:rPr>
              <w:lang w:val="en-CA"/>
            </w:rPr>
            <w:t>3.</w:t>
            <w:tab/>
            <w:t>Market Solution</w:t>
            <w:tab/>
          </w:r>
          <w:hyperlink w:anchor="__RefHeading___Toc511637901">
            <w:r>
              <w:rPr>
                <w:rStyle w:val="IndexLink"/>
                <w:lang w:val="en-CA"/>
              </w:rPr>
              <w:t>10</w:t>
            </w:r>
          </w:hyperlink>
        </w:p>
        <w:p>
          <w:pPr>
            <w:pStyle w:val="TOC3"/>
            <w:tabs>
              <w:tab w:val="clear" w:pos="720"/>
              <w:tab w:val="left" w:pos="960" w:leader="none"/>
              <w:tab w:val="right" w:pos="9350" w:leader="dot"/>
            </w:tabs>
            <w:rPr>
              <w:lang w:val="en-CA"/>
            </w:rPr>
          </w:pPr>
          <w:r>
            <w:rPr>
              <w:lang w:val="en-CA"/>
            </w:rPr>
            <w:t>4.</w:t>
            <w:tab/>
            <w:t>Out of Merit Order (OOM) Service</w:t>
            <w:tab/>
          </w:r>
          <w:hyperlink w:anchor="__RefHeading___Toc511637902">
            <w:r>
              <w:rPr>
                <w:rStyle w:val="IndexLink"/>
                <w:lang w:val="en-CA"/>
              </w:rPr>
              <w:t>11</w:t>
            </w:r>
          </w:hyperlink>
        </w:p>
        <w:p>
          <w:pPr>
            <w:pStyle w:val="TOC3"/>
            <w:tabs>
              <w:tab w:val="clear" w:pos="720"/>
              <w:tab w:val="left" w:pos="960" w:leader="none"/>
              <w:tab w:val="right" w:pos="9350" w:leader="dot"/>
            </w:tabs>
            <w:rPr>
              <w:lang w:val="en-CA"/>
            </w:rPr>
          </w:pPr>
          <w:r>
            <w:rPr>
              <w:lang w:val="en-CA"/>
            </w:rPr>
            <w:t>5.</w:t>
            <w:tab/>
            <w:t>Reliability Must-Run Service</w:t>
            <w:tab/>
          </w:r>
          <w:hyperlink w:anchor="__RefHeading___Toc511637903">
            <w:r>
              <w:rPr>
                <w:rStyle w:val="IndexLink"/>
                <w:lang w:val="en-CA"/>
              </w:rPr>
              <w:t>11</w:t>
            </w:r>
          </w:hyperlink>
        </w:p>
        <w:p>
          <w:pPr>
            <w:pStyle w:val="TOC3"/>
            <w:tabs>
              <w:tab w:val="clear" w:pos="720"/>
              <w:tab w:val="left" w:pos="960" w:leader="none"/>
              <w:tab w:val="right" w:pos="9350" w:leader="dot"/>
            </w:tabs>
            <w:rPr>
              <w:lang w:val="en-CA"/>
            </w:rPr>
          </w:pPr>
          <w:r>
            <w:rPr>
              <w:lang w:val="en-CA"/>
            </w:rPr>
            <w:t>6.</w:t>
            <w:tab/>
            <w:t>Uninstructed Deviations</w:t>
            <w:tab/>
          </w:r>
          <w:hyperlink w:anchor="__RefHeading___Toc511637904">
            <w:r>
              <w:rPr>
                <w:rStyle w:val="IndexLink"/>
                <w:lang w:val="en-CA"/>
              </w:rPr>
              <w:t>12</w:t>
            </w:r>
          </w:hyperlink>
        </w:p>
        <w:p>
          <w:pPr>
            <w:pStyle w:val="TOC3"/>
            <w:tabs>
              <w:tab w:val="clear" w:pos="720"/>
              <w:tab w:val="left" w:pos="960" w:leader="none"/>
              <w:tab w:val="right" w:pos="9350" w:leader="dot"/>
            </w:tabs>
            <w:rPr>
              <w:lang w:val="en-CA"/>
            </w:rPr>
          </w:pPr>
          <w:r>
            <w:rPr>
              <w:lang w:val="en-CA"/>
            </w:rPr>
            <w:t>7.</w:t>
            <w:tab/>
            <w:t>Bid Caps</w:t>
            <w:tab/>
          </w:r>
          <w:hyperlink w:anchor="__RefHeading___Toc511637905">
            <w:r>
              <w:rPr>
                <w:rStyle w:val="IndexLink"/>
                <w:lang w:val="en-CA"/>
              </w:rPr>
              <w:t>13</w:t>
            </w:r>
          </w:hyperlink>
        </w:p>
        <w:p>
          <w:pPr>
            <w:pStyle w:val="TOC3"/>
            <w:tabs>
              <w:tab w:val="clear" w:pos="720"/>
              <w:tab w:val="left" w:pos="960" w:leader="none"/>
              <w:tab w:val="right" w:pos="9350" w:leader="dot"/>
            </w:tabs>
            <w:rPr>
              <w:lang w:val="en-CA"/>
            </w:rPr>
          </w:pPr>
          <w:r>
            <w:rPr>
              <w:lang w:val="en-CA"/>
            </w:rPr>
            <w:t>8.</w:t>
            <w:tab/>
            <w:t>Balanced Schedule Requirement</w:t>
            <w:tab/>
          </w:r>
          <w:hyperlink w:anchor="__RefHeading___Toc511637906">
            <w:r>
              <w:rPr>
                <w:rStyle w:val="IndexLink"/>
                <w:lang w:val="en-CA"/>
              </w:rPr>
              <w:t>14</w:t>
            </w:r>
          </w:hyperlink>
        </w:p>
        <w:p>
          <w:pPr>
            <w:pStyle w:val="TOC2"/>
            <w:tabs>
              <w:tab w:val="left" w:pos="720" w:leader="none"/>
              <w:tab w:val="right" w:pos="9350" w:leader="dot"/>
            </w:tabs>
            <w:rPr>
              <w:lang w:val="en-CA"/>
            </w:rPr>
          </w:pPr>
          <w:r>
            <w:rPr>
              <w:lang w:val="en-CA"/>
            </w:rPr>
            <w:t>E.</w:t>
            <w:tab/>
            <w:t>Congestion Management</w:t>
            <w:tab/>
          </w:r>
          <w:hyperlink w:anchor="__RefHeading___Toc511637907">
            <w:r>
              <w:rPr>
                <w:rStyle w:val="IndexLink"/>
                <w:lang w:val="en-CA"/>
              </w:rPr>
              <w:t>14</w:t>
            </w:r>
          </w:hyperlink>
        </w:p>
        <w:p>
          <w:pPr>
            <w:pStyle w:val="TOC3"/>
            <w:tabs>
              <w:tab w:val="clear" w:pos="720"/>
              <w:tab w:val="left" w:pos="960" w:leader="none"/>
              <w:tab w:val="right" w:pos="9350" w:leader="dot"/>
            </w:tabs>
            <w:rPr>
              <w:lang w:val="en-CA"/>
            </w:rPr>
          </w:pPr>
          <w:r>
            <w:rPr>
              <w:lang w:val="en-CA"/>
            </w:rPr>
            <w:t>1.</w:t>
            <w:tab/>
            <w:t>Potential for Gaming</w:t>
            <w:tab/>
          </w:r>
          <w:hyperlink w:anchor="__RefHeading___Toc511637908">
            <w:r>
              <w:rPr>
                <w:rStyle w:val="IndexLink"/>
                <w:lang w:val="en-CA"/>
              </w:rPr>
              <w:t>14</w:t>
            </w:r>
          </w:hyperlink>
        </w:p>
        <w:p>
          <w:pPr>
            <w:pStyle w:val="TOC3"/>
            <w:tabs>
              <w:tab w:val="clear" w:pos="720"/>
              <w:tab w:val="left" w:pos="960" w:leader="none"/>
              <w:tab w:val="right" w:pos="9350" w:leader="dot"/>
            </w:tabs>
            <w:rPr>
              <w:lang w:val="en-CA"/>
            </w:rPr>
          </w:pPr>
          <w:r>
            <w:rPr>
              <w:lang w:val="en-CA"/>
            </w:rPr>
            <w:t>2.</w:t>
            <w:tab/>
            <w:t>Interzonal Congestion</w:t>
            <w:tab/>
          </w:r>
          <w:hyperlink w:anchor="__RefHeading___Toc511637909">
            <w:r>
              <w:rPr>
                <w:rStyle w:val="IndexLink"/>
                <w:lang w:val="en-CA"/>
              </w:rPr>
              <w:t>15</w:t>
            </w:r>
          </w:hyperlink>
        </w:p>
        <w:p>
          <w:pPr>
            <w:pStyle w:val="TOC3"/>
            <w:tabs>
              <w:tab w:val="clear" w:pos="720"/>
              <w:tab w:val="left" w:pos="960" w:leader="none"/>
              <w:tab w:val="right" w:pos="9350" w:leader="dot"/>
            </w:tabs>
            <w:rPr>
              <w:lang w:val="en-CA"/>
            </w:rPr>
          </w:pPr>
          <w:r>
            <w:rPr>
              <w:lang w:val="en-CA"/>
            </w:rPr>
            <w:t>3.</w:t>
            <w:tab/>
            <w:t>Intrazonal Congestion</w:t>
            <w:tab/>
          </w:r>
          <w:hyperlink w:anchor="__RefHeading___Toc511637910">
            <w:r>
              <w:rPr>
                <w:rStyle w:val="IndexLink"/>
                <w:lang w:val="en-CA"/>
              </w:rPr>
              <w:t>18</w:t>
            </w:r>
          </w:hyperlink>
        </w:p>
        <w:p>
          <w:pPr>
            <w:pStyle w:val="TOC2"/>
            <w:tabs>
              <w:tab w:val="left" w:pos="720" w:leader="none"/>
              <w:tab w:val="right" w:pos="9350" w:leader="dot"/>
            </w:tabs>
            <w:rPr>
              <w:lang w:val="en-CA"/>
            </w:rPr>
          </w:pPr>
          <w:r>
            <w:rPr>
              <w:lang w:val="en-CA"/>
            </w:rPr>
            <w:t>F.</w:t>
            <w:tab/>
            <w:t>Load Participation in the ERCOT Markets</w:t>
            <w:tab/>
          </w:r>
          <w:hyperlink w:anchor="__RefHeading___Toc511637911">
            <w:r>
              <w:rPr>
                <w:rStyle w:val="IndexLink"/>
                <w:lang w:val="en-CA"/>
              </w:rPr>
              <w:t>19</w:t>
            </w:r>
          </w:hyperlink>
        </w:p>
        <w:p>
          <w:pPr>
            <w:pStyle w:val="TOC2"/>
            <w:tabs>
              <w:tab w:val="left" w:pos="720" w:leader="none"/>
              <w:tab w:val="right" w:pos="9350" w:leader="dot"/>
            </w:tabs>
            <w:rPr>
              <w:lang w:val="en-CA"/>
            </w:rPr>
          </w:pPr>
          <w:r>
            <w:rPr>
              <w:lang w:val="en-CA"/>
            </w:rPr>
            <w:t>G.</w:t>
            <w:tab/>
            <w:t>Reserve Margin</w:t>
            <w:tab/>
          </w:r>
          <w:hyperlink w:anchor="__RefHeading___Toc511637912">
            <w:r>
              <w:rPr>
                <w:rStyle w:val="IndexLink"/>
                <w:lang w:val="en-CA"/>
              </w:rPr>
              <w:t>23</w:t>
            </w:r>
          </w:hyperlink>
        </w:p>
        <w:p>
          <w:pPr>
            <w:pStyle w:val="TOC2"/>
            <w:tabs>
              <w:tab w:val="left" w:pos="720" w:leader="none"/>
              <w:tab w:val="right" w:pos="9350" w:leader="dot"/>
            </w:tabs>
            <w:rPr>
              <w:lang w:val="en-CA"/>
            </w:rPr>
          </w:pPr>
          <w:r>
            <w:rPr>
              <w:lang w:val="en-CA"/>
            </w:rPr>
            <w:t>H.</w:t>
            <w:tab/>
            <w:t>Qualifying Facilities</w:t>
            <w:tab/>
          </w:r>
          <w:hyperlink w:anchor="__RefHeading___Toc511637913">
            <w:r>
              <w:rPr>
                <w:rStyle w:val="IndexLink"/>
                <w:lang w:val="en-CA"/>
              </w:rPr>
              <w:t>24</w:t>
            </w:r>
          </w:hyperlink>
        </w:p>
        <w:p>
          <w:pPr>
            <w:pStyle w:val="TOC2"/>
            <w:tabs>
              <w:tab w:val="left" w:pos="720" w:leader="none"/>
              <w:tab w:val="right" w:pos="9350" w:leader="dot"/>
            </w:tabs>
            <w:rPr>
              <w:lang w:val="en-CA"/>
            </w:rPr>
          </w:pPr>
          <w:r>
            <w:rPr>
              <w:lang w:val="en-CA"/>
            </w:rPr>
            <w:t>I.</w:t>
            <w:tab/>
            <w:t>Federal Resources</w:t>
            <w:tab/>
          </w:r>
          <w:hyperlink w:anchor="__RefHeading___Toc511637914">
            <w:r>
              <w:rPr>
                <w:rStyle w:val="IndexLink"/>
                <w:lang w:val="en-CA"/>
              </w:rPr>
              <w:t>24</w:t>
            </w:r>
          </w:hyperlink>
        </w:p>
        <w:p>
          <w:pPr>
            <w:pStyle w:val="TOC2"/>
            <w:tabs>
              <w:tab w:val="left" w:pos="720" w:leader="none"/>
              <w:tab w:val="right" w:pos="9350" w:leader="dot"/>
            </w:tabs>
            <w:rPr>
              <w:lang w:val="en-CA"/>
            </w:rPr>
          </w:pPr>
          <w:r>
            <w:rPr>
              <w:lang w:val="en-CA"/>
            </w:rPr>
            <w:t>J.</w:t>
            <w:tab/>
            <w:t>Renewable Energy</w:t>
            <w:tab/>
          </w:r>
          <w:hyperlink w:anchor="__RefHeading___Toc511637915">
            <w:r>
              <w:rPr>
                <w:rStyle w:val="IndexLink"/>
                <w:lang w:val="en-CA"/>
              </w:rPr>
              <w:t>25</w:t>
            </w:r>
          </w:hyperlink>
        </w:p>
        <w:p>
          <w:pPr>
            <w:pStyle w:val="TOC2"/>
            <w:tabs>
              <w:tab w:val="left" w:pos="720" w:leader="none"/>
              <w:tab w:val="right" w:pos="9350" w:leader="dot"/>
            </w:tabs>
            <w:rPr>
              <w:lang w:val="en-CA"/>
            </w:rPr>
          </w:pPr>
          <w:r>
            <w:rPr>
              <w:lang w:val="en-CA"/>
            </w:rPr>
            <w:t>K.</w:t>
            <w:tab/>
            <w:t>Surety Bond to Meet Creditworthiness Requirements</w:t>
            <w:tab/>
          </w:r>
          <w:hyperlink w:anchor="__RefHeading___Toc511637916">
            <w:r>
              <w:rPr>
                <w:rStyle w:val="IndexLink"/>
                <w:lang w:val="en-CA"/>
              </w:rPr>
              <w:t>25</w:t>
            </w:r>
          </w:hyperlink>
        </w:p>
        <w:p>
          <w:pPr>
            <w:pStyle w:val="TOC2"/>
            <w:tabs>
              <w:tab w:val="left" w:pos="720" w:leader="none"/>
              <w:tab w:val="right" w:pos="9350" w:leader="dot"/>
            </w:tabs>
            <w:rPr>
              <w:lang w:val="en-CA"/>
            </w:rPr>
          </w:pPr>
          <w:r>
            <w:rPr>
              <w:lang w:val="en-CA"/>
            </w:rPr>
            <w:t>L.</w:t>
            <w:tab/>
            <w:t>Retail Customer Registration</w:t>
            <w:tab/>
          </w:r>
          <w:hyperlink w:anchor="__RefHeading___Toc511637917">
            <w:r>
              <w:rPr>
                <w:rStyle w:val="IndexLink"/>
                <w:lang w:val="en-CA"/>
              </w:rPr>
              <w:t>25</w:t>
            </w:r>
          </w:hyperlink>
        </w:p>
        <w:p>
          <w:pPr>
            <w:pStyle w:val="TOC2"/>
            <w:tabs>
              <w:tab w:val="left" w:pos="720" w:leader="none"/>
              <w:tab w:val="right" w:pos="9350" w:leader="dot"/>
            </w:tabs>
            <w:rPr>
              <w:lang w:val="en-CA"/>
            </w:rPr>
          </w:pPr>
          <w:r>
            <w:rPr>
              <w:lang w:val="en-CA"/>
            </w:rPr>
            <w:t>M.</w:t>
            <w:tab/>
            <w:t>ERCOT Fees and Charges</w:t>
            <w:tab/>
          </w:r>
          <w:hyperlink w:anchor="__RefHeading___Toc511637918">
            <w:r>
              <w:rPr>
                <w:rStyle w:val="IndexLink"/>
                <w:lang w:val="en-CA"/>
              </w:rPr>
              <w:t>27</w:t>
            </w:r>
          </w:hyperlink>
        </w:p>
        <w:p>
          <w:pPr>
            <w:pStyle w:val="TOC1"/>
            <w:tabs>
              <w:tab w:val="clear" w:pos="720"/>
              <w:tab w:val="left" w:pos="480" w:leader="none"/>
              <w:tab w:val="right" w:pos="9350" w:leader="dot"/>
            </w:tabs>
            <w:rPr>
              <w:lang w:val="en-CA"/>
            </w:rPr>
          </w:pPr>
          <w:r>
            <w:rPr>
              <w:lang w:val="en-CA"/>
            </w:rPr>
            <w:t>III.</w:t>
            <w:tab/>
            <w:t>Findings of Fact and Conclusion of Law</w:t>
            <w:tab/>
          </w:r>
          <w:hyperlink w:anchor="__RefHeading___Toc511637919">
            <w:r>
              <w:rPr>
                <w:rStyle w:val="IndexLink"/>
                <w:lang w:val="en-CA"/>
              </w:rPr>
              <w:t>29</w:t>
            </w:r>
          </w:hyperlink>
        </w:p>
        <w:p>
          <w:pPr>
            <w:pStyle w:val="TOC2"/>
            <w:tabs>
              <w:tab w:val="left" w:pos="720" w:leader="none"/>
              <w:tab w:val="right" w:pos="9350" w:leader="dot"/>
            </w:tabs>
            <w:rPr>
              <w:lang w:val="en-CA"/>
            </w:rPr>
          </w:pPr>
          <w:r>
            <w:rPr>
              <w:lang w:val="en-CA"/>
            </w:rPr>
            <w:t>A.</w:t>
            <w:tab/>
            <w:t>Findings of Fact</w:t>
            <w:tab/>
          </w:r>
          <w:hyperlink w:anchor="__RefHeading___Toc511637920">
            <w:r>
              <w:rPr>
                <w:rStyle w:val="IndexLink"/>
                <w:lang w:val="en-CA"/>
              </w:rPr>
              <w:t>29</w:t>
            </w:r>
          </w:hyperlink>
        </w:p>
        <w:p>
          <w:pPr>
            <w:pStyle w:val="TOC2"/>
            <w:tabs>
              <w:tab w:val="left" w:pos="720" w:leader="none"/>
              <w:tab w:val="right" w:pos="9350" w:leader="dot"/>
            </w:tabs>
            <w:rPr>
              <w:lang w:val="en-CA"/>
            </w:rPr>
          </w:pPr>
          <w:r>
            <w:rPr>
              <w:lang w:val="en-CA"/>
            </w:rPr>
            <w:t>B.</w:t>
            <w:tab/>
            <w:t>Conclusions of Law</w:t>
            <w:tab/>
          </w:r>
          <w:hyperlink w:anchor="__RefHeading___Toc511637921">
            <w:r>
              <w:rPr>
                <w:rStyle w:val="IndexLink"/>
                <w:lang w:val="en-CA"/>
              </w:rPr>
              <w:t>43</w:t>
            </w:r>
          </w:hyperlink>
        </w:p>
        <w:p>
          <w:pPr>
            <w:pStyle w:val="TOC1"/>
            <w:tabs>
              <w:tab w:val="clear" w:pos="720"/>
              <w:tab w:val="left" w:pos="480" w:leader="none"/>
              <w:tab w:val="right" w:pos="9350" w:leader="dot"/>
            </w:tabs>
            <w:rPr>
              <w:lang w:val="en-CA"/>
            </w:rPr>
          </w:pPr>
          <w:r>
            <w:rPr>
              <w:lang w:val="en-CA"/>
            </w:rPr>
            <w:t>IV.</w:t>
            <w:tab/>
            <w:t>Ordering Paragraphs</w:t>
            <w:tab/>
          </w:r>
          <w:hyperlink w:anchor="__RefHeading___Toc511637922">
            <w:r>
              <w:rPr>
                <w:rStyle w:val="IndexLink"/>
                <w:lang w:val="en-CA"/>
              </w:rPr>
              <w:t>44</w:t>
            </w:r>
          </w:hyperlink>
        </w:p>
        <w:p>
          <w:pPr>
            <w:pStyle w:val="TOC1"/>
            <w:tabs>
              <w:tab w:val="clear" w:pos="720"/>
              <w:tab w:val="left" w:pos="480" w:leader="none"/>
              <w:tab w:val="right" w:pos="9350" w:leader="dot"/>
            </w:tabs>
            <w:rPr>
              <w:lang w:val="en-CA"/>
            </w:rPr>
          </w:pPr>
          <w:r>
            <w:rPr>
              <w:lang w:val="en-CA"/>
            </w:rPr>
          </w:r>
          <w:r>
            <w:rPr>
              <w:lang w:val="en-CA"/>
            </w:rPr>
            <w:fldChar w:fldCharType="end"/>
          </w:r>
        </w:p>
      </w:sdtContent>
    </w:sdt>
    <w:p>
      <w:pPr>
        <w:pStyle w:val="Header"/>
        <w:numPr>
          <w:ilvl w:val="0"/>
          <w:numId w:val="0"/>
        </w:numPr>
        <w:tabs>
          <w:tab w:val="left" w:pos="4320" w:leader="none"/>
          <w:tab w:val="left" w:pos="8640" w:leader="none"/>
        </w:tabs>
        <w:jc w:val="end"/>
        <w:rPr>
          <w:lang w:val="en-CA"/>
        </w:rPr>
      </w:pPr>
      <w:r>
        <w:rPr>
          <w:lang w:val="en-CA"/>
        </w:rPr>
      </w:r>
      <w:r>
        <w:br w:type="page"/>
      </w:r>
    </w:p>
    <w:p>
      <w:pPr>
        <w:pStyle w:val="Header"/>
        <w:tabs>
          <w:tab w:val="left" w:pos="4320" w:leader="none"/>
          <w:tab w:val="left" w:pos="8640" w:leader="none"/>
        </w:tabs>
        <w:jc w:val="end"/>
        <w:rPr>
          <w:b/>
        </w:rPr>
      </w:pPr>
      <w:r>
        <w:rPr>
          <w:b/>
        </w:rPr>
        <w:t>Attachment 2</w:t>
      </w:r>
    </w:p>
    <w:p>
      <w:pPr>
        <w:pStyle w:val="Header"/>
        <w:tabs>
          <w:tab w:val="left" w:pos="4320" w:leader="none"/>
          <w:tab w:val="left" w:pos="8640" w:leader="none"/>
        </w:tabs>
        <w:jc w:val="center"/>
        <w:rPr>
          <w:b/>
        </w:rPr>
      </w:pPr>
      <w:r>
        <w:rPr>
          <w:b/>
        </w:rPr>
      </w:r>
    </w:p>
    <w:p>
      <w:pPr>
        <w:pStyle w:val="Header"/>
        <w:tabs>
          <w:tab w:val="left" w:pos="4320" w:leader="none"/>
          <w:tab w:val="left" w:pos="8640" w:leader="none"/>
        </w:tabs>
        <w:jc w:val="center"/>
        <w:rPr>
          <w:b/>
          <w:sz w:val="28"/>
        </w:rPr>
      </w:pPr>
      <w:r>
        <w:rPr>
          <w:b/>
          <w:sz w:val="28"/>
        </w:rPr>
        <w:t>Abbreviations</w:t>
      </w:r>
    </w:p>
    <w:p>
      <w:pPr>
        <w:pStyle w:val="Normal"/>
        <w:rPr>
          <w:b/>
          <w:sz w:val="28"/>
        </w:rPr>
      </w:pPr>
      <w:r>
        <w:rPr>
          <w:b/>
          <w:sz w:val="28"/>
        </w:rPr>
      </w:r>
    </w:p>
    <w:p>
      <w:pPr>
        <w:pStyle w:val="Normal"/>
        <w:spacing w:lineRule="auto" w:line="480"/>
        <w:rPr/>
      </w:pPr>
      <w:r>
        <w:rPr/>
        <w:t>Austin</w:t>
        <w:tab/>
        <w:tab/>
        <w:t>City of Austin d/b/a Austin Energy</w:t>
      </w:r>
    </w:p>
    <w:p>
      <w:pPr>
        <w:pStyle w:val="Normal"/>
        <w:spacing w:lineRule="auto" w:line="480"/>
        <w:rPr/>
      </w:pPr>
      <w:r>
        <w:rPr/>
        <w:t>A/S</w:t>
        <w:tab/>
        <w:tab/>
        <w:t>ancillary service(s)</w:t>
      </w:r>
    </w:p>
    <w:p>
      <w:pPr>
        <w:pStyle w:val="Normal"/>
        <w:spacing w:lineRule="auto" w:line="480"/>
        <w:rPr/>
      </w:pPr>
      <w:r>
        <w:rPr/>
        <w:t>Brazos</w:t>
        <w:tab/>
        <w:tab/>
        <w:t>Brazos Electric Power Cooperative, Inc.</w:t>
      </w:r>
    </w:p>
    <w:p>
      <w:pPr>
        <w:pStyle w:val="Normal"/>
        <w:spacing w:lineRule="auto" w:line="480"/>
        <w:rPr/>
      </w:pPr>
      <w:r>
        <w:rPr/>
        <w:t>CSC</w:t>
        <w:tab/>
        <w:tab/>
        <w:t>commercially significant constraint</w:t>
      </w:r>
    </w:p>
    <w:p>
      <w:pPr>
        <w:pStyle w:val="Normal"/>
        <w:spacing w:lineRule="auto" w:line="480"/>
        <w:rPr/>
      </w:pPr>
      <w:r>
        <w:rPr/>
        <w:t>DPL</w:t>
        <w:tab/>
        <w:tab/>
        <w:t>decision-point list</w:t>
      </w:r>
    </w:p>
    <w:p>
      <w:pPr>
        <w:pStyle w:val="Normal"/>
        <w:spacing w:lineRule="auto" w:line="480"/>
        <w:rPr/>
      </w:pPr>
      <w:r>
        <w:rPr/>
        <w:t>ERCOT</w:t>
        <w:tab/>
        <w:t>Electric Reliability Council of Texas</w:t>
      </w:r>
    </w:p>
    <w:p>
      <w:pPr>
        <w:pStyle w:val="Normal"/>
        <w:spacing w:lineRule="auto" w:line="480"/>
        <w:rPr/>
      </w:pPr>
      <w:r>
        <w:rPr/>
        <w:t>IDR</w:t>
        <w:tab/>
        <w:tab/>
        <w:t>interval data recorder</w:t>
      </w:r>
    </w:p>
    <w:p>
      <w:pPr>
        <w:pStyle w:val="TOC1"/>
        <w:rPr/>
      </w:pPr>
      <w:r>
        <w:rPr/>
        <w:t>Independent</w:t>
        <w:tab/>
        <w:t>AES New Energy, Inc., Exelon Energy, Green Mountain Energy Company,</w:t>
      </w:r>
    </w:p>
    <w:p>
      <w:pPr>
        <w:pStyle w:val="Normal"/>
        <w:rPr/>
      </w:pPr>
      <w:r>
        <w:rPr/>
        <w:t>Marketers</w:t>
        <w:tab/>
        <w:t>The New Power Company, and Strategic Energy</w:t>
      </w:r>
    </w:p>
    <w:p>
      <w:pPr>
        <w:pStyle w:val="Normal"/>
        <w:rPr/>
      </w:pPr>
      <w:r>
        <w:rPr/>
      </w:r>
    </w:p>
    <w:p>
      <w:pPr>
        <w:pStyle w:val="Normal"/>
        <w:rPr/>
      </w:pPr>
      <w:r>
        <w:rPr/>
        <w:t>IT</w:t>
        <w:tab/>
        <w:tab/>
        <w:t>information technology</w:t>
      </w:r>
    </w:p>
    <w:p>
      <w:pPr>
        <w:pStyle w:val="Normal"/>
        <w:rPr/>
      </w:pPr>
      <w:r>
        <w:rPr/>
      </w:r>
    </w:p>
    <w:p>
      <w:pPr>
        <w:pStyle w:val="Normal"/>
        <w:spacing w:lineRule="auto" w:line="480"/>
        <w:rPr/>
      </w:pPr>
      <w:r>
        <w:rPr/>
        <w:t>LCRA</w:t>
        <w:tab/>
        <w:tab/>
        <w:t>Lower Colorado River Authority</w:t>
      </w:r>
    </w:p>
    <w:p>
      <w:pPr>
        <w:pStyle w:val="Normal"/>
        <w:spacing w:lineRule="auto" w:line="480"/>
        <w:rPr/>
      </w:pPr>
      <w:r>
        <w:rPr/>
        <w:t>MCP</w:t>
        <w:tab/>
        <w:tab/>
        <w:t>market clearing price</w:t>
      </w:r>
    </w:p>
    <w:p>
      <w:pPr>
        <w:pStyle w:val="Normal"/>
        <w:spacing w:lineRule="auto" w:line="480"/>
        <w:rPr/>
      </w:pPr>
      <w:r>
        <w:rPr/>
        <w:t>MCPC</w:t>
        <w:tab/>
        <w:tab/>
        <w:t>market clearing price of capacity</w:t>
      </w:r>
    </w:p>
    <w:p>
      <w:pPr>
        <w:pStyle w:val="Normal"/>
        <w:spacing w:lineRule="auto" w:line="480"/>
        <w:rPr/>
      </w:pPr>
      <w:r>
        <w:rPr/>
        <w:t>MCPE</w:t>
        <w:tab/>
        <w:tab/>
        <w:t>market clearing price of energy</w:t>
      </w:r>
    </w:p>
    <w:p>
      <w:pPr>
        <w:pStyle w:val="Normal"/>
        <w:spacing w:lineRule="auto" w:line="480"/>
        <w:rPr/>
      </w:pPr>
      <w:r>
        <w:rPr/>
        <w:t>mmBTU</w:t>
        <w:tab/>
        <w:t>million British Thermal Units</w:t>
      </w:r>
    </w:p>
    <w:p>
      <w:pPr>
        <w:pStyle w:val="Normal"/>
        <w:spacing w:lineRule="auto" w:line="480"/>
        <w:rPr/>
      </w:pPr>
      <w:r>
        <w:rPr/>
        <w:t>MOU</w:t>
        <w:tab/>
        <w:tab/>
        <w:t>municipally owned utility</w:t>
      </w:r>
    </w:p>
    <w:p>
      <w:pPr>
        <w:pStyle w:val="Normal"/>
        <w:spacing w:lineRule="auto" w:line="480"/>
        <w:rPr/>
      </w:pPr>
      <w:r>
        <w:rPr/>
        <w:t>MW</w:t>
        <w:tab/>
        <w:tab/>
        <w:t>megawatt(s)</w:t>
      </w:r>
    </w:p>
    <w:p>
      <w:pPr>
        <w:pStyle w:val="Normal"/>
        <w:spacing w:lineRule="auto" w:line="480"/>
        <w:rPr/>
      </w:pPr>
      <w:r>
        <w:rPr/>
        <w:t>MWh</w:t>
        <w:tab/>
        <w:tab/>
        <w:t>megawatt-hour(s)</w:t>
      </w:r>
    </w:p>
    <w:p>
      <w:pPr>
        <w:pStyle w:val="Normal"/>
        <w:spacing w:lineRule="auto" w:line="480"/>
        <w:rPr/>
      </w:pPr>
      <w:r>
        <w:rPr/>
        <w:t>OOM</w:t>
        <w:tab/>
        <w:tab/>
        <w:t>out of merit order</w:t>
      </w:r>
    </w:p>
    <w:p>
      <w:pPr>
        <w:pStyle w:val="Normal"/>
        <w:spacing w:lineRule="auto" w:line="480"/>
        <w:rPr/>
      </w:pPr>
      <w:r>
        <w:rPr/>
        <w:t>OOMC</w:t>
        <w:tab/>
        <w:t>out of merit order capacity</w:t>
      </w:r>
    </w:p>
    <w:p>
      <w:pPr>
        <w:pStyle w:val="Normal"/>
        <w:spacing w:lineRule="auto" w:line="480"/>
        <w:rPr/>
      </w:pPr>
      <w:r>
        <w:rPr/>
        <w:t>OOME</w:t>
        <w:tab/>
        <w:tab/>
        <w:t>out of merit order energy</w:t>
      </w:r>
    </w:p>
    <w:p>
      <w:pPr>
        <w:pStyle w:val="Header"/>
        <w:tabs>
          <w:tab w:val="clear" w:pos="4320"/>
          <w:tab w:val="clear" w:pos="8640"/>
        </w:tabs>
        <w:spacing w:lineRule="auto" w:line="480"/>
        <w:rPr/>
      </w:pPr>
      <w:r>
        <w:rPr/>
        <w:t>PURA</w:t>
        <w:tab/>
        <w:tab/>
        <w:t>Public Utility Regulatory Act, Texas Utilities Code, Title II</w:t>
      </w:r>
    </w:p>
    <w:p>
      <w:pPr>
        <w:pStyle w:val="Header"/>
        <w:tabs>
          <w:tab w:val="clear" w:pos="4320"/>
          <w:tab w:val="clear" w:pos="8640"/>
        </w:tabs>
        <w:spacing w:lineRule="auto" w:line="480"/>
        <w:rPr/>
      </w:pPr>
      <w:r>
        <w:rPr/>
        <w:t>QSE</w:t>
        <w:tab/>
        <w:tab/>
        <w:t>qualified scheduling entity</w:t>
      </w:r>
    </w:p>
    <w:p>
      <w:pPr>
        <w:pStyle w:val="Header"/>
        <w:tabs>
          <w:tab w:val="clear" w:pos="4320"/>
          <w:tab w:val="clear" w:pos="8640"/>
        </w:tabs>
        <w:spacing w:lineRule="auto" w:line="480"/>
        <w:rPr/>
      </w:pPr>
      <w:r>
        <w:rPr/>
        <w:t>REC</w:t>
        <w:tab/>
        <w:tab/>
        <w:t>renewable energy credit</w:t>
      </w:r>
    </w:p>
    <w:p>
      <w:pPr>
        <w:pStyle w:val="Header"/>
        <w:tabs>
          <w:tab w:val="clear" w:pos="4320"/>
          <w:tab w:val="clear" w:pos="8640"/>
        </w:tabs>
        <w:spacing w:lineRule="auto" w:line="480"/>
        <w:rPr/>
      </w:pPr>
      <w:r>
        <w:rPr/>
        <w:t>RMR</w:t>
        <w:tab/>
        <w:tab/>
        <w:t>reliability must run</w:t>
      </w:r>
    </w:p>
    <w:p>
      <w:pPr>
        <w:pStyle w:val="Header"/>
        <w:tabs>
          <w:tab w:val="clear" w:pos="4320"/>
          <w:tab w:val="clear" w:pos="8640"/>
        </w:tabs>
        <w:spacing w:lineRule="auto" w:line="480"/>
        <w:rPr/>
      </w:pPr>
      <w:r>
        <w:rPr/>
        <w:t>San Antonio</w:t>
        <w:tab/>
        <w:t>City Public Service of San Antonio</w:t>
      </w:r>
    </w:p>
    <w:p>
      <w:pPr>
        <w:pStyle w:val="Header"/>
        <w:tabs>
          <w:tab w:val="clear" w:pos="4320"/>
          <w:tab w:val="clear" w:pos="8640"/>
        </w:tabs>
        <w:spacing w:lineRule="auto" w:line="480"/>
        <w:rPr/>
      </w:pPr>
      <w:r>
        <w:rPr/>
        <w:t>TCR</w:t>
        <w:tab/>
        <w:tab/>
        <w:t>transmission congestion right</w:t>
      </w:r>
    </w:p>
    <w:p>
      <w:pPr>
        <w:pStyle w:val="Header"/>
        <w:tabs>
          <w:tab w:val="clear" w:pos="4320"/>
          <w:tab w:val="clear" w:pos="8640"/>
        </w:tabs>
        <w:spacing w:lineRule="auto" w:line="480"/>
        <w:rPr/>
      </w:pPr>
      <w:r>
        <w:rPr/>
        <w:t>TEC</w:t>
        <w:tab/>
        <w:tab/>
        <w:t>Texas Electric Cooperatives, Inc.</w:t>
      </w:r>
    </w:p>
    <w:p>
      <w:pPr>
        <w:pStyle w:val="Header"/>
        <w:tabs>
          <w:tab w:val="clear" w:pos="4320"/>
          <w:tab w:val="clear" w:pos="8640"/>
        </w:tabs>
        <w:spacing w:lineRule="auto" w:line="480"/>
        <w:rPr/>
      </w:pPr>
      <w:r>
        <w:rPr/>
        <w:t>TDSP</w:t>
        <w:tab/>
        <w:tab/>
        <w:t>transmission and/or distribution service provider</w:t>
      </w:r>
    </w:p>
    <w:p>
      <w:pPr>
        <w:pStyle w:val="Header"/>
        <w:tabs>
          <w:tab w:val="clear" w:pos="4320"/>
          <w:tab w:val="clear" w:pos="8640"/>
        </w:tabs>
        <w:spacing w:lineRule="auto" w:line="480"/>
        <w:rPr/>
      </w:pPr>
      <w:r>
        <w:rPr/>
        <w:t>TOU</w:t>
        <w:tab/>
        <w:tab/>
        <w:t>time of use</w:t>
      </w:r>
      <w:r>
        <w:br w:type="page"/>
      </w:r>
    </w:p>
    <w:p>
      <w:pPr>
        <w:pStyle w:val="Normal"/>
        <w:jc w:val="end"/>
        <w:rPr>
          <w:b/>
        </w:rPr>
      </w:pPr>
      <w:r>
        <w:rPr>
          <w:b/>
        </w:rPr>
        <w:t>Attachment 3</w:t>
      </w:r>
    </w:p>
    <w:p>
      <w:pPr>
        <w:pStyle w:val="Normal"/>
        <w:jc w:val="center"/>
        <w:rPr>
          <w:b/>
          <w:sz w:val="28"/>
        </w:rPr>
      </w:pPr>
      <w:r>
        <w:rPr>
          <w:b/>
          <w:sz w:val="28"/>
        </w:rPr>
        <w:t>ERCOT</w:t>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2">
            <wp:simplePos x="0" y="0"/>
            <wp:positionH relativeFrom="column">
              <wp:posOffset>-243840</wp:posOffset>
            </wp:positionH>
            <wp:positionV relativeFrom="paragraph">
              <wp:posOffset>-1179830</wp:posOffset>
            </wp:positionV>
            <wp:extent cx="5486400" cy="4887595"/>
            <wp:effectExtent l="0" t="0" r="0" b="0"/>
            <wp:wrapTight wrapText="bothSides">
              <wp:wrapPolygon edited="0">
                <wp:start x="8248" y="40"/>
                <wp:lineTo x="6073" y="40"/>
                <wp:lineTo x="5923" y="81"/>
                <wp:lineTo x="5923" y="2061"/>
                <wp:lineTo x="4686" y="2145"/>
                <wp:lineTo x="4536" y="2229"/>
                <wp:lineTo x="4536" y="3408"/>
                <wp:lineTo x="4085" y="4039"/>
                <wp:lineTo x="4085" y="4082"/>
                <wp:lineTo x="4498" y="4082"/>
                <wp:lineTo x="4386" y="6144"/>
                <wp:lineTo x="5886" y="6777"/>
                <wp:lineTo x="5923" y="8798"/>
                <wp:lineTo x="823" y="8798"/>
                <wp:lineTo x="36" y="8882"/>
                <wp:lineTo x="36" y="9514"/>
                <wp:lineTo x="1198" y="10145"/>
                <wp:lineTo x="3148" y="12165"/>
                <wp:lineTo x="3410" y="12840"/>
                <wp:lineTo x="3410" y="12966"/>
                <wp:lineTo x="3598" y="13639"/>
                <wp:lineTo x="4160" y="14314"/>
                <wp:lineTo x="5060" y="14861"/>
                <wp:lineTo x="5248" y="14861"/>
                <wp:lineTo x="5248" y="15240"/>
                <wp:lineTo x="7310" y="15535"/>
                <wp:lineTo x="9898" y="15535"/>
                <wp:lineTo x="10197" y="16209"/>
                <wp:lineTo x="10197" y="16334"/>
                <wp:lineTo x="11509" y="18230"/>
                <wp:lineTo x="11697" y="18903"/>
                <wp:lineTo x="12073" y="19577"/>
                <wp:lineTo x="12110" y="19955"/>
                <wp:lineTo x="12447" y="20251"/>
                <wp:lineTo x="12860" y="20251"/>
                <wp:lineTo x="12860" y="20502"/>
                <wp:lineTo x="13686" y="20924"/>
                <wp:lineTo x="14960" y="21093"/>
                <wp:lineTo x="15373" y="21093"/>
                <wp:lineTo x="15448" y="21093"/>
                <wp:lineTo x="15523" y="20924"/>
                <wp:lineTo x="15673" y="20924"/>
                <wp:lineTo x="15673" y="20251"/>
                <wp:lineTo x="19648" y="20082"/>
                <wp:lineTo x="20623" y="19661"/>
                <wp:lineTo x="20398" y="19577"/>
                <wp:lineTo x="20623" y="19409"/>
                <wp:lineTo x="20022" y="19324"/>
                <wp:lineTo x="15298" y="18903"/>
                <wp:lineTo x="15298" y="18230"/>
                <wp:lineTo x="15786" y="16882"/>
                <wp:lineTo x="16460" y="16209"/>
                <wp:lineTo x="17398" y="15535"/>
                <wp:lineTo x="21036" y="15535"/>
                <wp:lineTo x="21186" y="15198"/>
                <wp:lineTo x="19836" y="14818"/>
                <wp:lineTo x="18898" y="14186"/>
                <wp:lineTo x="19498" y="13514"/>
                <wp:lineTo x="19836" y="13514"/>
                <wp:lineTo x="20548" y="13051"/>
                <wp:lineTo x="20510" y="12840"/>
                <wp:lineTo x="20697" y="12165"/>
                <wp:lineTo x="20623" y="11493"/>
                <wp:lineTo x="20847" y="10777"/>
                <wp:lineTo x="20885" y="10314"/>
                <wp:lineTo x="20248" y="8798"/>
                <wp:lineTo x="19798" y="8124"/>
                <wp:lineTo x="19686" y="6777"/>
                <wp:lineTo x="20659" y="6314"/>
                <wp:lineTo x="20659" y="6103"/>
                <wp:lineTo x="19686" y="6103"/>
                <wp:lineTo x="19648" y="5429"/>
                <wp:lineTo x="19309" y="4756"/>
                <wp:lineTo x="20436" y="4460"/>
                <wp:lineTo x="20398" y="4123"/>
                <wp:lineTo x="18860" y="4082"/>
                <wp:lineTo x="18936" y="3872"/>
                <wp:lineTo x="18710" y="3786"/>
                <wp:lineTo x="16798" y="3408"/>
                <wp:lineTo x="16873" y="3240"/>
                <wp:lineTo x="12748" y="2735"/>
                <wp:lineTo x="13047" y="2735"/>
                <wp:lineTo x="13836" y="2229"/>
                <wp:lineTo x="13872" y="1977"/>
                <wp:lineTo x="10610" y="1387"/>
                <wp:lineTo x="10573" y="40"/>
                <wp:lineTo x="8248" y="4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6" t="-7" r="-6" b="-7"/>
                    <a:stretch>
                      <a:fillRect/>
                    </a:stretch>
                  </pic:blipFill>
                  <pic:spPr bwMode="auto">
                    <a:xfrm>
                      <a:off x="0" y="0"/>
                      <a:ext cx="5486400" cy="488759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3"/>
        <w:tabs>
          <w:tab w:val="clear" w:pos="720"/>
          <w:tab w:val="left" w:pos="840" w:leader="none"/>
          <w:tab w:val="left" w:pos="7660" w:leader="none"/>
        </w:tabs>
        <w:spacing w:before="0" w:after="0"/>
        <w:jc w:val="start"/>
        <w:rPr>
          <w:rFonts w:ascii="Arial" w:hAnsi="Arial" w:cs="Arial"/>
          <w:sz w:val="20"/>
        </w:rPr>
      </w:pPr>
      <w:r>
        <w:rPr>
          <w:rFonts w:cs="Arial" w:ascii="Arial" w:hAnsi="Arial"/>
          <w:sz w:val="20"/>
        </w:rPr>
        <w:t>ZONE</w:t>
        <w:tab/>
        <w:t>COMPANY</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AEN</w:t>
        <w:tab/>
        <w:t>Austin Energy (City of Austin)</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BEC</w:t>
        <w:tab/>
        <w:t>Brazos Electric Coop</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BRYN</w:t>
        <w:tab/>
        <w:t>Bryan Texas Utilities (City of Bryan)</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CBEN</w:t>
        <w:tab/>
        <w:t>North &amp; Middle Central Power &amp; Light</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CPS</w:t>
        <w:tab/>
        <w:t>City Public Service San Antonio</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DC-E</w:t>
        <w:tab/>
        <w:t>DC Tie East</w:t>
      </w:r>
      <w:r>
        <mc:AlternateContent>
          <mc:Choice Requires="wps">
            <w:drawing>
              <wp:anchor behindDoc="0" distT="0" distB="0" distL="114935" distR="114935" simplePos="0" locked="0" layoutInCell="1" allowOverlap="1" relativeHeight="3">
                <wp:simplePos x="0" y="0"/>
                <wp:positionH relativeFrom="column">
                  <wp:posOffset>4570095</wp:posOffset>
                </wp:positionH>
                <wp:positionV relativeFrom="paragraph">
                  <wp:posOffset>98425</wp:posOffset>
                </wp:positionV>
                <wp:extent cx="2057400" cy="457200"/>
                <wp:effectExtent l="0" t="0" r="0" b="0"/>
                <wp:wrapNone/>
                <wp:docPr id="2" name="Frame1"/>
                <a:graphic xmlns:a="http://schemas.openxmlformats.org/drawingml/2006/main">
                  <a:graphicData uri="http://schemas.microsoft.com/office/word/2010/wordprocessingShape">
                    <wps:wsp>
                      <wps:cNvSpPr txBox="1"/>
                      <wps:spPr>
                        <a:xfrm>
                          <a:off x="0" y="0"/>
                          <a:ext cx="2057400" cy="457200"/>
                        </a:xfrm>
                        <a:prstGeom prst="rect"/>
                        <a:solidFill>
                          <a:srgbClr val="FFFFFF">
                            <a:alpha val="0"/>
                          </a:srgbClr>
                        </a:solidFill>
                      </wps:spPr>
                      <wps:txbx>
                        <w:txbxContent>
                          <w:p>
                            <w:pPr>
                              <w:pStyle w:val="Normal"/>
                              <w:rPr/>
                            </w:pPr>
                            <w:r>
                              <w:rPr/>
                              <w:t>ERCOT Zone Map</w:t>
                            </w:r>
                          </w:p>
                        </w:txbxContent>
                      </wps:txbx>
                      <wps:bodyPr anchor="t" lIns="92075" tIns="46355" rIns="92075" bIns="46355">
                        <a:noAutofit/>
                      </wps:bodyPr>
                    </wps:wsp>
                  </a:graphicData>
                </a:graphic>
              </wp:anchor>
            </w:drawing>
          </mc:Choice>
          <mc:Fallback>
            <w:pict>
              <v:rect fillcolor="#FFFFFF" style="position:absolute;rotation:-0;width:162pt;height:36pt;mso-wrap-distance-left:9.05pt;mso-wrap-distance-right:9.05pt;mso-wrap-distance-top:0pt;mso-wrap-distance-bottom:0pt;margin-top:7.75pt;mso-position-vertical-relative:text;margin-left:359.85pt;mso-position-horizontal-relative:text">
                <v:fill opacity="0f"/>
                <v:textbox inset="0.100694444444444in,0.0506944444444444in,0.100694444444444in,0.0506944444444444in">
                  <w:txbxContent>
                    <w:p>
                      <w:pPr>
                        <w:pStyle w:val="Normal"/>
                        <w:rPr/>
                      </w:pPr>
                      <w:r>
                        <w:rPr/>
                        <w:t>ERCOT Zone Map</w:t>
                      </w:r>
                    </w:p>
                  </w:txbxContent>
                </v:textbox>
                <w10:wrap type="none"/>
              </v:rect>
            </w:pict>
          </mc:Fallback>
        </mc:AlternateConten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DC-N</w:t>
        <w:tab/>
        <w:t>DC Tie North</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DGG</w:t>
        <w:tab/>
        <w:t>Cities of Denton, Garland &amp; Greenville</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HLPT</w:t>
        <w:tab/>
        <w:t>Reliant Energy (HLP)</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LCRA</w:t>
        <w:tab/>
        <w:t>Lower Colorado River Authority</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STEC</w:t>
        <w:tab/>
        <w:t>South Texas Electric Coop, Medina Electric Coop, San Miguel Plant</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TMPA</w:t>
        <w:tab/>
        <w:t>Texas Municipal Power Agency (Gibbons Creek Plant)</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TNMP</w:t>
        <w:tab/>
        <w:t>Texas New Mexico Power Co (Texas City)</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TU</w:t>
        <w:tab/>
        <w:t>TXU Electric</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TU-E</w:t>
        <w:tab/>
        <w:t>East Texas TXU Electric, SESCO, Rayburn Country, TxLa</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TU-W</w:t>
        <w:tab/>
        <w:t>West Texas TXU Electric</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VALC</w:t>
        <w:tab/>
        <w:t>South Central Power &amp; Light</w:t>
      </w:r>
    </w:p>
    <w:p>
      <w:pPr>
        <w:pStyle w:val="BodyText3"/>
        <w:tabs>
          <w:tab w:val="clear" w:pos="720"/>
          <w:tab w:val="left" w:pos="840" w:leader="none"/>
          <w:tab w:val="left" w:pos="7660" w:leader="none"/>
        </w:tabs>
        <w:spacing w:before="0" w:after="0"/>
        <w:jc w:val="start"/>
        <w:rPr>
          <w:rFonts w:ascii="Arial" w:hAnsi="Arial" w:cs="Arial"/>
          <w:b w:val="false"/>
          <w:sz w:val="20"/>
        </w:rPr>
      </w:pPr>
      <w:r>
        <w:rPr>
          <w:rFonts w:cs="Arial" w:ascii="Arial" w:hAnsi="Arial"/>
          <w:b w:val="false"/>
          <w:sz w:val="20"/>
        </w:rPr>
        <w:t>VALP</w:t>
        <w:tab/>
        <w:t>City of Brownsville</w:t>
      </w:r>
    </w:p>
    <w:p>
      <w:pPr>
        <w:pStyle w:val="BodyTextIndent"/>
        <w:ind w:hanging="0" w:start="0" w:end="0"/>
        <w:rPr>
          <w:rFonts w:ascii="Arial" w:hAnsi="Arial" w:cs="Arial"/>
          <w:sz w:val="20"/>
        </w:rPr>
      </w:pPr>
      <w:r>
        <w:rPr>
          <w:rFonts w:cs="Arial" w:ascii="Arial" w:hAnsi="Arial"/>
          <w:sz w:val="20"/>
        </w:rPr>
        <w:t>WTU</w:t>
        <w:tab/>
        <w:t xml:space="preserve">  West Texas Utilities, Big Country Electric Coop</w:t>
      </w:r>
    </w:p>
    <w:p>
      <w:pPr>
        <w:pStyle w:val="BodyTextIndent2"/>
        <w:rPr/>
      </w:pPr>
      <w:r>
        <w:rPr/>
      </w:r>
    </w:p>
    <w:p>
      <w:pPr>
        <w:pStyle w:val="BodyTextIndent2"/>
        <w:rPr/>
      </w:pPr>
      <w:r>
        <w:rPr/>
      </w:r>
    </w:p>
    <w:p>
      <w:pPr>
        <w:pStyle w:val="BodyTextIndent2"/>
        <w:rPr/>
      </w:pPr>
      <w:r>
        <w:rPr/>
        <w:t>Source:  ERCOT’s Report on Existing and Potential Electric System Constraints and Needs within ERCOT (October 1, 2000) at 30.</w:t>
      </w:r>
      <w:r>
        <w:br w:type="page"/>
      </w:r>
    </w:p>
    <w:p>
      <w:pPr>
        <w:pStyle w:val="Heading"/>
        <w:jc w:val="end"/>
        <w:rPr/>
      </w:pPr>
      <w:r>
        <w:rPr/>
        <w:t>Attachment 4</w:t>
      </w:r>
    </w:p>
    <w:p>
      <w:pPr>
        <w:pStyle w:val="Normal"/>
        <w:jc w:val="center"/>
        <w:rPr/>
      </w:pPr>
      <w:r>
        <w:rPr/>
      </w:r>
    </w:p>
    <w:p>
      <w:pPr>
        <w:pStyle w:val="Subtitle"/>
        <w:rPr/>
      </w:pPr>
      <w:r>
        <w:rPr/>
        <w:t>Timeline to Implement Order</w:t>
      </w:r>
    </w:p>
    <w:p>
      <w:pPr>
        <w:pStyle w:val="Normal"/>
        <w:rPr/>
      </w:pPr>
      <w:r>
        <w:rPr/>
      </w:r>
    </w:p>
    <w:p>
      <w:pPr>
        <w:pStyle w:val="Normal"/>
        <w:rPr/>
      </w:pPr>
      <w:r>
        <w:rPr/>
      </w:r>
    </w:p>
    <w:p>
      <w:pPr>
        <w:pStyle w:val="Normal"/>
        <w:rPr/>
      </w:pPr>
      <w:r>
        <w:rPr/>
        <w:t>The entity required to take the actions listed below is ERCOT, unless otherwise stated.</w:t>
      </w:r>
    </w:p>
    <w:p>
      <w:pPr>
        <w:pStyle w:val="Normal"/>
        <w:rPr/>
      </w:pPr>
      <w:r>
        <w:rPr/>
      </w:r>
    </w:p>
    <w:p>
      <w:pPr>
        <w:pStyle w:val="Normal"/>
        <w:tabs>
          <w:tab w:val="clear" w:pos="720"/>
          <w:tab w:val="left" w:pos="1440" w:leader="none"/>
          <w:tab w:val="left" w:pos="2880" w:leader="none"/>
        </w:tabs>
        <w:ind w:hanging="2880" w:start="2880" w:end="0"/>
        <w:rPr/>
      </w:pPr>
      <w:r>
        <w:rPr/>
      </w:r>
    </w:p>
    <w:p>
      <w:pPr>
        <w:pStyle w:val="Heading1"/>
        <w:numPr>
          <w:ilvl w:val="0"/>
          <w:numId w:val="9"/>
        </w:numPr>
        <w:rPr/>
      </w:pPr>
      <w:r>
        <w:rPr/>
        <w:t>Implement before June 1, 2001</w:t>
      </w:r>
    </w:p>
    <w:p>
      <w:pPr>
        <w:pStyle w:val="Normal"/>
        <w:rPr/>
      </w:pPr>
      <w:r>
        <w:rPr/>
        <w:t>The deadline is May 31, 2001, unless otherwise stated.</w:t>
      </w:r>
    </w:p>
    <w:p>
      <w:pPr>
        <w:pStyle w:val="Normal"/>
        <w:rPr/>
      </w:pPr>
      <w:r>
        <w:rPr/>
      </w:r>
    </w:p>
    <w:p>
      <w:pPr>
        <w:pStyle w:val="Normal"/>
        <w:rPr/>
      </w:pPr>
      <w:r>
        <w:rPr/>
      </w:r>
    </w:p>
    <w:tbl>
      <w:tblPr>
        <w:tblW w:w="9360" w:type="dxa"/>
        <w:jc w:val="start"/>
        <w:tblInd w:w="0" w:type="dxa"/>
        <w:tblLayout w:type="fixed"/>
        <w:tblCellMar>
          <w:top w:w="0" w:type="dxa"/>
          <w:start w:w="108" w:type="dxa"/>
          <w:bottom w:w="0" w:type="dxa"/>
          <w:end w:w="108" w:type="dxa"/>
        </w:tblCellMar>
      </w:tblPr>
      <w:tblGrid>
        <w:gridCol w:w="2160"/>
        <w:gridCol w:w="7200"/>
      </w:tblGrid>
      <w:tr>
        <w:trPr/>
        <w:tc>
          <w:tcPr>
            <w:tcW w:w="2160" w:type="dxa"/>
            <w:tcBorders>
              <w:top w:val="single" w:sz="4" w:space="0" w:color="000000"/>
              <w:start w:val="single" w:sz="4" w:space="0" w:color="000000"/>
              <w:bottom w:val="single" w:sz="4" w:space="0" w:color="000000"/>
              <w:end w:val="single" w:sz="4" w:space="0" w:color="000000"/>
            </w:tcBorders>
          </w:tcPr>
          <w:p>
            <w:pPr>
              <w:pStyle w:val="Docketstyle"/>
              <w:tabs>
                <w:tab w:val="clear" w:pos="4770"/>
                <w:tab w:val="clear" w:pos="5400"/>
              </w:tabs>
              <w:spacing w:lineRule="auto" w:line="240"/>
              <w:rPr>
                <w:caps w:val="false"/>
                <w:smallCaps w:val="false"/>
              </w:rPr>
            </w:pPr>
            <w:r>
              <w:rPr>
                <w:caps w:val="false"/>
                <w:smallCaps w:val="false"/>
              </w:rPr>
              <w:t>Deadline</w:t>
            </w:r>
          </w:p>
        </w:tc>
        <w:tc>
          <w:tcPr>
            <w:tcW w:w="7200" w:type="dxa"/>
            <w:tcBorders>
              <w:top w:val="single" w:sz="4" w:space="0" w:color="000000"/>
              <w:start w:val="single" w:sz="4" w:space="0" w:color="000000"/>
              <w:bottom w:val="single" w:sz="4" w:space="0" w:color="000000"/>
              <w:end w:val="single" w:sz="4" w:space="0" w:color="000000"/>
            </w:tcBorders>
          </w:tcPr>
          <w:p>
            <w:pPr>
              <w:pStyle w:val="Docketstyle"/>
              <w:keepNext w:val="false"/>
              <w:tabs>
                <w:tab w:val="clear" w:pos="4770"/>
                <w:tab w:val="clear" w:pos="5400"/>
              </w:tabs>
              <w:snapToGrid w:val="false"/>
              <w:spacing w:lineRule="auto" w:line="240"/>
              <w:rPr>
                <w:caps w:val="false"/>
                <w:smallCaps w:val="false"/>
              </w:rPr>
            </w:pPr>
            <w:r>
              <w:rPr>
                <w:caps w:val="false"/>
                <w:smallCaps w:val="false"/>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May 1, 2001</w:t>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Amend the Protocols to enable QSEs to post surety bonds to meet credit worthiness requirements.  (AES New Energy 1,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May 18, 2001</w:t>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 xml:space="preserve">Revise the Protocols to the extent necessary to address issues specific to federal resources. </w:t>
            </w:r>
            <w:r>
              <w:rPr/>
              <w:t xml:space="preserve"> (Tex-La 6, Attachment 8.)</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Amend the definition of “Market Solution” to require the actual submission of three bids from unaffiliated resources that have capacity available to solve the local congestion, with no one bidder essential to solve the congestion.  (CPS 3, Attachment 7.  Implementation of the Market Solution option is part of Phase 2 of the Protocol Implementation Plan.)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Until the implementation of the two settlement system, amend the Protocols to use activity rules that allow only downward adjustment of unselected A/S bids and allow unselected bids by a QSE to be withdrawn only in descending order of bid prices.  (PUC 4,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Effective June 1, 2001.  Expires on July 4, 2003.</w:t>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Amend the Protocols to include a generation resource bid cap</w:t>
            </w:r>
            <w:r>
              <w:rPr/>
              <w:t xml:space="preserve"> </w:t>
            </w:r>
            <w:r>
              <w:rPr>
                <w:lang w:eastAsia="en-US"/>
              </w:rPr>
              <w:t xml:space="preserve">of $1,000 MWh for energy that ERCOT procures. </w:t>
            </w:r>
            <w:r>
              <w:rPr/>
              <w:t xml:space="preserve"> (PUC 3,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Amend the Protocols to give an RMR unit owner the additional option of receiving 10% of net positive margins for energy generated in excess of the amount that the unit is obligated to produce under its RMR contract.  Amend the Protocols to require an RMR owner to select one of the two options (10% of net positive margins or 90% of gross revenues) no more frequently than on an a yearly basis, prior to the time in which the selected option will be in effect.  (PUC 6,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 xml:space="preserve">Modify Protocols §1.1 to require that Agreement provisions that deviate from the Protocols shall be required to explicitly state that they deviate from the Protocols and that such deviations shall be effective only upon the approval by the ERCOT Board of Directors on a showing of good cause. </w:t>
            </w:r>
            <w:r>
              <w:rPr/>
              <w:t xml:space="preserve"> (PUC 12, Attachment 7..)</w:t>
            </w:r>
          </w:p>
        </w:tc>
      </w:tr>
    </w:tbl>
    <w:p>
      <w:pPr>
        <w:pStyle w:val="Normal"/>
        <w:rPr/>
      </w:pPr>
      <w:r>
        <w:br w:type="page"/>
      </w:r>
      <w:r>
        <w:rPr/>
      </w:r>
    </w:p>
    <w:tbl>
      <w:tblPr>
        <w:tblW w:w="9360" w:type="dxa"/>
        <w:jc w:val="start"/>
        <w:tblInd w:w="0" w:type="dxa"/>
        <w:tblLayout w:type="fixed"/>
        <w:tblCellMar>
          <w:top w:w="0" w:type="dxa"/>
          <w:start w:w="108" w:type="dxa"/>
          <w:bottom w:w="0" w:type="dxa"/>
          <w:end w:w="108" w:type="dxa"/>
        </w:tblCellMar>
      </w:tblPr>
      <w:tblGrid>
        <w:gridCol w:w="2160"/>
        <w:gridCol w:w="720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 xml:space="preserve">Revise Protocols §18.4.4.1 to clarify that a TDSP </w:t>
            </w:r>
            <w:r>
              <w:rPr>
                <w:i/>
              </w:rPr>
              <w:t>shall</w:t>
            </w:r>
            <w:r>
              <w:rPr/>
              <w:t xml:space="preserve"> change the assignment of a load profile based on the outcome of a dispute in favor of a competitive retailer.  (IM 6A,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Revise Protocols §18.7.1.4(2) to state that, for TDSPs regulated by the Commission, additional TOU schedules shall be implemented upon approval by the Commission.  (IM 6C,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Amend the Protocols to require that ERCOT immediately notify the Commission and the affected competitive retailers if a TDSP fails to meet its customer switch responsibilities under the Protocols.  (PUC 11</w:t>
            </w:r>
            <w:r>
              <w:rPr/>
              <w:t>, Attachment 7</w:t>
            </w:r>
            <w:r>
              <w:rPr>
                <w:lang w:eastAsia="en-US"/>
              </w:rPr>
              <w:t>.)</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 xml:space="preserve">Amend Protocols §11.1.10 to clarify that the deadlines for the interim manual switching process are the same as those for the automated process. </w:t>
            </w:r>
            <w:r>
              <w:rPr/>
              <w:t xml:space="preserve"> (IM 9,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 xml:space="preserve">Amend the Protocols to include a reasonable deadline for ERCOT to provide meter-read data to competitive retailers for the interim period before the system vendor can ensure meeting deadlines. </w:t>
            </w:r>
            <w:r>
              <w:rPr/>
              <w:t xml:space="preserve"> (IM 10,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Amend the Protocols to reflect LCRA’s proposed wording changes, to allow hydroelectric resources to provide responsive reserves.  (LCRA 1, Attachment 8.)</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 xml:space="preserve">Eliminate the “sole discretion” language addressing ERCOT’s conduct or revise Protocols §1 to state that where the Protocols refer to ERCOT’s sole discretion, ERCOT shall exercise its discretion in a reasonable, nondiscriminatory manner. </w:t>
            </w:r>
            <w:r>
              <w:rPr/>
              <w:t xml:space="preserve"> (Mirant 5, Attachment 8.)</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Establish an expeditious procedure to implement the boxed provisions of the Protocols, to address implementation of the boxed provisions once the systems are capable of accommodating them.  (IM 7</w:t>
            </w:r>
            <w:r>
              <w:rPr/>
              <w:t>, Attachment 7</w:t>
            </w:r>
            <w:r>
              <w:rPr>
                <w:lang w:eastAsia="en-US"/>
              </w:rPr>
              <w:t>.)</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Header"/>
              <w:rPr/>
            </w:pPr>
            <w:r>
              <w:rPr>
                <w:lang w:eastAsia="en-US"/>
              </w:rPr>
              <w:t xml:space="preserve">Amend Protocols §7.5.4.4 to state that preassigned TCRs are subject to change or elimination at any time, upon ERCOT Board of Directors approval or Commission order. </w:t>
            </w:r>
            <w:r>
              <w:rPr/>
              <w:t xml:space="preserve"> (PUC 2,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Header"/>
              <w:rPr/>
            </w:pPr>
            <w:r>
              <w:rPr/>
              <w:t>Delete the provisions of Protocols §9.7.2 at this time, subject to reinsertion in Docket No. 23320.  (IM 3C,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Header"/>
              <w:rPr/>
            </w:pPr>
            <w:r>
              <w:rPr/>
              <w:t>Revise Protocols §9.5.5 to change “proven” to “alleged.”  (IM 3E,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July 1, 2001</w:t>
            </w:r>
          </w:p>
        </w:tc>
        <w:tc>
          <w:tcPr>
            <w:tcW w:w="7200" w:type="dxa"/>
            <w:tcBorders>
              <w:top w:val="single" w:sz="4" w:space="0" w:color="000000"/>
              <w:start w:val="single" w:sz="4" w:space="0" w:color="000000"/>
              <w:bottom w:val="single" w:sz="4" w:space="0" w:color="000000"/>
              <w:end w:val="single" w:sz="4" w:space="0" w:color="000000"/>
            </w:tcBorders>
          </w:tcPr>
          <w:p>
            <w:pPr>
              <w:pStyle w:val="Header"/>
              <w:rPr/>
            </w:pPr>
            <w:r>
              <w:rPr/>
              <w:t>Amend the Protocols to require a ratcheting down mechanism for the 18,000 heat rate figure used in calculating OOME prices.  (PUC 9, Attachment 7.)</w:t>
            </w:r>
          </w:p>
        </w:tc>
      </w:tr>
    </w:tbl>
    <w:p>
      <w:pPr>
        <w:pStyle w:val="Normal"/>
        <w:rPr/>
      </w:pPr>
      <w:r>
        <w:rPr/>
      </w:r>
    </w:p>
    <w:p>
      <w:pPr>
        <w:pStyle w:val="Normal"/>
        <w:rPr/>
      </w:pPr>
      <w:r>
        <w:rPr/>
      </w:r>
      <w:r>
        <w:br w:type="page"/>
      </w:r>
    </w:p>
    <w:p>
      <w:pPr>
        <w:pStyle w:val="Normal"/>
        <w:rPr/>
      </w:pPr>
      <w:r>
        <w:rPr/>
      </w:r>
    </w:p>
    <w:p>
      <w:pPr>
        <w:pStyle w:val="Normal"/>
        <w:rPr/>
      </w:pPr>
      <w:r>
        <w:rPr/>
      </w:r>
    </w:p>
    <w:p>
      <w:pPr>
        <w:pStyle w:val="Heading1"/>
        <w:ind w:hanging="0" w:start="0"/>
        <w:rPr/>
      </w:pPr>
      <w:r>
        <w:rPr/>
        <w:t>Report to the Commission by October 1, 2001</w:t>
      </w:r>
    </w:p>
    <w:p>
      <w:pPr>
        <w:pStyle w:val="Normal"/>
        <w:rPr/>
      </w:pPr>
      <w:r>
        <w:rPr/>
        <w:t>The deadline to file the reports to the Commission is October 1, 2001, unless otherwise stated.</w:t>
      </w:r>
    </w:p>
    <w:p>
      <w:pPr>
        <w:pStyle w:val="Normal"/>
        <w:rPr/>
      </w:pPr>
      <w:r>
        <w:rPr/>
      </w:r>
    </w:p>
    <w:p>
      <w:pPr>
        <w:pStyle w:val="Normal"/>
        <w:rPr/>
      </w:pPr>
      <w:r>
        <w:rPr/>
      </w:r>
    </w:p>
    <w:tbl>
      <w:tblPr>
        <w:tblW w:w="9360" w:type="dxa"/>
        <w:jc w:val="start"/>
        <w:tblInd w:w="0" w:type="dxa"/>
        <w:tblLayout w:type="fixed"/>
        <w:tblCellMar>
          <w:top w:w="0" w:type="dxa"/>
          <w:start w:w="108" w:type="dxa"/>
          <w:bottom w:w="0" w:type="dxa"/>
          <w:end w:w="108" w:type="dxa"/>
        </w:tblCellMar>
      </w:tblPr>
      <w:tblGrid>
        <w:gridCol w:w="2160"/>
        <w:gridCol w:w="7200"/>
      </w:tblGrid>
      <w:tr>
        <w:trPr/>
        <w:tc>
          <w:tcPr>
            <w:tcW w:w="2160" w:type="dxa"/>
            <w:tcBorders>
              <w:top w:val="single" w:sz="4" w:space="0" w:color="000000"/>
              <w:start w:val="single" w:sz="4" w:space="0" w:color="000000"/>
              <w:bottom w:val="single" w:sz="4" w:space="0" w:color="000000"/>
              <w:end w:val="single" w:sz="4" w:space="0" w:color="000000"/>
            </w:tcBorders>
          </w:tcPr>
          <w:p>
            <w:pPr>
              <w:pStyle w:val="Docketstyle"/>
              <w:tabs>
                <w:tab w:val="clear" w:pos="4770"/>
                <w:tab w:val="clear" w:pos="5400"/>
              </w:tabs>
              <w:spacing w:lineRule="auto" w:line="240"/>
              <w:rPr>
                <w:caps w:val="false"/>
                <w:smallCaps w:val="false"/>
              </w:rPr>
            </w:pPr>
            <w:r>
              <w:rPr>
                <w:caps w:val="false"/>
                <w:smallCaps w:val="false"/>
              </w:rPr>
              <w:t>Deadline</w:t>
            </w:r>
          </w:p>
        </w:tc>
        <w:tc>
          <w:tcPr>
            <w:tcW w:w="7200" w:type="dxa"/>
            <w:tcBorders>
              <w:top w:val="single" w:sz="4" w:space="0" w:color="000000"/>
              <w:start w:val="single" w:sz="4" w:space="0" w:color="000000"/>
              <w:bottom w:val="single" w:sz="4" w:space="0" w:color="000000"/>
              <w:end w:val="single" w:sz="4" w:space="0" w:color="000000"/>
            </w:tcBorders>
          </w:tcPr>
          <w:p>
            <w:pPr>
              <w:pStyle w:val="Normal"/>
              <w:snapToGrid w:val="false"/>
              <w:rPr>
                <w:caps w:val="false"/>
                <w:smallCaps w:val="false"/>
              </w:rPr>
            </w:pPr>
            <w:r>
              <w:rPr>
                <w:caps w:val="false"/>
                <w:smallCaps w:val="false"/>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Header"/>
              <w:rPr/>
            </w:pPr>
            <w:r>
              <w:rPr/>
              <w:t>Consider whether A/S bids in the day-ahead period should be conditionally selected, with the option to deselect based on location after the QSE resource plans are published.  (PUC 4,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Consider whether a day-ahead period demand function for each ancillary service based on price should be developed, such that ERCOT would adjust the amount of A/S service procured day-ahead (as a percentage of forecasted need) as a function of price.  (PUC 4,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Consider expanding the definition of “Market Solution” to apply to all circumstances in which ERCOT procures ancillary services.  (CPS 3,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Submit to the Commission a complete justification for each of the terms and conditions of the preassigned TCRs.</w:t>
            </w:r>
            <w:r>
              <w:rPr/>
              <w:t xml:space="preserve">  Submit a list of market participants that will receive preassigned TCRs, along with the specific rights that each will receive and the cost that each will pay.  Provide a complete justification for not having all preassigned TCRs expire after a specified term (e.g., ten years) and for extending the grandfathered TCRs beyond the date a cooperative or MOU institutes customer choice; and a complete justification for the quantification of the cost of the preassigned TCRs, including a complete justification for why the cost of the preassigned TCRs should not escalate over time, given that they could potentially be held for many years.  (PUC 2,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Header"/>
              <w:rPr/>
            </w:pPr>
            <w:r>
              <w:rPr>
                <w:lang w:eastAsia="en-US"/>
              </w:rPr>
              <w:t xml:space="preserve">Develop and submit to the Commission for possible approval a bid cap on capacity bids for generation resources offering to provide replacement reserve service. </w:t>
            </w:r>
            <w:r>
              <w:rPr/>
              <w:t xml:space="preserve"> (PUC 3,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 xml:space="preserve">Consider measures to avoid excessive capacity payments to load resources that are procured for replacement reserve service. </w:t>
            </w:r>
            <w:r>
              <w:rPr/>
              <w:t xml:space="preserve"> (PUC 3,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Develop additional measures and refine existing measures, to enable load resources a greater opportunity to participate in the ERCOT markets.  As many of these measures as possible should take effect by January 1, 2002.  (Nucor 1, Attachment 8.)</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March 1, 2002</w:t>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Consider the technical implications of relaxing or eliminating the balanced schedule requirement.  (PUC 4,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June 3, 2002</w:t>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Develop a detailed proposal for implementation of a reserve margin/planning reserve method, if a planning reserve method is ordered by the Commission.  (Nucor 9, Attachment 7.)</w:t>
            </w:r>
          </w:p>
        </w:tc>
      </w:tr>
    </w:tbl>
    <w:p>
      <w:pPr>
        <w:pStyle w:val="Normal"/>
        <w:rPr/>
      </w:pPr>
      <w:r>
        <w:rPr/>
      </w:r>
    </w:p>
    <w:p>
      <w:pPr>
        <w:pStyle w:val="Normal"/>
        <w:rPr/>
      </w:pPr>
      <w:r>
        <w:rPr/>
      </w:r>
    </w:p>
    <w:p>
      <w:pPr>
        <w:pStyle w:val="Normal"/>
        <w:rPr/>
      </w:pPr>
      <w:r>
        <w:rPr/>
      </w:r>
    </w:p>
    <w:p>
      <w:pPr>
        <w:pStyle w:val="Heading1"/>
        <w:ind w:hanging="0" w:start="0"/>
        <w:rPr/>
      </w:pPr>
      <w:r>
        <w:rPr/>
        <w:t>Implement as Part of Phase 2 of the Protocol Implementation Plan (PIP)</w:t>
      </w:r>
    </w:p>
    <w:p>
      <w:pPr>
        <w:pStyle w:val="Normal"/>
        <w:rPr/>
      </w:pPr>
      <w:r>
        <w:rPr/>
        <w:t>The target date for implementation of the items listed below is January 1, 2002, unless otherwise stated.  The items listed below shall be part of the highest priority part of PIP Phase 2, Criticality Criterion 4 – Significant, with a target date of January 1, 2001 for ERCOT’s systems to be capable of implementing the items.  Specific cost estimates and implementation schedules will be completed by ERCOT staff by July, 1, 2001, consistent with the ERCOT administrative fee docket interim order (Docket No. 23320).</w:t>
      </w:r>
    </w:p>
    <w:p>
      <w:pPr>
        <w:pStyle w:val="Normal"/>
        <w:rPr/>
      </w:pPr>
      <w:r>
        <w:rPr/>
      </w:r>
    </w:p>
    <w:p>
      <w:pPr>
        <w:pStyle w:val="Normal"/>
        <w:rPr/>
      </w:pPr>
      <w:r>
        <w:rPr/>
      </w:r>
    </w:p>
    <w:tbl>
      <w:tblPr>
        <w:tblW w:w="9360" w:type="dxa"/>
        <w:jc w:val="start"/>
        <w:tblInd w:w="0" w:type="dxa"/>
        <w:tblLayout w:type="fixed"/>
        <w:tblCellMar>
          <w:top w:w="0" w:type="dxa"/>
          <w:start w:w="108" w:type="dxa"/>
          <w:bottom w:w="0" w:type="dxa"/>
          <w:end w:w="108" w:type="dxa"/>
        </w:tblCellMar>
      </w:tblPr>
      <w:tblGrid>
        <w:gridCol w:w="2160"/>
        <w:gridCol w:w="7200"/>
      </w:tblGrid>
      <w:tr>
        <w:trPr/>
        <w:tc>
          <w:tcPr>
            <w:tcW w:w="2160" w:type="dxa"/>
            <w:tcBorders>
              <w:top w:val="single" w:sz="4" w:space="0" w:color="000000"/>
              <w:start w:val="single" w:sz="4" w:space="0" w:color="000000"/>
              <w:bottom w:val="single" w:sz="4" w:space="0" w:color="000000"/>
              <w:end w:val="single" w:sz="4" w:space="0" w:color="000000"/>
            </w:tcBorders>
          </w:tcPr>
          <w:p>
            <w:pPr>
              <w:pStyle w:val="Docketstyle"/>
              <w:keepNext w:val="false"/>
              <w:tabs>
                <w:tab w:val="clear" w:pos="4770"/>
                <w:tab w:val="clear" w:pos="5400"/>
              </w:tabs>
              <w:spacing w:lineRule="auto" w:line="240"/>
              <w:rPr>
                <w:caps w:val="false"/>
                <w:smallCaps w:val="false"/>
              </w:rPr>
            </w:pPr>
            <w:r>
              <w:rPr>
                <w:caps w:val="false"/>
                <w:smallCaps w:val="false"/>
              </w:rPr>
              <w:t>Target Implementation Date</w:t>
            </w:r>
          </w:p>
        </w:tc>
        <w:tc>
          <w:tcPr>
            <w:tcW w:w="7200" w:type="dxa"/>
            <w:tcBorders>
              <w:top w:val="single" w:sz="4" w:space="0" w:color="000000"/>
              <w:start w:val="single" w:sz="4" w:space="0" w:color="000000"/>
              <w:bottom w:val="single" w:sz="4" w:space="0" w:color="000000"/>
              <w:end w:val="single" w:sz="4" w:space="0" w:color="000000"/>
            </w:tcBorders>
          </w:tcPr>
          <w:p>
            <w:pPr>
              <w:pStyle w:val="Normal"/>
              <w:snapToGrid w:val="false"/>
              <w:rPr>
                <w:caps w:val="false"/>
                <w:smallCaps w:val="false"/>
              </w:rPr>
            </w:pPr>
            <w:r>
              <w:rPr>
                <w:caps w:val="false"/>
                <w:smallCaps w:val="false"/>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Revise</w:t>
            </w:r>
            <w:r>
              <w:rPr>
                <w:lang w:eastAsia="en-US"/>
              </w:rPr>
              <w:t xml:space="preserve"> the equation</w:t>
            </w:r>
            <w:r>
              <w:rPr/>
              <w:t xml:space="preserve"> in Protocols §6.8.2.2(4) so that OOME payments offset imbalance payments for instructed decrements.  (PUC 2,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Amend the Protocols such that ERCOT will procure ancillary services through use of simultaneous optimization for assignment of resources to A/S products, and will set prices for each ancillary service to the corresponding shadow price.  (PUC 4,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200" w:type="dxa"/>
            <w:tcBorders>
              <w:top w:val="single" w:sz="4" w:space="0" w:color="000000"/>
              <w:start w:val="single" w:sz="4" w:space="0" w:color="000000"/>
              <w:bottom w:val="single" w:sz="4" w:space="0" w:color="000000"/>
              <w:end w:val="single" w:sz="4" w:space="0" w:color="000000"/>
            </w:tcBorders>
          </w:tcPr>
          <w:p>
            <w:pPr>
              <w:pStyle w:val="Header"/>
              <w:rPr/>
            </w:pPr>
            <w:r>
              <w:rPr/>
              <w:t>Amend the Protocols to apply the ex ante MCPE for balancing energy set ten minutes before the beginning of a settlement interval to all instructed deployment of balancing energy during the settlement interval (as currently provided by the Protocols); and use the second subsequent settlement interval ex post MCPE, which will be set five minutes after the end of the first settlement interval, for uninstructed deviations (including passive load response) during the first settlement interval.  Upon implementation, this method of addressing price chasing shall supercede the method currently contained in the Protocols.  (PUC 10,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June 1, 2002</w:t>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Amend the Protocols such that ERCOT will use a two settlement system for the procurement of ancillary services, whereby the day-ahead period procurements are settled at a MCPC for each ancillary service that is set at the time that the day-ahead selected A/S bids are announced (13:30).  A second MCPC for each A/S, determined at the end of the adjustment period, shall be used to settle any additional procurements of A/S capacity taking place during the adjustment period for each operating hour.  (PUC 4, Attachment 7.)</w:t>
            </w:r>
          </w:p>
        </w:tc>
      </w:tr>
    </w:tbl>
    <w:p>
      <w:pPr>
        <w:pStyle w:val="Normal"/>
        <w:rPr/>
      </w:pPr>
      <w:r>
        <w:br w:type="page"/>
      </w:r>
      <w:r>
        <w:rPr/>
      </w:r>
    </w:p>
    <w:tbl>
      <w:tblPr>
        <w:tblW w:w="9360" w:type="dxa"/>
        <w:jc w:val="start"/>
        <w:tblInd w:w="0" w:type="dxa"/>
        <w:tblLayout w:type="fixed"/>
        <w:tblCellMar>
          <w:top w:w="0" w:type="dxa"/>
          <w:start w:w="108" w:type="dxa"/>
          <w:bottom w:w="0" w:type="dxa"/>
          <w:end w:w="108" w:type="dxa"/>
        </w:tblCellMar>
      </w:tblPr>
      <w:tblGrid>
        <w:gridCol w:w="2160"/>
        <w:gridCol w:w="720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January 1, 2003 or six months after the $20 million trigger in Protocols §7.3.3 is hit, whichever is sooner.</w:t>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Amend the Protocols to convert to direct assignment of interzonal congestion costs, and base direct assignment of interzonal congestion costs on an adjustable commercial model that employs operational shift factors on the CSCs.  Amend the Protocols to require ERCOT to publish advisory updates or forecasts of the shift factors corresponding to CSCs to reflect predicted operating conditions and contingencies.</w:t>
            </w:r>
            <w:r>
              <w:rPr/>
              <w:t xml:space="preserve">  Amend </w:t>
            </w:r>
            <w:r>
              <w:rPr>
                <w:lang w:eastAsia="en-US"/>
              </w:rPr>
              <w:t>the Protocols to define TCRs (in units of megawatts) as pure financial instruments entitling their holders to the shadow prices on directional flowgate constraints; the “use it or lose it” rule shall be eliminated.</w:t>
            </w:r>
            <w:r>
              <w:rPr/>
              <w:t xml:space="preserve">  Amend the Protocols to provide for a simultaneous combinatorial auction (instead of a multiround auction) for selling TCRs.  (PUC 2, Attachment 7.)</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January 1, 2003.</w:t>
            </w:r>
          </w:p>
        </w:tc>
        <w:tc>
          <w:tcPr>
            <w:tcW w:w="7200" w:type="dxa"/>
            <w:tcBorders>
              <w:top w:val="single" w:sz="4" w:space="0" w:color="000000"/>
              <w:start w:val="single" w:sz="4" w:space="0" w:color="000000"/>
              <w:bottom w:val="single" w:sz="4" w:space="0" w:color="000000"/>
              <w:end w:val="single" w:sz="4" w:space="0" w:color="000000"/>
            </w:tcBorders>
          </w:tcPr>
          <w:p>
            <w:pPr>
              <w:pStyle w:val="Normal"/>
              <w:rPr/>
            </w:pPr>
            <w:r>
              <w:rPr>
                <w:lang w:eastAsia="en-US"/>
              </w:rPr>
              <w:t>Amend the Protocols to require direct assignment of intrazonal congestion management costs, through a usage fee that is based on the flow on the congested intrazonal interface.  The usage fee shall be set to the operational shadow price on the congested intrazonal interface.  The usage fee shall apply to the generation resources that cause the congestion.  The net revenues resulting from the usage fee shall be distributed, or credited against uplift charges, on a load-ratio basis within the zone in which the congested intrazonal interface is located, or used to fund construction of transmission facilities.  (PUC 2</w:t>
            </w:r>
            <w:r>
              <w:rPr/>
              <w:t>, Attachment 7</w:t>
            </w:r>
            <w:r>
              <w:rPr>
                <w:lang w:eastAsia="en-US"/>
              </w:rPr>
              <w:t>.)</w:t>
            </w:r>
          </w:p>
        </w:tc>
      </w:tr>
    </w:tbl>
    <w:p>
      <w:pPr>
        <w:pStyle w:val="Normal"/>
        <w:rPr/>
      </w:pPr>
      <w:r>
        <w:rPr/>
      </w:r>
    </w:p>
    <w:sectPr>
      <w:headerReference w:type="default" r:id="rId4"/>
      <w:headerReference w:type="first" r:id="rId5"/>
      <w:footnotePr>
        <w:numFmt w:val="decimal"/>
      </w:footnotePr>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ind w:firstLine="720" w:start="0" w:end="0"/>
        <w:jc w:val="both"/>
        <w:rPr/>
      </w:pPr>
      <w:r>
        <w:rPr>
          <w:rStyle w:val="FootnoteCharacters"/>
        </w:rPr>
        <w:footnoteRef/>
      </w:r>
      <w:r>
        <w:rPr/>
        <w:t xml:space="preserve"> </w:t>
      </w:r>
      <w:r>
        <w:rPr/>
        <w:t>Attachment 1 of this Order is a table of contents for the Order.  Attachment 2 is a list of abbreviations used in the Order.</w:t>
      </w:r>
    </w:p>
  </w:footnote>
  <w:footnote w:id="3">
    <w:p>
      <w:pPr>
        <w:pStyle w:val="FootnoteText"/>
        <w:spacing w:before="0" w:after="200"/>
        <w:ind w:firstLine="720" w:start="0" w:end="0"/>
        <w:jc w:val="both"/>
        <w:rPr/>
      </w:pPr>
      <w:r>
        <w:rPr>
          <w:rStyle w:val="FootnoteCharacters"/>
        </w:rPr>
        <w:footnoteRef/>
      </w:r>
      <w:r>
        <w:rPr/>
        <w:t xml:space="preserve"> </w:t>
      </w:r>
      <w:r>
        <w:rPr>
          <w:i/>
        </w:rPr>
        <w:t xml:space="preserve">See </w:t>
      </w:r>
      <w:r>
        <w:rPr/>
        <w:t>Public Utility Regulatory Act (PURA), Texas Utilities Code, Title II, §31.002(5).  Attachment 3 of this Order is a map of Texas that shows the ERCOT power region.</w:t>
      </w:r>
    </w:p>
  </w:footnote>
  <w:footnote w:id="4">
    <w:p>
      <w:pPr>
        <w:pStyle w:val="FootnoteText"/>
        <w:spacing w:before="0" w:after="200"/>
        <w:ind w:firstLine="720" w:start="0" w:end="0"/>
        <w:jc w:val="both"/>
        <w:rPr/>
      </w:pPr>
      <w:r>
        <w:rPr>
          <w:rStyle w:val="FootnoteCharacters"/>
        </w:rPr>
        <w:footnoteRef/>
      </w:r>
      <w:r>
        <w:rPr/>
        <w:t xml:space="preserve"> </w:t>
      </w:r>
      <w:r>
        <w:rPr/>
        <w:t xml:space="preserve">On January 26, 2001, ERCOT withdrew its request for designation in this proceeding as the designated agent under </w:t>
      </w:r>
      <w:r>
        <w:rPr>
          <w:smallCaps/>
        </w:rPr>
        <w:t xml:space="preserve">P.U.C. Subst. R. </w:t>
      </w:r>
      <w:r>
        <w:rPr/>
        <w:t>25.484(a) for management of the do not call list.</w:t>
      </w:r>
    </w:p>
  </w:footnote>
  <w:footnote w:id="5">
    <w:p>
      <w:pPr>
        <w:pStyle w:val="FootnoteText"/>
        <w:spacing w:before="0" w:after="200"/>
        <w:ind w:firstLine="720" w:start="0" w:end="0"/>
        <w:jc w:val="both"/>
        <w:rPr/>
      </w:pPr>
      <w:r>
        <w:rPr>
          <w:rStyle w:val="FootnoteCharacters"/>
        </w:rPr>
        <w:footnoteRef/>
      </w:r>
      <w:r>
        <w:rPr/>
        <w:t xml:space="preserve"> </w:t>
      </w:r>
      <w:r>
        <w:rPr/>
        <w:t xml:space="preserve">Brazos Electric Power Cooperative, Inc. (Brazos) and Texas Electric Cooperatives, Inc. (TEC) requested a hearing on whether the provisions of Protocols §14 relating to renewable energy credit offsets are inconsistent with P.U.C. </w:t>
      </w:r>
      <w:r>
        <w:rPr>
          <w:smallCaps/>
        </w:rPr>
        <w:t xml:space="preserve">Subst. </w:t>
      </w:r>
      <w:r>
        <w:rPr/>
        <w:t xml:space="preserve">R. 25.173.  Brazos Electric Power Cooperative, Inc.’s and Texas Electric Cooperative, Inc.’s List of Issues and Request for Hearing on Supplemental Filing of Section 14 of the ERCOT Protocols (Jan. 11, 2001) at 2.  That request, however, was denied by the administrative law judge, who determined that the issue raised by Brazos and TEC was a legal/policy issue, not a contested fact issue, and that therefore a hearing was not necessary.  Prehearing Conf. Tr. (Jan. 25, 2001) at 42.  Subsequently, this issue was severed for consideration in </w:t>
      </w:r>
      <w:r>
        <w:rPr>
          <w:i/>
        </w:rPr>
        <w:t>Proceeding to Consider Section 14 of the ERCOT Protocols (Severed from Docket No. 23220),</w:t>
      </w:r>
      <w:r>
        <w:rPr/>
        <w:t xml:space="preserve"> Docket No. 23802.</w:t>
      </w:r>
    </w:p>
  </w:footnote>
  <w:footnote w:id="6">
    <w:p>
      <w:pPr>
        <w:pStyle w:val="FootnoteText"/>
        <w:spacing w:before="0" w:after="200"/>
        <w:ind w:firstLine="720" w:start="0" w:end="0"/>
        <w:jc w:val="both"/>
        <w:rPr/>
      </w:pPr>
      <w:r>
        <w:rPr>
          <w:rStyle w:val="FootnoteCharacters"/>
        </w:rPr>
        <w:footnoteRef/>
      </w:r>
      <w:r>
        <w:rPr/>
        <w:t xml:space="preserve"> </w:t>
      </w:r>
      <w:r>
        <w:rPr/>
        <w:t xml:space="preserve">The Commission admits the following items into the evidentiary record in this proceeding:  ERCOT’s Petition for Approval of the ERCOT Protocols (filed Nov. 2, 2000); Notice of the Petition (filed Nov. 6, 2000); </w:t>
      </w:r>
      <w:r>
        <w:rPr>
          <w:i/>
        </w:rPr>
        <w:t xml:space="preserve">Texas Register </w:t>
      </w:r>
      <w:r>
        <w:rPr/>
        <w:t>Submission Form (filed Nov. 7, 2000); ERCOT’s Proof of Notice (filed Nov. 10, 2000); ERCOT’s Protocol Implementation Plan Filing (filed Dec. 14, 2000); ERCOT’s Final Protocol Implementation Plan Filing (filed Dec. 22, 2000); Supplemental Petition for Approval of the ERCOT Protocols (filed Jan. 5, 2001); Filing of Redlined ERCOT Protocols (filed Jan. 5, 2001); Table of Contents and Index of Terms to the ERCOT Protocols (filed Jan. 24, 2001); Dr. Shmuel S. Oren’s Report on the ERCOT Protocols (filed Feb. 9, 2001); and Dr. William H. Hogan’s Coordination for Competition:  Electricity Market Design Principles (filed Feb. 20, 2001).</w:t>
      </w:r>
    </w:p>
  </w:footnote>
  <w:footnote w:id="7">
    <w:p>
      <w:pPr>
        <w:pStyle w:val="FootnoteText"/>
        <w:spacing w:before="0" w:after="200"/>
        <w:ind w:firstLine="720" w:start="0" w:end="0"/>
        <w:jc w:val="both"/>
        <w:rPr/>
      </w:pPr>
      <w:r>
        <w:rPr>
          <w:rStyle w:val="FootnoteCharacters"/>
        </w:rPr>
        <w:footnoteRef/>
      </w:r>
      <w:r>
        <w:rPr/>
        <w:t xml:space="preserve"> </w:t>
      </w:r>
      <w:r>
        <w:rPr/>
        <w:t xml:space="preserve">PURA §39.151(a)(3) uses the term retail electric provider rather than competitive retailer.  PURA §31.002(17) defines retail electric provider as “a person that sells electric energy to retail customers in this state….”  PURA defines “person” to exclude electric cooperatives and municipally owned utilities.  </w:t>
      </w:r>
      <w:r>
        <w:rPr>
          <w:i/>
        </w:rPr>
        <w:t xml:space="preserve">See </w:t>
      </w:r>
      <w:r>
        <w:rPr/>
        <w:t xml:space="preserve">PURA §11.003(14).  However, electric cooperatives and municipally owned utilities have the option of providing retail customer choice, and if they decide to do so, they can compete for retail customers outside of their service areas.  </w:t>
      </w:r>
      <w:r>
        <w:rPr>
          <w:i/>
        </w:rPr>
        <w:t>See</w:t>
      </w:r>
      <w:r>
        <w:rPr/>
        <w:t xml:space="preserve"> PURA §§40.053, 40.054, 41.053, and 41.054.  The Protocols recognize this option by using the term competitive retailers, which is defined to include retail electric providers as well as electric cooperatives and municipally owned utilities that offer customer choice and sell electric energy at retail.  Protocols §2 at 2-5.</w:t>
      </w:r>
    </w:p>
  </w:footnote>
  <w:footnote w:id="8">
    <w:p>
      <w:pPr>
        <w:pStyle w:val="FootnoteText"/>
        <w:spacing w:before="0" w:after="200"/>
        <w:ind w:firstLine="720" w:start="0" w:end="0"/>
        <w:jc w:val="both"/>
        <w:rPr/>
      </w:pPr>
      <w:r>
        <w:rPr>
          <w:rStyle w:val="FootnoteCharacters"/>
        </w:rPr>
        <w:footnoteRef/>
      </w:r>
      <w:r>
        <w:rPr/>
        <w:t xml:space="preserve"> </w:t>
      </w:r>
      <w:r>
        <w:rPr>
          <w:i/>
        </w:rPr>
        <w:t>Application of the ERCOT ISO for Certification as an Independent Organization to Perform Transmission and Distribution Access, Reliability, Information Exchange, and Settlement Function</w:t>
      </w:r>
      <w:r>
        <w:rPr/>
        <w:t>, Docket No. 22061, Final Order (Feb. 2, 2001).</w:t>
      </w:r>
    </w:p>
  </w:footnote>
  <w:footnote w:id="9">
    <w:p>
      <w:pPr>
        <w:pStyle w:val="FootnoteText"/>
        <w:spacing w:before="0" w:after="200"/>
        <w:ind w:firstLine="720" w:start="0" w:end="0"/>
        <w:jc w:val="both"/>
        <w:rPr/>
      </w:pPr>
      <w:r>
        <w:rPr>
          <w:rStyle w:val="FootnoteCharacters"/>
        </w:rPr>
        <w:footnoteRef/>
      </w:r>
      <w:r>
        <w:rPr/>
        <w:t xml:space="preserve"> </w:t>
      </w:r>
      <w:r>
        <w:rPr>
          <w:i/>
        </w:rPr>
        <w:t xml:space="preserve">See </w:t>
      </w:r>
      <w:r>
        <w:rPr/>
        <w:t>PURA §39.151(b).</w:t>
      </w:r>
    </w:p>
  </w:footnote>
  <w:footnote w:id="10">
    <w:p>
      <w:pPr>
        <w:pStyle w:val="FootnoteText"/>
        <w:spacing w:before="0" w:after="200"/>
        <w:ind w:firstLine="720" w:start="0" w:end="0"/>
        <w:jc w:val="both"/>
        <w:rPr/>
      </w:pPr>
      <w:r>
        <w:rPr>
          <w:rStyle w:val="FootnoteCharacters"/>
        </w:rPr>
        <w:footnoteRef/>
      </w:r>
      <w:r>
        <w:rPr/>
        <w:t xml:space="preserve"> </w:t>
      </w:r>
      <w:r>
        <w:rPr>
          <w:i/>
        </w:rPr>
        <w:t xml:space="preserve">See </w:t>
      </w:r>
      <w:r>
        <w:rPr/>
        <w:t>PURA §§39.001(b)(1) and 35.002.</w:t>
      </w:r>
    </w:p>
  </w:footnote>
  <w:footnote w:id="11">
    <w:p>
      <w:pPr>
        <w:pStyle w:val="FootnoteText"/>
        <w:spacing w:before="0" w:after="200"/>
        <w:ind w:firstLine="720" w:start="0" w:end="0"/>
        <w:jc w:val="both"/>
        <w:rPr/>
      </w:pPr>
      <w:r>
        <w:rPr>
          <w:rStyle w:val="FootnoteCharacters"/>
        </w:rPr>
        <w:footnoteRef/>
      </w:r>
      <w:r>
        <w:rPr/>
        <w:t xml:space="preserve"> </w:t>
      </w:r>
      <w:r>
        <w:rPr/>
        <w:t>Attachments 7 and 8 of this Order contain the decision-point lists that contain each issue and a summary of the parties’ positions, as submitted by the parties, and the Commission staff’s recommendations and the Commission’s decision on each of the issues.</w:t>
      </w:r>
    </w:p>
  </w:footnote>
  <w:footnote w:id="12">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2-3.</w:t>
      </w:r>
    </w:p>
  </w:footnote>
  <w:footnote w:id="13">
    <w:p>
      <w:pPr>
        <w:pStyle w:val="FootnoteText"/>
        <w:spacing w:before="0" w:after="200"/>
        <w:ind w:firstLine="720" w:start="0" w:end="0"/>
        <w:jc w:val="both"/>
        <w:rPr/>
      </w:pPr>
      <w:r>
        <w:rPr>
          <w:rStyle w:val="FootnoteCharacters"/>
        </w:rPr>
        <w:footnoteRef/>
      </w:r>
      <w:r>
        <w:rPr/>
        <w:t xml:space="preserve"> </w:t>
      </w:r>
      <w:r>
        <w:rPr/>
        <w:t xml:space="preserve">The City of Austin (Austin) and City Public Service of San Antonio (San Antonio) initially raised the issue of the effective date of the Protocols.  Comments of the City of Austin D/B/A Austin Energy (Nov. 22, 2000) at 3; City Public Service of San Antonio’s Motion to Intervene; Identification of Issues (Nov. 22, 2000) at 5-6.  However, Austin did not address this issue in its brief, and San Antonio essentially withdrew its concern.  </w:t>
      </w:r>
      <w:r>
        <w:rPr>
          <w:i/>
        </w:rPr>
        <w:t xml:space="preserve">See </w:t>
      </w:r>
      <w:r>
        <w:rPr/>
        <w:t>San Antonio’s City Public Service’s Initial Brief (Jan. 26, 2001) at 16-17.</w:t>
      </w:r>
    </w:p>
  </w:footnote>
  <w:footnote w:id="14">
    <w:p>
      <w:pPr>
        <w:pStyle w:val="FootnoteText"/>
        <w:spacing w:before="0" w:after="200"/>
        <w:ind w:firstLine="720" w:start="0" w:end="0"/>
        <w:jc w:val="both"/>
        <w:rPr/>
      </w:pPr>
      <w:r>
        <w:rPr>
          <w:rStyle w:val="FootnoteCharacters"/>
        </w:rPr>
        <w:footnoteRef/>
      </w:r>
      <w:r>
        <w:rPr/>
        <w:t xml:space="preserve"> </w:t>
      </w:r>
      <w:r>
        <w:rPr>
          <w:i/>
        </w:rPr>
        <w:t xml:space="preserve">See </w:t>
      </w:r>
      <w:r>
        <w:rPr/>
        <w:t>Supplemental Response to Order No. 2; Final Protocol Implementation Plan Filing (Dec. 22, 2000).</w:t>
      </w:r>
    </w:p>
  </w:footnote>
  <w:footnote w:id="15">
    <w:p>
      <w:pPr>
        <w:pStyle w:val="FootnoteText"/>
        <w:spacing w:before="0" w:after="200"/>
        <w:ind w:firstLine="720" w:start="0" w:end="0"/>
        <w:jc w:val="both"/>
        <w:rPr/>
      </w:pPr>
      <w:r>
        <w:rPr>
          <w:rStyle w:val="FootnoteCharacters"/>
        </w:rPr>
        <w:footnoteRef/>
      </w:r>
      <w:r>
        <w:rPr/>
        <w:t xml:space="preserve"> </w:t>
      </w:r>
      <w:r>
        <w:rPr>
          <w:i/>
        </w:rPr>
        <w:t xml:space="preserve">See </w:t>
      </w:r>
      <w:r>
        <w:rPr/>
        <w:t>Reliant Energy HL&amp;P’s Brief on the ERCOT Protocol Issues (Jan. 26, 2001) at 33; TXU Electric Company’s Initial Brief on Issues Raised by the Commission and Various Parties (Jan. 26, 2001) at 31.</w:t>
      </w:r>
    </w:p>
  </w:footnote>
  <w:footnote w:id="16">
    <w:p>
      <w:pPr>
        <w:pStyle w:val="FootnoteText"/>
        <w:spacing w:before="0" w:after="200"/>
        <w:ind w:firstLine="720" w:start="0" w:end="0"/>
        <w:jc w:val="both"/>
        <w:rPr/>
      </w:pPr>
      <w:r>
        <w:rPr>
          <w:rStyle w:val="FootnoteCharacters"/>
        </w:rPr>
        <w:footnoteRef/>
      </w:r>
      <w:r>
        <w:rPr/>
        <w:t xml:space="preserve"> </w:t>
      </w:r>
      <w:r>
        <w:rPr/>
        <w:t>Protocols §21.1(2) states that the Commission’s Market Oversight Division (MOD) should initiate a Protocol change necessitated by a Commission order.  However, for the Protocol changes required by this Order that are to be effective by June 1, 2001, ERCOT staff or a market participant will need to initiate the changes, because MOD will not be available to participate in the Protocols revision process until after this docket concludes.</w:t>
      </w:r>
    </w:p>
  </w:footnote>
  <w:footnote w:id="17">
    <w:p>
      <w:pPr>
        <w:pStyle w:val="FootnoteText"/>
        <w:spacing w:before="0" w:after="200"/>
        <w:ind w:firstLine="720" w:start="0" w:end="0"/>
        <w:jc w:val="both"/>
        <w:rPr/>
      </w:pPr>
      <w:r>
        <w:rPr>
          <w:rStyle w:val="FootnoteCharacters"/>
        </w:rPr>
        <w:footnoteRef/>
      </w:r>
      <w:r>
        <w:rPr/>
        <w:t xml:space="preserve"> </w:t>
      </w:r>
      <w:r>
        <w:rPr/>
        <w:t>Attachment 4 of this Order is a timeline for implementing various parts of this Order.</w:t>
      </w:r>
    </w:p>
  </w:footnote>
  <w:footnote w:id="18">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2-5.</w:t>
      </w:r>
    </w:p>
  </w:footnote>
  <w:footnote w:id="19">
    <w:p>
      <w:pPr>
        <w:pStyle w:val="FootnoteText"/>
        <w:spacing w:before="0" w:after="200"/>
        <w:ind w:firstLine="720" w:start="0" w:end="0"/>
        <w:jc w:val="both"/>
        <w:rPr/>
      </w:pPr>
      <w:r>
        <w:rPr>
          <w:rStyle w:val="FootnoteCharacters"/>
        </w:rPr>
        <w:footnoteRef/>
      </w:r>
      <w:r>
        <w:rPr/>
        <w:t xml:space="preserve"> </w:t>
      </w:r>
      <w:r>
        <w:rPr>
          <w:i/>
        </w:rPr>
        <w:t xml:space="preserve">See </w:t>
      </w:r>
      <w:r>
        <w:rPr/>
        <w:t>Protocols §4.1.1.</w:t>
      </w:r>
    </w:p>
  </w:footnote>
  <w:footnote w:id="20">
    <w:p>
      <w:pPr>
        <w:pStyle w:val="FootnoteText"/>
        <w:spacing w:before="0" w:after="200"/>
        <w:ind w:firstLine="720" w:start="0" w:end="0"/>
        <w:jc w:val="both"/>
        <w:rPr/>
      </w:pPr>
      <w:r>
        <w:rPr>
          <w:rStyle w:val="FootnoteCharacters"/>
        </w:rPr>
        <w:footnoteRef/>
      </w:r>
      <w:r>
        <w:rPr/>
        <w:t xml:space="preserve"> </w:t>
      </w:r>
      <w:r>
        <w:rPr>
          <w:i/>
        </w:rPr>
        <w:t>See</w:t>
      </w:r>
      <w:r>
        <w:rPr/>
        <w:t xml:space="preserve"> Protocols §4.1.2.</w:t>
      </w:r>
    </w:p>
  </w:footnote>
  <w:footnote w:id="21">
    <w:p>
      <w:pPr>
        <w:pStyle w:val="FootnoteText"/>
        <w:spacing w:before="0" w:after="200"/>
        <w:ind w:firstLine="720" w:start="0" w:end="0"/>
        <w:jc w:val="both"/>
        <w:rPr/>
      </w:pPr>
      <w:r>
        <w:rPr>
          <w:rStyle w:val="FootnoteCharacters"/>
        </w:rPr>
        <w:footnoteRef/>
      </w:r>
      <w:r>
        <w:rPr/>
        <w:t xml:space="preserve"> </w:t>
      </w:r>
      <w:r>
        <w:rPr>
          <w:i/>
        </w:rPr>
        <w:t>See</w:t>
      </w:r>
      <w:r>
        <w:rPr/>
        <w:t xml:space="preserve"> Protocols §2 at 2-24.</w:t>
      </w:r>
    </w:p>
  </w:footnote>
  <w:footnote w:id="22">
    <w:p>
      <w:pPr>
        <w:pStyle w:val="FootnoteText"/>
        <w:spacing w:before="0" w:after="200"/>
        <w:ind w:firstLine="720" w:start="0" w:end="0"/>
        <w:jc w:val="both"/>
        <w:rPr/>
      </w:pPr>
      <w:r>
        <w:rPr>
          <w:rStyle w:val="FootnoteCharacters"/>
        </w:rPr>
        <w:footnoteRef/>
      </w:r>
      <w:r>
        <w:rPr/>
        <w:t xml:space="preserve"> </w:t>
      </w:r>
      <w:r>
        <w:rPr/>
        <w:t>Protocols §2 at 2-3; §4.3.1.</w:t>
      </w:r>
    </w:p>
  </w:footnote>
  <w:footnote w:id="23">
    <w:p>
      <w:pPr>
        <w:pStyle w:val="FootnoteText"/>
        <w:spacing w:before="0" w:after="200"/>
        <w:ind w:firstLine="720" w:start="0" w:end="0"/>
        <w:jc w:val="both"/>
        <w:rPr/>
      </w:pPr>
      <w:r>
        <w:rPr>
          <w:rStyle w:val="FootnoteCharacters"/>
        </w:rPr>
        <w:footnoteRef/>
      </w:r>
      <w:r>
        <w:rPr/>
        <w:t xml:space="preserve"> </w:t>
      </w:r>
      <w:r>
        <w:rPr/>
        <w:t>Protocols §2 at 2-2.</w:t>
      </w:r>
    </w:p>
  </w:footnote>
  <w:footnote w:id="24">
    <w:p>
      <w:pPr>
        <w:pStyle w:val="FootnoteText"/>
        <w:spacing w:before="0" w:after="200"/>
        <w:ind w:firstLine="720" w:start="0" w:end="0"/>
        <w:jc w:val="both"/>
        <w:rPr/>
      </w:pPr>
      <w:r>
        <w:rPr>
          <w:rStyle w:val="FootnoteCharacters"/>
        </w:rPr>
        <w:footnoteRef/>
      </w:r>
      <w:r>
        <w:rPr/>
        <w:t xml:space="preserve"> </w:t>
      </w:r>
      <w:r>
        <w:rPr/>
        <w:t>Protocols §6.2.2.</w:t>
      </w:r>
    </w:p>
  </w:footnote>
  <w:footnote w:id="25">
    <w:p>
      <w:pPr>
        <w:pStyle w:val="FootnoteText"/>
        <w:spacing w:before="0" w:after="200"/>
        <w:ind w:firstLine="720" w:start="0" w:end="0"/>
        <w:jc w:val="both"/>
        <w:rPr/>
      </w:pPr>
      <w:r>
        <w:rPr>
          <w:rStyle w:val="FootnoteCharacters"/>
        </w:rPr>
        <w:footnoteRef/>
      </w:r>
      <w:r>
        <w:rPr/>
        <w:t xml:space="preserve"> </w:t>
      </w:r>
      <w:r>
        <w:rPr/>
        <w:t>Protocols §6.2.1.</w:t>
      </w:r>
    </w:p>
  </w:footnote>
  <w:footnote w:id="26">
    <w:p>
      <w:pPr>
        <w:pStyle w:val="FootnoteText"/>
        <w:spacing w:before="0" w:after="200"/>
        <w:ind w:firstLine="720" w:start="0" w:end="0"/>
        <w:jc w:val="both"/>
        <w:rPr/>
      </w:pPr>
      <w:r>
        <w:rPr>
          <w:rStyle w:val="FootnoteCharacters"/>
        </w:rPr>
        <w:footnoteRef/>
      </w:r>
      <w:r>
        <w:rPr/>
        <w:t xml:space="preserve"> </w:t>
      </w:r>
      <w:r>
        <w:rPr/>
        <w:t>Protocols §6.1.1; §2 at 2-3.</w:t>
      </w:r>
    </w:p>
  </w:footnote>
  <w:footnote w:id="27">
    <w:p>
      <w:pPr>
        <w:pStyle w:val="FootnoteText"/>
        <w:spacing w:before="0" w:after="200"/>
        <w:ind w:firstLine="720" w:start="0" w:end="0"/>
        <w:jc w:val="both"/>
        <w:rPr/>
      </w:pPr>
      <w:r>
        <w:rPr>
          <w:rStyle w:val="FootnoteCharacters"/>
        </w:rPr>
        <w:footnoteRef/>
      </w:r>
      <w:r>
        <w:rPr/>
        <w:t xml:space="preserve"> </w:t>
      </w:r>
      <w:r>
        <w:rPr>
          <w:i/>
        </w:rPr>
        <w:t xml:space="preserve">See </w:t>
      </w:r>
      <w:r>
        <w:rPr/>
        <w:t>Protocols §6.8.1.12.</w:t>
      </w:r>
    </w:p>
  </w:footnote>
  <w:footnote w:id="28">
    <w:p>
      <w:pPr>
        <w:pStyle w:val="FootnoteText"/>
        <w:spacing w:before="0" w:after="200"/>
        <w:ind w:firstLine="720" w:start="0" w:end="0"/>
        <w:jc w:val="both"/>
        <w:rPr/>
      </w:pPr>
      <w:r>
        <w:rPr>
          <w:rStyle w:val="FootnoteCharacters"/>
        </w:rPr>
        <w:footnoteRef/>
      </w:r>
      <w:r>
        <w:rPr/>
        <w:t xml:space="preserve"> </w:t>
      </w:r>
      <w:r>
        <w:rPr/>
        <w:t>Protocols §6.6.3.1(2).</w:t>
      </w:r>
    </w:p>
  </w:footnote>
  <w:footnote w:id="29">
    <w:p>
      <w:pPr>
        <w:pStyle w:val="FootnoteText"/>
        <w:spacing w:before="0" w:after="200"/>
        <w:ind w:firstLine="720" w:start="0" w:end="0"/>
        <w:jc w:val="both"/>
        <w:rPr/>
      </w:pPr>
      <w:r>
        <w:rPr>
          <w:rStyle w:val="FootnoteCharacters"/>
        </w:rPr>
        <w:footnoteRef/>
      </w:r>
      <w:r>
        <w:rPr/>
        <w:t xml:space="preserve"> </w:t>
      </w:r>
      <w:r>
        <w:rPr>
          <w:i/>
        </w:rPr>
        <w:t xml:space="preserve">See </w:t>
      </w:r>
      <w:r>
        <w:rPr/>
        <w:t xml:space="preserve">Oren Report at 13-16.  It is not feasible to implement simultaneous optimization on June 1, 2001, because of the impacts on ERCOT’s information technology (IT) systems.  Protocols §6.6.3.1(10) allows for the back propagation of A/S prices, upon ERCOT Board approval, so that a resource would be paid the highest market clearing price of all the A/S services for which it is eligible.  Prior to the implementation of simultaneous optimization, the Commission’s Market Oversight Division intends to monitor A/S price reversals, and intends to recommend that the Commission order activation of Protocols §6.6.3.1(10) if the price reversals are excessive.  </w:t>
      </w:r>
      <w:r>
        <w:rPr>
          <w:i/>
        </w:rPr>
        <w:t>See</w:t>
      </w:r>
      <w:r>
        <w:rPr/>
        <w:t xml:space="preserve"> Oren Report at 13-16.</w:t>
      </w:r>
    </w:p>
  </w:footnote>
  <w:footnote w:id="30">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15-16.</w:t>
      </w:r>
    </w:p>
  </w:footnote>
  <w:footnote w:id="31">
    <w:p>
      <w:pPr>
        <w:pStyle w:val="FootnoteText"/>
        <w:spacing w:before="0" w:after="200"/>
        <w:ind w:firstLine="720" w:start="0" w:end="0"/>
        <w:jc w:val="both"/>
        <w:rPr/>
      </w:pPr>
      <w:r>
        <w:rPr>
          <w:rStyle w:val="FootnoteCharacters"/>
        </w:rPr>
        <w:footnoteRef/>
      </w:r>
      <w:r>
        <w:rPr/>
        <w:t xml:space="preserve"> </w:t>
      </w:r>
      <w:r>
        <w:rPr>
          <w:i/>
        </w:rPr>
        <w:t xml:space="preserve">See </w:t>
      </w:r>
      <w:r>
        <w:rPr/>
        <w:t>Oren Report at 26.</w:t>
      </w:r>
    </w:p>
  </w:footnote>
  <w:footnote w:id="32">
    <w:p>
      <w:pPr>
        <w:pStyle w:val="FootnoteText"/>
        <w:spacing w:before="0" w:after="200"/>
        <w:ind w:firstLine="720" w:start="0" w:end="0"/>
        <w:jc w:val="both"/>
        <w:rPr/>
      </w:pPr>
      <w:r>
        <w:rPr>
          <w:rStyle w:val="FootnoteCharacters"/>
        </w:rPr>
        <w:footnoteRef/>
      </w:r>
      <w:r>
        <w:rPr/>
        <w:t xml:space="preserve"> </w:t>
      </w:r>
      <w:r>
        <w:rPr>
          <w:i/>
        </w:rPr>
        <w:t xml:space="preserve">See </w:t>
      </w:r>
      <w:r>
        <w:rPr/>
        <w:t>Protocols §2 at 2-2.</w:t>
      </w:r>
    </w:p>
  </w:footnote>
  <w:footnote w:id="33">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27.</w:t>
      </w:r>
    </w:p>
  </w:footnote>
  <w:footnote w:id="34">
    <w:p>
      <w:pPr>
        <w:pStyle w:val="FootnoteText"/>
        <w:spacing w:before="0" w:after="200"/>
        <w:ind w:firstLine="720" w:start="0" w:end="0"/>
        <w:jc w:val="both"/>
        <w:rPr/>
      </w:pPr>
      <w:r>
        <w:rPr>
          <w:rStyle w:val="FootnoteCharacters"/>
        </w:rPr>
        <w:footnoteRef/>
      </w:r>
      <w:r>
        <w:rPr/>
        <w:t xml:space="preserve"> </w:t>
      </w:r>
      <w:r>
        <w:rPr>
          <w:i/>
        </w:rPr>
        <w:t xml:space="preserve">See </w:t>
      </w:r>
      <w:r>
        <w:rPr/>
        <w:t>Lower Colorado River Authority’s Motion for Leave to File Late Intervention and Identification of Issues (Dec. 1, 2000) at 4-5.</w:t>
      </w:r>
    </w:p>
  </w:footnote>
  <w:footnote w:id="35">
    <w:p>
      <w:pPr>
        <w:pStyle w:val="FootnoteText"/>
        <w:spacing w:before="0" w:after="200"/>
        <w:ind w:firstLine="720" w:start="0" w:end="0"/>
        <w:jc w:val="both"/>
        <w:rPr/>
      </w:pPr>
      <w:r>
        <w:rPr>
          <w:rStyle w:val="FootnoteCharacters"/>
        </w:rPr>
        <w:footnoteRef/>
      </w:r>
      <w:r>
        <w:rPr/>
        <w:t xml:space="preserve"> </w:t>
      </w:r>
      <w:r>
        <w:rPr>
          <w:i/>
        </w:rPr>
        <w:t xml:space="preserve">See </w:t>
      </w:r>
      <w:r>
        <w:rPr/>
        <w:t>Protocols §§6.6.2(1) and 6.6.3.1(7).</w:t>
      </w:r>
    </w:p>
  </w:footnote>
  <w:footnote w:id="36">
    <w:p>
      <w:pPr>
        <w:pStyle w:val="FootnoteText"/>
        <w:spacing w:before="0" w:after="200"/>
        <w:ind w:firstLine="720" w:start="0" w:end="0"/>
        <w:jc w:val="both"/>
        <w:rPr/>
      </w:pPr>
      <w:r>
        <w:rPr>
          <w:rStyle w:val="FootnoteCharacters"/>
        </w:rPr>
        <w:footnoteRef/>
      </w:r>
      <w:r>
        <w:rPr/>
        <w:t xml:space="preserve"> </w:t>
      </w:r>
      <w:r>
        <w:rPr>
          <w:i/>
        </w:rPr>
        <w:t xml:space="preserve">See </w:t>
      </w:r>
      <w:r>
        <w:rPr/>
        <w:t>Protocols §4.3.1</w:t>
      </w:r>
    </w:p>
  </w:footnote>
  <w:footnote w:id="37">
    <w:p>
      <w:pPr>
        <w:pStyle w:val="FootnoteText"/>
        <w:spacing w:before="0" w:after="200"/>
        <w:ind w:firstLine="720" w:start="0" w:end="0"/>
        <w:jc w:val="both"/>
        <w:rPr/>
      </w:pPr>
      <w:r>
        <w:rPr>
          <w:rStyle w:val="FootnoteCharacters"/>
        </w:rPr>
        <w:footnoteRef/>
      </w:r>
      <w:r>
        <w:rPr/>
        <w:t xml:space="preserve"> </w:t>
      </w:r>
      <w:r>
        <w:rPr/>
        <w:t>Protocols §2 at 2-15.</w:t>
      </w:r>
    </w:p>
  </w:footnote>
  <w:footnote w:id="38">
    <w:p>
      <w:pPr>
        <w:pStyle w:val="FootnoteText"/>
        <w:spacing w:before="0" w:after="200"/>
        <w:ind w:firstLine="720" w:start="0" w:end="0"/>
        <w:jc w:val="both"/>
        <w:rPr/>
      </w:pPr>
      <w:r>
        <w:rPr>
          <w:rStyle w:val="FootnoteCharacters"/>
        </w:rPr>
        <w:footnoteRef/>
      </w:r>
      <w:r>
        <w:rPr/>
        <w:t xml:space="preserve"> </w:t>
      </w:r>
      <w:r>
        <w:rPr/>
        <w:t xml:space="preserve">San Antonio appropriately raised this concern, but its proposal to apply the bid requirement only to load resources is an inadequate solution.  </w:t>
      </w:r>
      <w:r>
        <w:rPr>
          <w:i/>
        </w:rPr>
        <w:t xml:space="preserve">See </w:t>
      </w:r>
      <w:r>
        <w:rPr/>
        <w:t>San Antonio City Public Service’s Initial Brief (Jan. 26, 2001) at 14-15.</w:t>
      </w:r>
    </w:p>
  </w:footnote>
  <w:footnote w:id="39">
    <w:p>
      <w:pPr>
        <w:pStyle w:val="FootnoteText"/>
        <w:spacing w:before="0" w:after="200"/>
        <w:ind w:firstLine="720" w:start="0" w:end="0"/>
        <w:jc w:val="both"/>
        <w:rPr/>
      </w:pPr>
      <w:r>
        <w:rPr>
          <w:rStyle w:val="FootnoteCharacters"/>
        </w:rPr>
        <w:footnoteRef/>
      </w:r>
      <w:r>
        <w:rPr/>
        <w:t xml:space="preserve"> </w:t>
      </w:r>
      <w:r>
        <w:rPr/>
        <w:t xml:space="preserve">The Protocols appear to presuppose that there will be adequate competition to provide services that are procured ERCOT-wide or by congestion zone.  The Commission is concerned, however, that if this assumption proves incorrect, there are insufficient market pressures to discipline price.  On the other hand, the Protocols use the non-market out of merit order (OOM) pricing in some situations where it appears that competitive pricing could be used.  </w:t>
      </w:r>
      <w:r>
        <w:rPr>
          <w:i/>
        </w:rPr>
        <w:t>See</w:t>
      </w:r>
      <w:r>
        <w:rPr/>
        <w:t xml:space="preserve"> San Antonio City Public Service’s Initial Brief (Jan. 26, 2001) at 14.</w:t>
      </w:r>
    </w:p>
  </w:footnote>
  <w:footnote w:id="40">
    <w:p>
      <w:pPr>
        <w:pStyle w:val="FootnoteText"/>
        <w:spacing w:before="0" w:after="200"/>
        <w:ind w:firstLine="720" w:start="0" w:end="0"/>
        <w:jc w:val="both"/>
        <w:rPr/>
      </w:pPr>
      <w:r>
        <w:rPr>
          <w:rStyle w:val="FootnoteCharacters"/>
        </w:rPr>
        <w:footnoteRef/>
      </w:r>
      <w:r>
        <w:rPr/>
        <w:t xml:space="preserve"> </w:t>
      </w:r>
      <w:r>
        <w:rPr/>
        <w:t>PURA §39.001(d).</w:t>
      </w:r>
    </w:p>
  </w:footnote>
  <w:footnote w:id="41">
    <w:p>
      <w:pPr>
        <w:pStyle w:val="FootnoteText"/>
        <w:spacing w:before="0" w:after="200"/>
        <w:ind w:firstLine="720" w:start="0" w:end="0"/>
        <w:jc w:val="both"/>
        <w:rPr/>
      </w:pPr>
      <w:r>
        <w:rPr>
          <w:rStyle w:val="FootnoteCharacters"/>
        </w:rPr>
        <w:footnoteRef/>
      </w:r>
      <w:r>
        <w:rPr/>
        <w:t xml:space="preserve"> </w:t>
      </w:r>
      <w:r>
        <w:rPr>
          <w:i/>
        </w:rPr>
        <w:t xml:space="preserve">See </w:t>
      </w:r>
      <w:r>
        <w:rPr/>
        <w:t>Oren Report at 18-19.</w:t>
      </w:r>
    </w:p>
  </w:footnote>
  <w:footnote w:id="42">
    <w:p>
      <w:pPr>
        <w:pStyle w:val="FootnoteText"/>
        <w:spacing w:before="0" w:after="200"/>
        <w:ind w:firstLine="720" w:start="0" w:end="0"/>
        <w:jc w:val="both"/>
        <w:rPr/>
      </w:pPr>
      <w:r>
        <w:rPr>
          <w:rStyle w:val="FootnoteCharacters"/>
        </w:rPr>
        <w:footnoteRef/>
      </w:r>
      <w:r>
        <w:rPr/>
        <w:t xml:space="preserve"> </w:t>
      </w:r>
      <w:r>
        <w:rPr>
          <w:i/>
        </w:rPr>
        <w:t>See generally</w:t>
      </w:r>
      <w:r>
        <w:rPr/>
        <w:t xml:space="preserve"> City of Denton’s Brief (Jan. 26, 2001).</w:t>
      </w:r>
    </w:p>
  </w:footnote>
  <w:footnote w:id="43">
    <w:p>
      <w:pPr>
        <w:pStyle w:val="FootnoteText"/>
        <w:spacing w:before="0" w:after="200"/>
        <w:ind w:firstLine="720" w:start="0" w:end="0"/>
        <w:jc w:val="both"/>
        <w:rPr/>
      </w:pPr>
      <w:r>
        <w:rPr>
          <w:rStyle w:val="FootnoteCharacters"/>
        </w:rPr>
        <w:footnoteRef/>
      </w:r>
      <w:r>
        <w:rPr/>
        <w:t xml:space="preserve"> </w:t>
      </w:r>
      <w:r>
        <w:rPr>
          <w:i/>
        </w:rPr>
        <w:t xml:space="preserve">See </w:t>
      </w:r>
      <w:r>
        <w:rPr/>
        <w:t xml:space="preserve">P.U.C. </w:t>
      </w:r>
      <w:r>
        <w:rPr>
          <w:smallCaps/>
        </w:rPr>
        <w:t>Subst.</w:t>
      </w:r>
      <w:r>
        <w:rPr/>
        <w:t xml:space="preserve"> R. 25.236(a)(8).</w:t>
      </w:r>
    </w:p>
  </w:footnote>
  <w:footnote w:id="44">
    <w:p>
      <w:pPr>
        <w:pStyle w:val="FootnoteText"/>
        <w:spacing w:before="0" w:after="200"/>
        <w:ind w:firstLine="720" w:start="0" w:end="0"/>
        <w:jc w:val="both"/>
        <w:rPr/>
      </w:pPr>
      <w:r>
        <w:rPr>
          <w:rStyle w:val="FootnoteCharacters"/>
        </w:rPr>
        <w:footnoteRef/>
      </w:r>
      <w:r>
        <w:rPr/>
        <w:t xml:space="preserve"> </w:t>
      </w:r>
      <w:r>
        <w:rPr/>
        <w:t xml:space="preserve">Protocols §6.8.1.15 uses </w:t>
      </w:r>
      <w:r>
        <w:rPr>
          <w:lang w:eastAsia="en-US"/>
        </w:rPr>
        <w:t>a penalty system to discourage uninstructed deviations.  Uninstructed deviations within certain tolerance levels, set based on the amount of regulation service used by ERCOT in a particular settlement interval, are paid the same MCPE as instructed deviations.  These tolerance levels can be reduced upon one day’s notice if ERCOT determines that significant price chasing exists.  For resources outside of the tolerance levels, a penalty factor is applied to ratchet payment down, if a QSE over-generates and the MCPE is greater than a benchmarked heat rate multiplied by a specific natural gas index, or if a QSE under-generates and the MCPE is negative.  Protocols §6.8.1.15.1.  The penalty factor increases as the amount of the uninstructed deviations increase, and is equal to 100% (no payment is made) if the uninstructed deviations are greater than 200 MWh.  Protocols §6.8.1.15.2.  The Commission believes that the pricing method that it is ordering will be more effective in encouraging good price chasing and discouraging bad price chasing than the tolerance level, penalty method in Protocols §6.8.1.15.2.</w:t>
      </w:r>
    </w:p>
  </w:footnote>
  <w:footnote w:id="45">
    <w:p>
      <w:pPr>
        <w:pStyle w:val="FootnoteText"/>
        <w:spacing w:before="0" w:after="200"/>
        <w:ind w:firstLine="720" w:start="0" w:end="0"/>
        <w:jc w:val="both"/>
        <w:rPr/>
      </w:pPr>
      <w:r>
        <w:rPr>
          <w:rStyle w:val="FootnoteCharacters"/>
        </w:rPr>
        <w:footnoteRef/>
      </w:r>
      <w:r>
        <w:rPr/>
        <w:t xml:space="preserve"> </w:t>
      </w:r>
      <w:r>
        <w:rPr/>
        <w:t>Attachment 5 of this Order provides additional explanation of this required change.</w:t>
      </w:r>
    </w:p>
  </w:footnote>
  <w:footnote w:id="46">
    <w:p>
      <w:pPr>
        <w:pStyle w:val="FootnoteText"/>
        <w:spacing w:before="0" w:after="200"/>
        <w:ind w:firstLine="720" w:start="0" w:end="0"/>
        <w:jc w:val="both"/>
        <w:rPr/>
      </w:pPr>
      <w:r>
        <w:rPr>
          <w:rStyle w:val="FootnoteCharacters"/>
        </w:rPr>
        <w:footnoteRef/>
      </w:r>
      <w:r>
        <w:rPr/>
        <w:t xml:space="preserve"> </w:t>
      </w:r>
      <w:r>
        <w:rPr>
          <w:i/>
        </w:rPr>
        <w:t xml:space="preserve">See </w:t>
      </w:r>
      <w:r>
        <w:rPr/>
        <w:t>Oren Report at 19-21; Lower Colorado River Authority’s Comments pursuant to Order No. 9 (Feb. 20, 2001) at 2.</w:t>
      </w:r>
    </w:p>
  </w:footnote>
  <w:footnote w:id="47">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4, 8-12.</w:t>
      </w:r>
    </w:p>
  </w:footnote>
  <w:footnote w:id="48">
    <w:p>
      <w:pPr>
        <w:pStyle w:val="FootnoteText"/>
        <w:spacing w:before="0" w:after="200"/>
        <w:ind w:firstLine="720" w:start="0" w:end="0"/>
        <w:jc w:val="both"/>
        <w:rPr/>
      </w:pPr>
      <w:r>
        <w:rPr>
          <w:rStyle w:val="FootnoteCharacters"/>
        </w:rPr>
        <w:footnoteRef/>
      </w:r>
      <w:r>
        <w:rPr/>
        <w:t xml:space="preserve"> </w:t>
      </w:r>
      <w:r>
        <w:rPr/>
        <w:t xml:space="preserve">Technically, sellers make offers, while buyers make bids.  Therefore, the correct term for what the Commission is ordering is an offer cap.  However, the Protocols use the common usage of bids as being made by sellers.  Therefore, this Order will refer to a bid cap, rather than the technically correct term, offer cap. </w:t>
      </w:r>
      <w:r>
        <w:rPr>
          <w:i/>
        </w:rPr>
        <w:t xml:space="preserve"> See</w:t>
      </w:r>
      <w:r>
        <w:rPr/>
        <w:t xml:space="preserve"> Oren Report at 11, fn. 2.</w:t>
      </w:r>
    </w:p>
  </w:footnote>
  <w:footnote w:id="49">
    <w:p>
      <w:pPr>
        <w:pStyle w:val="FootnoteText"/>
        <w:spacing w:before="0" w:after="200"/>
        <w:ind w:firstLine="720" w:start="0" w:end="0"/>
        <w:jc w:val="both"/>
        <w:rPr/>
      </w:pPr>
      <w:r>
        <w:rPr>
          <w:rStyle w:val="FootnoteCharacters"/>
        </w:rPr>
        <w:footnoteRef/>
      </w:r>
      <w:r>
        <w:rPr/>
        <w:t xml:space="preserve"> </w:t>
      </w:r>
      <w:r>
        <w:rPr>
          <w:i/>
        </w:rPr>
        <w:t xml:space="preserve">See generally </w:t>
      </w:r>
      <w:r>
        <w:rPr/>
        <w:t>Texas Electric Cooperatives, Inc. Comments pursuant to Order No. 9 (Feb. 20, 2001).</w:t>
      </w:r>
    </w:p>
  </w:footnote>
  <w:footnote w:id="50">
    <w:p>
      <w:pPr>
        <w:pStyle w:val="FootnoteText"/>
        <w:spacing w:before="0" w:after="200"/>
        <w:ind w:firstLine="720" w:start="0" w:end="0"/>
        <w:jc w:val="both"/>
        <w:rPr/>
      </w:pPr>
      <w:r>
        <w:rPr>
          <w:rStyle w:val="FootnoteCharacters"/>
        </w:rPr>
        <w:footnoteRef/>
      </w:r>
      <w:r>
        <w:rPr/>
        <w:t xml:space="preserve"> </w:t>
      </w:r>
      <w:r>
        <w:rPr>
          <w:i/>
        </w:rPr>
        <w:t xml:space="preserve">See </w:t>
      </w:r>
      <w:r>
        <w:rPr/>
        <w:t>Reliant Energy HL&amp;P’s Comments to the February 15, 2001 Workshop (Feb. 20, 2001) at 2-3.</w:t>
      </w:r>
    </w:p>
  </w:footnote>
  <w:footnote w:id="51">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10-12.</w:t>
      </w:r>
    </w:p>
  </w:footnote>
  <w:footnote w:id="52">
    <w:p>
      <w:pPr>
        <w:pStyle w:val="FootnoteText"/>
        <w:spacing w:before="0" w:after="200"/>
        <w:ind w:firstLine="720" w:start="0" w:end="0"/>
        <w:jc w:val="both"/>
        <w:rPr/>
      </w:pPr>
      <w:r>
        <w:rPr>
          <w:rStyle w:val="FootnoteCharacters"/>
        </w:rPr>
        <w:footnoteRef/>
      </w:r>
      <w:r>
        <w:rPr/>
        <w:t xml:space="preserve"> </w:t>
      </w:r>
      <w:r>
        <w:rPr/>
        <w:t>Protocols §4.3.1.</w:t>
      </w:r>
    </w:p>
  </w:footnote>
  <w:footnote w:id="53">
    <w:p>
      <w:pPr>
        <w:pStyle w:val="FootnoteText"/>
        <w:spacing w:before="0" w:after="200"/>
        <w:ind w:firstLine="720" w:start="0" w:end="0"/>
        <w:jc w:val="both"/>
        <w:rPr/>
      </w:pPr>
      <w:r>
        <w:rPr>
          <w:rStyle w:val="FootnoteCharacters"/>
        </w:rPr>
        <w:footnoteRef/>
      </w:r>
      <w:r>
        <w:rPr/>
        <w:t xml:space="preserve"> </w:t>
      </w:r>
      <w:r>
        <w:rPr>
          <w:i/>
        </w:rPr>
        <w:t xml:space="preserve">See </w:t>
      </w:r>
      <w:r>
        <w:rPr/>
        <w:t>Protocols §7.5.4.</w:t>
      </w:r>
    </w:p>
  </w:footnote>
  <w:footnote w:id="54">
    <w:p>
      <w:pPr>
        <w:pStyle w:val="FootnoteText"/>
        <w:spacing w:before="0" w:after="200"/>
        <w:ind w:firstLine="720" w:start="0" w:end="0"/>
        <w:jc w:val="both"/>
        <w:rPr/>
      </w:pPr>
      <w:r>
        <w:rPr>
          <w:rStyle w:val="FootnoteCharacters"/>
        </w:rPr>
        <w:footnoteRef/>
      </w:r>
      <w:r>
        <w:rPr/>
        <w:t xml:space="preserve"> </w:t>
      </w:r>
      <w:r>
        <w:rPr>
          <w:i/>
        </w:rPr>
        <w:t xml:space="preserve">See </w:t>
      </w:r>
      <w:r>
        <w:rPr/>
        <w:t>Protocols at 2-27.</w:t>
      </w:r>
    </w:p>
  </w:footnote>
  <w:footnote w:id="55">
    <w:p>
      <w:pPr>
        <w:pStyle w:val="FootnoteText"/>
        <w:spacing w:before="0" w:after="200"/>
        <w:ind w:firstLine="720" w:start="0" w:end="0"/>
        <w:jc w:val="both"/>
        <w:rPr/>
      </w:pPr>
      <w:r>
        <w:rPr>
          <w:rStyle w:val="FootnoteCharacters"/>
        </w:rPr>
        <w:footnoteRef/>
      </w:r>
      <w:r>
        <w:rPr/>
        <w:t xml:space="preserve"> </w:t>
      </w:r>
      <w:r>
        <w:rPr/>
        <w:t xml:space="preserve">Shift factors measure how much electricity from a particular source will flow over particular transmission facilities.  </w:t>
      </w:r>
      <w:r>
        <w:rPr>
          <w:i/>
        </w:rPr>
        <w:t xml:space="preserve">See </w:t>
      </w:r>
      <w:r>
        <w:rPr/>
        <w:t>Protocols §2 at 2-25.</w:t>
      </w:r>
    </w:p>
  </w:footnote>
  <w:footnote w:id="56">
    <w:p>
      <w:pPr>
        <w:pStyle w:val="FootnoteText"/>
        <w:spacing w:before="0" w:after="200"/>
        <w:ind w:firstLine="720" w:start="0" w:end="0"/>
        <w:jc w:val="both"/>
        <w:rPr/>
      </w:pPr>
      <w:r>
        <w:rPr>
          <w:rStyle w:val="FootnoteCharacters"/>
        </w:rPr>
        <w:footnoteRef/>
      </w:r>
      <w:r>
        <w:rPr/>
        <w:t xml:space="preserve"> </w:t>
      </w:r>
      <w:r>
        <w:rPr/>
        <w:t>There are a number of possible gaming scenarios, including an effort by a generation entity to conceal its gaming through allocation of its multiple generation resources to different QSEs.</w:t>
      </w:r>
    </w:p>
  </w:footnote>
  <w:footnote w:id="57">
    <w:p>
      <w:pPr>
        <w:pStyle w:val="FootnoteText"/>
        <w:spacing w:before="0" w:after="200"/>
        <w:ind w:firstLine="720" w:start="0" w:end="0"/>
        <w:jc w:val="both"/>
        <w:rPr/>
      </w:pPr>
      <w:r>
        <w:rPr>
          <w:rStyle w:val="FootnoteCharacters"/>
        </w:rPr>
        <w:footnoteRef/>
      </w:r>
      <w:r>
        <w:rPr/>
        <w:t xml:space="preserve"> </w:t>
      </w:r>
      <w:r>
        <w:rPr>
          <w:i/>
        </w:rPr>
        <w:t xml:space="preserve">See </w:t>
      </w:r>
      <w:r>
        <w:rPr/>
        <w:t>Oren Report at 5-6.</w:t>
      </w:r>
    </w:p>
  </w:footnote>
  <w:footnote w:id="58">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7, 24-26.  Attachment 6 of this Order provides examples of the use of TCRs based on operational shift factors.</w:t>
      </w:r>
    </w:p>
  </w:footnote>
  <w:footnote w:id="59">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23-24, 26.</w:t>
      </w:r>
    </w:p>
  </w:footnote>
  <w:footnote w:id="60">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25-26.</w:t>
      </w:r>
    </w:p>
  </w:footnote>
  <w:footnote w:id="61">
    <w:p>
      <w:pPr>
        <w:pStyle w:val="FootnoteText"/>
        <w:spacing w:before="0" w:after="200"/>
        <w:ind w:firstLine="720" w:start="0" w:end="0"/>
        <w:jc w:val="both"/>
        <w:rPr/>
      </w:pPr>
      <w:r>
        <w:rPr>
          <w:rStyle w:val="FootnoteCharacters"/>
        </w:rPr>
        <w:footnoteRef/>
      </w:r>
      <w:r>
        <w:rPr/>
        <w:t xml:space="preserve"> </w:t>
      </w:r>
      <w:r>
        <w:rPr>
          <w:i/>
        </w:rPr>
        <w:t xml:space="preserve">See </w:t>
      </w:r>
      <w:r>
        <w:rPr/>
        <w:t>Brief of AES New Energy, Inc., Exelon Energy, Green Mountain Energy Company, The New Power Company, and Strategic Energy on ERCOT Protocols (Jan. 26, 2001) at 17-18.</w:t>
      </w:r>
    </w:p>
  </w:footnote>
  <w:footnote w:id="62">
    <w:p>
      <w:pPr>
        <w:pStyle w:val="FootnoteText"/>
        <w:spacing w:before="0" w:after="200"/>
        <w:ind w:firstLine="720" w:start="0" w:end="0"/>
        <w:jc w:val="both"/>
        <w:rPr/>
      </w:pPr>
      <w:r>
        <w:rPr>
          <w:rStyle w:val="FootnoteCharacters"/>
        </w:rPr>
        <w:footnoteRef/>
      </w:r>
      <w:r>
        <w:rPr/>
        <w:t xml:space="preserve"> </w:t>
      </w:r>
      <w:r>
        <w:rPr/>
        <w:t xml:space="preserve">Protocols §7.5.4.4 states that the </w:t>
      </w:r>
      <w:r>
        <w:rPr>
          <w:lang w:eastAsia="en-US"/>
        </w:rPr>
        <w:t>cost of the preassigned TCRs is a flat rate that is equal to the annual average of the entity’s load ratio share of the total ERCOT redispatch costs for planned transactions for the years 1997-99.  The redispatch costs for planned transactions for the years 1997-99 are only a fraction of the total congestion costs for these years; these redispatch costs do not include any of the internalized redispatch (“realignment”) costs that will be externalized in the market-based congestion management method provided for in the Protocols, nor do these redispatch costs include the redispatch costs for unplanned transactions.  Furthermore, the cost of the preassigned TCRs will not be escalated over time to reflect inflation or other factors.</w:t>
      </w:r>
    </w:p>
  </w:footnote>
  <w:footnote w:id="63">
    <w:p>
      <w:pPr>
        <w:pStyle w:val="FootnoteText"/>
        <w:spacing w:before="0" w:after="200"/>
        <w:ind w:firstLine="720" w:start="0" w:end="0"/>
        <w:jc w:val="both"/>
        <w:rPr/>
      </w:pPr>
      <w:r>
        <w:rPr>
          <w:rStyle w:val="FootnoteCharacters"/>
        </w:rPr>
        <w:footnoteRef/>
      </w:r>
      <w:r>
        <w:rPr/>
        <w:t xml:space="preserve"> </w:t>
      </w:r>
      <w:r>
        <w:rPr>
          <w:i/>
        </w:rPr>
        <w:t>See</w:t>
      </w:r>
      <w:r>
        <w:rPr/>
        <w:t xml:space="preserve"> Oren Report at 8, 28-35.</w:t>
      </w:r>
    </w:p>
  </w:footnote>
  <w:footnote w:id="64">
    <w:p>
      <w:pPr>
        <w:pStyle w:val="FootnoteText"/>
        <w:spacing w:before="0" w:after="200"/>
        <w:ind w:firstLine="720" w:start="0" w:end="0"/>
        <w:jc w:val="both"/>
        <w:rPr/>
      </w:pPr>
      <w:r>
        <w:rPr>
          <w:rStyle w:val="FootnoteCharacters"/>
        </w:rPr>
        <w:footnoteRef/>
      </w:r>
      <w:r>
        <w:rPr/>
        <w:t xml:space="preserve"> </w:t>
      </w:r>
      <w:r>
        <w:rPr>
          <w:i/>
        </w:rPr>
        <w:t xml:space="preserve">See </w:t>
      </w:r>
      <w:r>
        <w:rPr/>
        <w:t>Protocols §2 at 2-14 (definition of “local congestion”); §7.3.2(2).</w:t>
      </w:r>
    </w:p>
  </w:footnote>
  <w:footnote w:id="65">
    <w:p>
      <w:pPr>
        <w:pStyle w:val="FootnoteText"/>
        <w:spacing w:before="0" w:after="200"/>
        <w:ind w:firstLine="720" w:start="0" w:end="0"/>
        <w:jc w:val="both"/>
        <w:rPr/>
      </w:pPr>
      <w:r>
        <w:rPr>
          <w:rStyle w:val="FootnoteCharacters"/>
        </w:rPr>
        <w:footnoteRef/>
      </w:r>
      <w:r>
        <w:rPr/>
        <w:t xml:space="preserve"> </w:t>
      </w:r>
      <w:r>
        <w:rPr>
          <w:i/>
        </w:rPr>
        <w:t xml:space="preserve">See </w:t>
      </w:r>
      <w:r>
        <w:rPr/>
        <w:t>Protocols §§7.4.2, 6.7.1.2(4)-(11), and 6.10.7.</w:t>
      </w:r>
    </w:p>
  </w:footnote>
  <w:footnote w:id="66">
    <w:p>
      <w:pPr>
        <w:pStyle w:val="FootnoteText"/>
        <w:spacing w:before="0" w:after="200"/>
        <w:ind w:firstLine="720" w:start="0" w:end="0"/>
        <w:jc w:val="both"/>
        <w:rPr/>
      </w:pPr>
      <w:r>
        <w:rPr>
          <w:rStyle w:val="FootnoteCharacters"/>
        </w:rPr>
        <w:footnoteRef/>
      </w:r>
      <w:r>
        <w:rPr/>
        <w:t xml:space="preserve"> </w:t>
      </w:r>
      <w:r>
        <w:rPr>
          <w:i/>
        </w:rPr>
        <w:t>See</w:t>
      </w:r>
      <w:r>
        <w:rPr/>
        <w:t xml:space="preserve"> Joint Motion for Reconsideration of Interim Decision regarding Intrazonal Congestion Management (March 6, 2001) at 2-5; Coordination for Competition:  Electricity Market Design Principles (Feb. 20, 2001).  Unless there is a need to do so sooner, the Commission intends to consider the merits of locational marginal pricing, as well as relaxing the balanced schedule requirement, in September of this year.</w:t>
      </w:r>
    </w:p>
  </w:footnote>
  <w:footnote w:id="67">
    <w:p>
      <w:pPr>
        <w:pStyle w:val="FootnoteText"/>
        <w:spacing w:before="0" w:after="200"/>
        <w:ind w:firstLine="720" w:start="0" w:end="0"/>
        <w:jc w:val="both"/>
        <w:rPr/>
      </w:pPr>
      <w:r>
        <w:rPr>
          <w:rStyle w:val="FootnoteCharacters"/>
        </w:rPr>
        <w:footnoteRef/>
      </w:r>
      <w:r>
        <w:rPr/>
        <w:t xml:space="preserve"> </w:t>
      </w:r>
      <w:r>
        <w:rPr>
          <w:i/>
        </w:rPr>
        <w:t>See</w:t>
      </w:r>
      <w:r>
        <w:rPr/>
        <w:t xml:space="preserve"> Reliant Energy HL&amp;P’s Brief on the ERCOT Protocol Issues (Jan. 26, 2001) at 4-5.</w:t>
      </w:r>
    </w:p>
  </w:footnote>
  <w:footnote w:id="68">
    <w:p>
      <w:pPr>
        <w:pStyle w:val="FootnoteText"/>
        <w:spacing w:before="0" w:after="200"/>
        <w:ind w:firstLine="720" w:start="0" w:end="0"/>
        <w:jc w:val="both"/>
        <w:rPr/>
      </w:pPr>
      <w:r>
        <w:rPr>
          <w:rStyle w:val="FootnoteCharacters"/>
        </w:rPr>
        <w:footnoteRef/>
      </w:r>
      <w:r>
        <w:rPr/>
        <w:t xml:space="preserve"> </w:t>
      </w:r>
      <w:r>
        <w:rPr>
          <w:i/>
        </w:rPr>
        <w:t xml:space="preserve">See </w:t>
      </w:r>
      <w:r>
        <w:rPr/>
        <w:t>Protocols §§6.5.2(15)(PIP112) (balancing energy service), 6.5.5(5) (non-spinning reserve service), and 6.5.6(7) (replacement reserve service).</w:t>
      </w:r>
    </w:p>
  </w:footnote>
  <w:footnote w:id="69">
    <w:p>
      <w:pPr>
        <w:pStyle w:val="FootnoteText"/>
        <w:spacing w:before="0" w:after="200"/>
        <w:ind w:firstLine="720" w:start="0" w:end="0"/>
        <w:jc w:val="both"/>
        <w:rPr/>
      </w:pPr>
      <w:r>
        <w:rPr>
          <w:rStyle w:val="FootnoteCharacters"/>
        </w:rPr>
        <w:footnoteRef/>
      </w:r>
      <w:r>
        <w:rPr/>
        <w:t xml:space="preserve"> </w:t>
      </w:r>
      <w:r>
        <w:rPr>
          <w:i/>
        </w:rPr>
        <w:t xml:space="preserve">See </w:t>
      </w:r>
      <w:r>
        <w:rPr/>
        <w:t>Nucor Steel’s Initial Brief (Jan. 26, 2001); Texas Industries, Inc. (“TXI”) Reply Brief (Feb. 5, 2001) at 6-7.</w:t>
      </w:r>
    </w:p>
  </w:footnote>
  <w:footnote w:id="70">
    <w:p>
      <w:pPr>
        <w:pStyle w:val="FootnoteText"/>
        <w:spacing w:before="0" w:after="200"/>
        <w:ind w:firstLine="720" w:start="0" w:end="0"/>
        <w:jc w:val="both"/>
        <w:rPr/>
      </w:pPr>
      <w:r>
        <w:rPr>
          <w:rStyle w:val="FootnoteCharacters"/>
        </w:rPr>
        <w:footnoteRef/>
      </w:r>
      <w:r>
        <w:rPr/>
        <w:t xml:space="preserve"> </w:t>
      </w:r>
      <w:r>
        <w:rPr/>
        <w:t>At the February 15, 2001 workshop, representatives for load resources indicated that they had had difficulty participating in the stakeholder Protocol formulation process, due to the very large number of complex issues that had to be addressed, the large majority of which were not load resource issues.</w:t>
      </w:r>
    </w:p>
  </w:footnote>
  <w:footnote w:id="71">
    <w:p>
      <w:pPr>
        <w:pStyle w:val="FootnoteText"/>
        <w:spacing w:before="0" w:after="200"/>
        <w:ind w:firstLine="720" w:start="0" w:end="0"/>
        <w:jc w:val="both"/>
        <w:rPr/>
      </w:pPr>
      <w:r>
        <w:rPr>
          <w:rStyle w:val="FootnoteCharacters"/>
        </w:rPr>
        <w:footnoteRef/>
      </w:r>
      <w:r>
        <w:rPr/>
        <w:t xml:space="preserve"> </w:t>
      </w:r>
      <w:r>
        <w:rPr>
          <w:i/>
        </w:rPr>
        <w:t>See</w:t>
      </w:r>
      <w:r>
        <w:rPr/>
        <w:t xml:space="preserve"> PURA §39.202(o).</w:t>
      </w:r>
    </w:p>
  </w:footnote>
  <w:footnote w:id="72">
    <w:p>
      <w:pPr>
        <w:pStyle w:val="FootnoteText"/>
        <w:spacing w:before="0" w:after="200"/>
        <w:ind w:firstLine="720" w:start="0" w:end="0"/>
        <w:jc w:val="both"/>
        <w:rPr/>
      </w:pPr>
      <w:r>
        <w:rPr>
          <w:rStyle w:val="FootnoteCharacters"/>
        </w:rPr>
        <w:footnoteRef/>
      </w:r>
      <w:r>
        <w:rPr/>
        <w:t xml:space="preserve"> </w:t>
      </w:r>
      <w:r>
        <w:rPr/>
        <w:t>Protocols §§18.6.1 and 18.6.3.</w:t>
      </w:r>
    </w:p>
  </w:footnote>
  <w:footnote w:id="73">
    <w:p>
      <w:pPr>
        <w:pStyle w:val="FootnoteText"/>
        <w:spacing w:before="0" w:after="200"/>
        <w:ind w:firstLine="720" w:start="0" w:end="0"/>
        <w:jc w:val="both"/>
        <w:rPr/>
      </w:pPr>
      <w:r>
        <w:rPr>
          <w:rStyle w:val="FootnoteCharacters"/>
        </w:rPr>
        <w:footnoteRef/>
      </w:r>
      <w:r>
        <w:rPr/>
        <w:t xml:space="preserve"> </w:t>
      </w:r>
      <w:r>
        <w:rPr/>
        <w:t>Protocols §2 at 2-13.</w:t>
      </w:r>
    </w:p>
  </w:footnote>
  <w:footnote w:id="74">
    <w:p>
      <w:pPr>
        <w:pStyle w:val="FootnoteText"/>
        <w:spacing w:before="0" w:after="200"/>
        <w:ind w:firstLine="720" w:start="0" w:end="0"/>
        <w:jc w:val="both"/>
        <w:rPr/>
      </w:pPr>
      <w:r>
        <w:rPr>
          <w:rStyle w:val="FootnoteCharacters"/>
        </w:rPr>
        <w:footnoteRef/>
      </w:r>
      <w:r>
        <w:rPr/>
        <w:t xml:space="preserve"> </w:t>
      </w:r>
      <w:r>
        <w:rPr/>
        <w:t>The Commission stands ready to eliminate any unnecessary impediments to the realization of this potential.</w:t>
      </w:r>
    </w:p>
  </w:footnote>
  <w:footnote w:id="75">
    <w:p>
      <w:pPr>
        <w:pStyle w:val="FootnoteText"/>
        <w:spacing w:before="0" w:after="200"/>
        <w:ind w:firstLine="720" w:start="0" w:end="0"/>
        <w:jc w:val="both"/>
        <w:rPr/>
      </w:pPr>
      <w:r>
        <w:rPr>
          <w:rStyle w:val="FootnoteCharacters"/>
        </w:rPr>
        <w:footnoteRef/>
      </w:r>
      <w:r>
        <w:rPr/>
        <w:t xml:space="preserve"> </w:t>
      </w:r>
      <w:r>
        <w:rPr/>
        <w:t>Protocols §18.7.1.1.</w:t>
      </w:r>
    </w:p>
  </w:footnote>
  <w:footnote w:id="76">
    <w:p>
      <w:pPr>
        <w:pStyle w:val="FootnoteText"/>
        <w:spacing w:before="0" w:after="200"/>
        <w:ind w:firstLine="720" w:start="0" w:end="0"/>
        <w:jc w:val="both"/>
        <w:rPr/>
      </w:pPr>
      <w:r>
        <w:rPr>
          <w:rStyle w:val="FootnoteCharacters"/>
        </w:rPr>
        <w:footnoteRef/>
      </w:r>
      <w:r>
        <w:rPr/>
        <w:t xml:space="preserve"> </w:t>
      </w:r>
      <w:r>
        <w:rPr>
          <w:i/>
        </w:rPr>
        <w:t xml:space="preserve">See </w:t>
      </w:r>
      <w:r>
        <w:rPr/>
        <w:t>Protocols §18.7.1.2(2).</w:t>
      </w:r>
    </w:p>
  </w:footnote>
  <w:footnote w:id="77">
    <w:p>
      <w:pPr>
        <w:pStyle w:val="FootnoteText"/>
        <w:spacing w:before="0" w:after="200"/>
        <w:ind w:firstLine="720" w:start="0" w:end="0"/>
        <w:jc w:val="both"/>
        <w:rPr/>
      </w:pPr>
      <w:r>
        <w:rPr>
          <w:rStyle w:val="FootnoteCharacters"/>
        </w:rPr>
        <w:footnoteRef/>
      </w:r>
      <w:r>
        <w:rPr/>
        <w:t xml:space="preserve"> </w:t>
      </w:r>
      <w:r>
        <w:rPr/>
        <w:t>PURA §39.107(a).</w:t>
      </w:r>
    </w:p>
  </w:footnote>
  <w:footnote w:id="78">
    <w:p>
      <w:pPr>
        <w:pStyle w:val="FootnoteText"/>
        <w:spacing w:before="0" w:after="200"/>
        <w:ind w:firstLine="720" w:start="0" w:end="0"/>
        <w:jc w:val="both"/>
        <w:rPr/>
      </w:pPr>
      <w:r>
        <w:rPr>
          <w:rStyle w:val="FootnoteCharacters"/>
        </w:rPr>
        <w:footnoteRef/>
      </w:r>
      <w:r>
        <w:rPr/>
        <w:t xml:space="preserve"> </w:t>
      </w:r>
      <w:r>
        <w:rPr/>
        <w:t>PURA §39.107(b).</w:t>
      </w:r>
    </w:p>
  </w:footnote>
  <w:footnote w:id="79">
    <w:p>
      <w:pPr>
        <w:pStyle w:val="FootnoteText"/>
        <w:spacing w:before="0" w:after="200"/>
        <w:ind w:firstLine="720" w:start="0" w:end="0"/>
        <w:jc w:val="both"/>
        <w:rPr/>
      </w:pPr>
      <w:r>
        <w:rPr>
          <w:rStyle w:val="FootnoteCharacters"/>
        </w:rPr>
        <w:footnoteRef/>
      </w:r>
      <w:r>
        <w:rPr/>
        <w:t xml:space="preserve"> </w:t>
      </w:r>
      <w:r>
        <w:rPr/>
        <w:t>Protocols §18.7.1.4(2).</w:t>
      </w:r>
    </w:p>
  </w:footnote>
  <w:footnote w:id="80">
    <w:p>
      <w:pPr>
        <w:pStyle w:val="FootnoteText"/>
        <w:spacing w:before="0" w:after="200"/>
        <w:ind w:firstLine="720" w:start="0" w:end="0"/>
        <w:jc w:val="both"/>
        <w:rPr/>
      </w:pPr>
      <w:r>
        <w:rPr>
          <w:rStyle w:val="FootnoteCharacters"/>
        </w:rPr>
        <w:footnoteRef/>
      </w:r>
      <w:r>
        <w:rPr/>
        <w:t xml:space="preserve"> </w:t>
      </w:r>
      <w:r>
        <w:rPr>
          <w:i/>
        </w:rPr>
        <w:t xml:space="preserve">See </w:t>
      </w:r>
      <w:r>
        <w:rPr/>
        <w:t>Brief of AES New Energy, Inc., Exelon Energy, Green Mountain Energy Company, The New Power Company, and Strategic Energy on ERCOT Protocols (Jan. 26, 2001) at 26-27.</w:t>
      </w:r>
    </w:p>
  </w:footnote>
  <w:footnote w:id="81">
    <w:p>
      <w:pPr>
        <w:pStyle w:val="FootnoteText"/>
        <w:spacing w:before="0" w:after="200"/>
        <w:ind w:firstLine="720" w:start="0" w:end="0"/>
        <w:jc w:val="both"/>
        <w:rPr/>
      </w:pPr>
      <w:r>
        <w:rPr>
          <w:rStyle w:val="FootnoteCharacters"/>
        </w:rPr>
        <w:footnoteRef/>
      </w:r>
      <w:r>
        <w:rPr/>
        <w:t xml:space="preserve"> </w:t>
      </w:r>
      <w:r>
        <w:rPr>
          <w:i/>
        </w:rPr>
        <w:t>See Id.</w:t>
      </w:r>
      <w:r>
        <w:rPr/>
        <w:t xml:space="preserve"> at 26.</w:t>
      </w:r>
    </w:p>
  </w:footnote>
  <w:footnote w:id="82">
    <w:p>
      <w:pPr>
        <w:pStyle w:val="FootnoteText"/>
        <w:spacing w:before="0" w:after="200"/>
        <w:ind w:firstLine="720" w:start="0" w:end="0"/>
        <w:jc w:val="both"/>
        <w:rPr/>
      </w:pPr>
      <w:r>
        <w:rPr>
          <w:rStyle w:val="FootnoteCharacters"/>
        </w:rPr>
        <w:footnoteRef/>
      </w:r>
      <w:r>
        <w:rPr/>
        <w:t xml:space="preserve"> </w:t>
      </w:r>
      <w:r>
        <w:rPr>
          <w:i/>
        </w:rPr>
        <w:t xml:space="preserve">See </w:t>
      </w:r>
      <w:r>
        <w:rPr/>
        <w:t>Nucor Steel’s Initial Brief (Jan. 26, 2001) at 11; Reliant Energy HL&amp;P’s Brief on the ERCOT Protocols Issues (Jan. 26, 2001) at 37.</w:t>
      </w:r>
    </w:p>
  </w:footnote>
  <w:footnote w:id="83">
    <w:p>
      <w:pPr>
        <w:pStyle w:val="FootnoteText"/>
        <w:spacing w:before="0" w:after="200"/>
        <w:ind w:firstLine="720" w:start="0" w:end="0"/>
        <w:jc w:val="both"/>
        <w:rPr/>
      </w:pPr>
      <w:r>
        <w:rPr>
          <w:rStyle w:val="FootnoteCharacters"/>
        </w:rPr>
        <w:footnoteRef/>
      </w:r>
      <w:r>
        <w:rPr/>
        <w:t xml:space="preserve"> </w:t>
      </w:r>
      <w:r>
        <w:rPr>
          <w:i/>
        </w:rPr>
        <w:t>See</w:t>
      </w:r>
      <w:r>
        <w:rPr/>
        <w:t xml:space="preserve"> Reply Brief of AES Deepwater, Inc. (Feb. 5, 2001).</w:t>
      </w:r>
    </w:p>
  </w:footnote>
  <w:footnote w:id="84">
    <w:p>
      <w:pPr>
        <w:pStyle w:val="FootnoteText"/>
        <w:spacing w:before="0" w:after="200"/>
        <w:ind w:firstLine="720" w:start="0" w:end="0"/>
        <w:jc w:val="both"/>
        <w:rPr/>
      </w:pPr>
      <w:r>
        <w:rPr>
          <w:rStyle w:val="FootnoteCharacters"/>
        </w:rPr>
        <w:footnoteRef/>
      </w:r>
      <w:r>
        <w:rPr/>
        <w:t xml:space="preserve"> </w:t>
      </w:r>
      <w:r>
        <w:rPr>
          <w:i/>
        </w:rPr>
        <w:t>See</w:t>
      </w:r>
      <w:r>
        <w:rPr/>
        <w:t xml:space="preserve"> Reply Brief of Tex-La Electric Cooperative of Texas, Inc. (Feb. 1, 2001) at 1-3.</w:t>
      </w:r>
    </w:p>
  </w:footnote>
  <w:footnote w:id="85">
    <w:p>
      <w:pPr>
        <w:pStyle w:val="FootnoteText"/>
        <w:spacing w:before="0" w:after="200"/>
        <w:ind w:firstLine="720" w:start="0" w:end="0"/>
        <w:jc w:val="both"/>
        <w:rPr/>
      </w:pPr>
      <w:r>
        <w:rPr>
          <w:rStyle w:val="FootnoteCharacters"/>
        </w:rPr>
        <w:footnoteRef/>
      </w:r>
      <w:r>
        <w:rPr/>
        <w:t xml:space="preserve"> </w:t>
      </w:r>
      <w:r>
        <w:rPr>
          <w:i/>
        </w:rPr>
        <w:t>PUC Proceeding to Approve a Program Administrator for the Renewable Energy Trading Program and to Develop Procedures for Registration and Certification of Renewable Energy Facilities,</w:t>
      </w:r>
      <w:r>
        <w:rPr/>
        <w:t xml:space="preserve"> Project No. 22,200.</w:t>
      </w:r>
    </w:p>
  </w:footnote>
  <w:footnote w:id="86">
    <w:p>
      <w:pPr>
        <w:pStyle w:val="FootnoteText"/>
        <w:spacing w:before="0" w:after="200"/>
        <w:ind w:firstLine="720" w:start="0" w:end="0"/>
        <w:jc w:val="both"/>
        <w:rPr/>
      </w:pPr>
      <w:r>
        <w:rPr>
          <w:rStyle w:val="FootnoteCharacters"/>
        </w:rPr>
        <w:footnoteRef/>
      </w:r>
      <w:r>
        <w:rPr/>
        <w:t xml:space="preserve"> </w:t>
      </w:r>
      <w:r>
        <w:rPr>
          <w:i/>
        </w:rPr>
        <w:t>See</w:t>
      </w:r>
      <w:r>
        <w:rPr/>
        <w:t xml:space="preserve"> Order No. 12; Joint Brief of Brazos Electric Power Cooperative, Inc. and Texas Electric Cooperatives, Inc. (Jan. 26, 2000); Initial Brief of Tex-La Electric Cooperative of Texas, Inc. on Identified Issues (Jan. 26, 2000); South Texas Electric Cooperative’s Initial Brief (Jan. 26, 200) at 3-5.  The Commission ruled in the current Docket No. 23220 that </w:t>
      </w:r>
      <w:r>
        <w:rPr>
          <w:lang w:eastAsia="en-US"/>
        </w:rPr>
        <w:t xml:space="preserve">Protocols §14.10.2 should be clarified by changing the reference to “total generation capacity” to “average total generation capacity.” </w:t>
      </w:r>
      <w:r>
        <w:rPr>
          <w:i/>
        </w:rPr>
        <w:t xml:space="preserve"> See</w:t>
      </w:r>
      <w:r>
        <w:rPr/>
        <w:t xml:space="preserve"> Initial Brief of the Texas Renewable Power Coalition (Jan. 26, 2001) at 13-15.  However, because all of Protocols §14 was severed and placed into Docket No. 23802, final resolution of this issue will be addressed in that proceeding.</w:t>
      </w:r>
    </w:p>
  </w:footnote>
  <w:footnote w:id="87">
    <w:p>
      <w:pPr>
        <w:pStyle w:val="FootnoteText"/>
        <w:spacing w:before="0" w:after="200"/>
        <w:ind w:firstLine="720" w:start="0" w:end="0"/>
        <w:jc w:val="both"/>
        <w:rPr/>
      </w:pPr>
      <w:r>
        <w:rPr>
          <w:rStyle w:val="FootnoteCharacters"/>
        </w:rPr>
        <w:footnoteRef/>
      </w:r>
      <w:r>
        <w:rPr/>
        <w:t xml:space="preserve"> </w:t>
      </w:r>
      <w:r>
        <w:rPr>
          <w:i/>
        </w:rPr>
        <w:t>See</w:t>
      </w:r>
      <w:r>
        <w:rPr/>
        <w:t xml:space="preserve"> AES NewEnergy, Inc.’s Brief on ERCOT Protocols (Jan. 26, 2001).</w:t>
      </w:r>
    </w:p>
  </w:footnote>
  <w:footnote w:id="88">
    <w:p>
      <w:pPr>
        <w:pStyle w:val="FootnoteText"/>
        <w:spacing w:before="0" w:after="200"/>
        <w:ind w:firstLine="720" w:start="0" w:end="0"/>
        <w:jc w:val="both"/>
        <w:rPr/>
      </w:pPr>
      <w:r>
        <w:rPr>
          <w:rStyle w:val="FootnoteCharacters"/>
        </w:rPr>
        <w:footnoteRef/>
      </w:r>
      <w:r>
        <w:rPr/>
        <w:t xml:space="preserve"> </w:t>
      </w:r>
      <w:r>
        <w:rPr>
          <w:i/>
        </w:rPr>
        <w:t xml:space="preserve">See </w:t>
      </w:r>
      <w:r>
        <w:rPr/>
        <w:t xml:space="preserve">Petition for Approval (Nov. 2, 2000) at 3; Protocols §15. </w:t>
      </w:r>
      <w:r>
        <w:rPr>
          <w:lang w:eastAsia="en-US"/>
        </w:rPr>
        <w:t xml:space="preserve"> P.U.C. </w:t>
      </w:r>
      <w:r>
        <w:rPr>
          <w:smallCaps/>
          <w:lang w:eastAsia="en-US"/>
        </w:rPr>
        <w:t>Subst.</w:t>
      </w:r>
      <w:r>
        <w:rPr>
          <w:lang w:eastAsia="en-US"/>
        </w:rPr>
        <w:t xml:space="preserve"> R. 25.471(d)(11) contains the definition of registration agent, but does not address the procedures by which a registration agent is designated by the Commission.</w:t>
      </w:r>
    </w:p>
  </w:footnote>
  <w:footnote w:id="89">
    <w:p>
      <w:pPr>
        <w:pStyle w:val="FootnoteText"/>
        <w:spacing w:before="0" w:after="200"/>
        <w:ind w:firstLine="720" w:start="0" w:end="0"/>
        <w:jc w:val="both"/>
        <w:rPr/>
      </w:pPr>
      <w:r>
        <w:rPr>
          <w:rStyle w:val="FootnoteCharacters"/>
        </w:rPr>
        <w:footnoteRef/>
      </w:r>
      <w:r>
        <w:rPr/>
        <w:t xml:space="preserve"> </w:t>
      </w:r>
      <w:r>
        <w:rPr>
          <w:i/>
        </w:rPr>
        <w:t>Application of the ERCOT ISO for Certification as an Independent Organization to Perform Transmission and Distribution Access, Reliability, Information Exchange, and Settlement Function</w:t>
      </w:r>
      <w:r>
        <w:rPr/>
        <w:t>, Docket No. 22061, Final Order (Feb. 2, 2001).</w:t>
      </w:r>
    </w:p>
  </w:footnote>
  <w:footnote w:id="90">
    <w:p>
      <w:pPr>
        <w:pStyle w:val="FootnoteText"/>
        <w:spacing w:before="0" w:after="200"/>
        <w:ind w:firstLine="720" w:start="0" w:end="0"/>
        <w:jc w:val="both"/>
        <w:rPr/>
      </w:pPr>
      <w:r>
        <w:rPr>
          <w:rStyle w:val="FootnoteCharacters"/>
        </w:rPr>
        <w:footnoteRef/>
      </w:r>
      <w:r>
        <w:rPr/>
        <w:t xml:space="preserve"> </w:t>
      </w:r>
      <w:r>
        <w:rPr>
          <w:i/>
        </w:rPr>
        <w:t xml:space="preserve">See </w:t>
      </w:r>
      <w:r>
        <w:rPr/>
        <w:t>Brief of AES New Energy, Inc., Exelon Energy, Green Mountain Energy Company, The New Power Company, and Strategic Energy on ERCOT Protocols (Jan. 26, 2001) at 25-26.</w:t>
      </w:r>
    </w:p>
  </w:footnote>
  <w:footnote w:id="91">
    <w:p>
      <w:pPr>
        <w:pStyle w:val="FootnoteText"/>
        <w:spacing w:before="0" w:after="200"/>
        <w:ind w:firstLine="720" w:start="0" w:end="0"/>
        <w:jc w:val="both"/>
        <w:rPr/>
      </w:pPr>
      <w:r>
        <w:rPr>
          <w:rStyle w:val="FootnoteCharacters"/>
        </w:rPr>
        <w:footnoteRef/>
      </w:r>
      <w:r>
        <w:rPr/>
        <w:t xml:space="preserve"> </w:t>
      </w:r>
      <w:r>
        <w:rPr>
          <w:i/>
        </w:rPr>
        <w:t xml:space="preserve">See </w:t>
      </w:r>
      <w:r>
        <w:rPr/>
        <w:t xml:space="preserve">P.U.C. </w:t>
      </w:r>
      <w:r>
        <w:rPr>
          <w:smallCaps/>
        </w:rPr>
        <w:t>Subst.</w:t>
      </w:r>
      <w:r>
        <w:rPr/>
        <w:t xml:space="preserve"> R. 25.214(d).</w:t>
      </w:r>
    </w:p>
  </w:footnote>
  <w:footnote w:id="92">
    <w:p>
      <w:pPr>
        <w:pStyle w:val="FootnoteText"/>
        <w:spacing w:before="0" w:after="200"/>
        <w:ind w:firstLine="720" w:start="0" w:end="0"/>
        <w:jc w:val="both"/>
        <w:rPr/>
      </w:pPr>
      <w:r>
        <w:rPr>
          <w:rStyle w:val="FootnoteCharacters"/>
        </w:rPr>
        <w:footnoteRef/>
      </w:r>
      <w:r>
        <w:rPr/>
        <w:t xml:space="preserve"> </w:t>
      </w:r>
      <w:r>
        <w:rPr>
          <w:i/>
        </w:rPr>
        <w:t xml:space="preserve">See </w:t>
      </w:r>
      <w:r>
        <w:rPr/>
        <w:t>Brief of AES New Energy, Inc., Exelon Energy, Green Mountain Energy Company, The New Power Company, and Strategic Energy on ERCOT Protocols (Jan. 26, 2001) at 28-29.</w:t>
      </w:r>
    </w:p>
  </w:footnote>
  <w:footnote w:id="93">
    <w:p>
      <w:pPr>
        <w:pStyle w:val="FootnoteText"/>
        <w:spacing w:before="0" w:after="200"/>
        <w:ind w:firstLine="720" w:start="0" w:end="0"/>
        <w:jc w:val="both"/>
        <w:rPr/>
      </w:pPr>
      <w:r>
        <w:rPr>
          <w:rStyle w:val="FootnoteCharacters"/>
        </w:rPr>
        <w:footnoteRef/>
      </w:r>
      <w:r>
        <w:rPr/>
        <w:t xml:space="preserve"> </w:t>
      </w:r>
      <w:r>
        <w:rPr>
          <w:i/>
        </w:rPr>
        <w:t xml:space="preserve">See Id. </w:t>
      </w:r>
      <w:r>
        <w:rPr/>
        <w:t>at 29.</w:t>
      </w:r>
    </w:p>
  </w:footnote>
  <w:footnote w:id="94">
    <w:p>
      <w:pPr>
        <w:pStyle w:val="FootnoteText"/>
        <w:spacing w:before="0" w:after="200"/>
        <w:ind w:firstLine="720" w:start="0" w:end="0"/>
        <w:jc w:val="both"/>
        <w:rPr/>
      </w:pPr>
      <w:r>
        <w:rPr>
          <w:rStyle w:val="FootnoteCharacters"/>
        </w:rPr>
        <w:footnoteRef/>
      </w:r>
      <w:r>
        <w:rPr/>
        <w:t xml:space="preserve"> </w:t>
      </w:r>
      <w:r>
        <w:rPr>
          <w:i/>
        </w:rPr>
        <w:t xml:space="preserve">See Id. </w:t>
      </w:r>
      <w:r>
        <w:rPr/>
        <w:t>at 23-24.</w:t>
      </w:r>
    </w:p>
  </w:footnote>
  <w:footnote w:id="95">
    <w:p>
      <w:pPr>
        <w:pStyle w:val="FootnoteText"/>
        <w:spacing w:before="0" w:after="200"/>
        <w:ind w:firstLine="720" w:start="0" w:end="0"/>
        <w:jc w:val="both"/>
        <w:rPr/>
      </w:pPr>
      <w:r>
        <w:rPr>
          <w:rStyle w:val="FootnoteCharacters"/>
        </w:rPr>
        <w:footnoteRef/>
      </w:r>
      <w:r>
        <w:rPr/>
        <w:t xml:space="preserve"> </w:t>
      </w:r>
      <w:r>
        <w:rPr>
          <w:i/>
        </w:rPr>
        <w:t xml:space="preserve">See Id. </w:t>
      </w:r>
      <w:r>
        <w:rPr/>
        <w:t>at 18-20; Initial Brief of the Texas Renewable Power Coalition (Jan. 26, 2001) at 2-13.</w:t>
      </w:r>
    </w:p>
  </w:footnote>
  <w:footnote w:id="96">
    <w:p>
      <w:pPr>
        <w:pStyle w:val="FootnoteText"/>
        <w:spacing w:before="0" w:after="200"/>
        <w:ind w:firstLine="720" w:start="0" w:end="0"/>
        <w:jc w:val="both"/>
        <w:rPr/>
      </w:pPr>
      <w:r>
        <w:rPr>
          <w:rStyle w:val="FootnoteCharacters"/>
        </w:rPr>
        <w:footnoteRef/>
      </w:r>
      <w:r>
        <w:rPr/>
        <w:t xml:space="preserve"> </w:t>
      </w:r>
      <w:r>
        <w:rPr>
          <w:i/>
        </w:rPr>
        <w:t xml:space="preserve">See </w:t>
      </w:r>
      <w:r>
        <w:rPr/>
        <w:t>Initial Brief of the Texas Renewable Power Coalition (Jan. 26, 2001) at 2-13.</w:t>
      </w:r>
    </w:p>
  </w:footnote>
  <w:footnote w:id="97">
    <w:p>
      <w:pPr>
        <w:pStyle w:val="FootnoteText"/>
        <w:spacing w:before="0" w:after="200"/>
        <w:ind w:firstLine="720" w:start="0" w:end="0"/>
        <w:jc w:val="both"/>
        <w:rPr/>
      </w:pPr>
      <w:r>
        <w:rPr>
          <w:rStyle w:val="FootnoteCharacters"/>
        </w:rPr>
        <w:footnoteRef/>
      </w:r>
      <w:r>
        <w:rPr/>
        <w:t xml:space="preserve"> </w:t>
      </w:r>
      <w:r>
        <w:rPr>
          <w:i/>
        </w:rPr>
        <w:t>See Id.</w:t>
      </w:r>
      <w:r>
        <w:rPr/>
        <w:t xml:space="preserve"> at 20.</w:t>
      </w:r>
    </w:p>
  </w:footnote>
  <w:footnote w:id="98">
    <w:p>
      <w:pPr>
        <w:pStyle w:val="FootnoteText"/>
        <w:spacing w:before="0" w:after="200"/>
        <w:ind w:firstLine="720" w:start="0" w:end="0"/>
        <w:jc w:val="both"/>
        <w:rPr/>
      </w:pPr>
      <w:r>
        <w:rPr>
          <w:rStyle w:val="FootnoteCharacters"/>
        </w:rPr>
        <w:footnoteRef/>
      </w:r>
      <w:r>
        <w:rPr/>
        <w:t xml:space="preserve"> </w:t>
      </w:r>
      <w:r>
        <w:rPr>
          <w:i/>
        </w:rPr>
        <w:t xml:space="preserve">See </w:t>
      </w:r>
      <w:r>
        <w:rPr/>
        <w:t>Brief of AES New Energy, Inc., Exelon Energy, Green Mountain Energy Company, The New Power Company, and Strategic Energy on ERCOT Protocols (Jan. 26, 2001) at 21.</w:t>
      </w:r>
    </w:p>
  </w:footnote>
  <w:footnote w:id="99">
    <w:p>
      <w:pPr>
        <w:pStyle w:val="FootnoteText"/>
        <w:spacing w:before="0" w:after="200"/>
        <w:ind w:firstLine="720" w:start="0" w:end="0"/>
        <w:jc w:val="both"/>
        <w:rPr/>
      </w:pPr>
      <w:r>
        <w:rPr>
          <w:rStyle w:val="FootnoteCharacters"/>
        </w:rPr>
        <w:footnoteRef/>
      </w:r>
      <w:r>
        <w:rPr/>
        <w:t xml:space="preserve"> </w:t>
      </w:r>
      <w:r>
        <w:rPr/>
        <w:t>The Protocols initially treat congestion management costs as ERCOT costs that must be recovered from market participants.  However, as explained above in subsection II.E, the Commission is ordering ERCOT to convert to a direct assignment of cost method for both interzonal and intrazonal congestion.  Once this conversion occurs, congestion costs will be treated as costs incurred by specific users of the ERCOT grid.</w:t>
      </w:r>
    </w:p>
  </w:footnote>
  <w:footnote w:id="100">
    <w:p>
      <w:pPr>
        <w:pStyle w:val="FootnoteText"/>
        <w:spacing w:before="0" w:after="200"/>
        <w:ind w:firstLine="720" w:start="0" w:end="0"/>
        <w:jc w:val="both"/>
        <w:rPr/>
      </w:pPr>
      <w:r>
        <w:rPr>
          <w:rStyle w:val="FootnoteCharacters"/>
        </w:rPr>
        <w:footnoteRef/>
      </w:r>
      <w:r>
        <w:rPr/>
        <w:t xml:space="preserve"> </w:t>
      </w:r>
      <w:r>
        <w:rPr/>
        <w:t xml:space="preserve">Intervention withdrawn.  </w:t>
      </w:r>
      <w:r>
        <w:rPr>
          <w:i/>
        </w:rPr>
        <w:t xml:space="preserve">See </w:t>
      </w:r>
      <w:r>
        <w:rPr/>
        <w:t>Prehearing Conference Tr. (Dec. 15, 2000) at 11.</w:t>
      </w:r>
    </w:p>
  </w:footnote>
  <w:footnote w:id="101">
    <w:p>
      <w:pPr>
        <w:pStyle w:val="FootnoteText"/>
        <w:spacing w:before="0" w:after="200"/>
        <w:ind w:firstLine="720" w:start="0" w:end="0"/>
        <w:jc w:val="both"/>
        <w:rPr/>
      </w:pPr>
      <w:r>
        <w:rPr>
          <w:rStyle w:val="FootnoteCharacters"/>
        </w:rPr>
        <w:footnoteRef/>
      </w:r>
      <w:r>
        <w:rPr/>
        <w:t xml:space="preserve"> </w:t>
      </w:r>
      <w:r>
        <w:rPr>
          <w:i/>
        </w:rPr>
        <w:t xml:space="preserve">See </w:t>
      </w:r>
      <w:r>
        <w:rPr/>
        <w:t>Reliant Energy HL&amp;P’s Comments to the February 15, 2001 Workshop (Feb. 20, 2001) at 2-3.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180" w:leader="none"/>
      </w:tabs>
      <w:rPr>
        <w:b/>
        <w:sz w:val="20"/>
      </w:rPr>
    </w:pPr>
    <w:r>
      <w:rPr>
        <w:b/>
        <w:sz w:val="20"/>
      </w:rPr>
      <w:t>PUC DOCKET NO. 23220</w:t>
      <w:tab/>
      <w:t>Order</w:t>
      <w:tab/>
      <w:t xml:space="preserve">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55</w:t>
    </w:r>
    <w:r>
      <w:rPr>
        <w:rStyle w:val="PageNumber"/>
        <w:sz w:val="20"/>
        <w:b/>
      </w:rPr>
      <w:fldChar w:fldCharType="end"/>
    </w:r>
  </w:p>
  <w:p>
    <w:pPr>
      <w:pStyle w:val="Header"/>
      <w:tabs>
        <w:tab w:val="clear" w:pos="4320"/>
        <w:tab w:val="clear" w:pos="8640"/>
        <w:tab w:val="center" w:pos="4680" w:leader="none"/>
        <w:tab w:val="right" w:pos="9180" w:leader="none"/>
      </w:tabs>
      <w:rPr>
        <w:b/>
        <w:sz w:val="20"/>
      </w:rPr>
    </w:pPr>
    <w:r>
      <w:rPr>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pStyle w:val="Heading1"/>
      <w:numFmt w:val="upperRoman"/>
      <w:lvlText w:val="%1."/>
      <w:lvlJc w:val="start"/>
      <w:pPr>
        <w:tabs>
          <w:tab w:val="num" w:pos="72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lvl>
  </w:abstractNum>
  <w:abstractNum w:abstractNumId="5">
    <w:lvl w:ilvl="0">
      <w:start w:val="1"/>
      <w:numFmt w:val="upperRoman"/>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lvl>
  </w:abstractNum>
  <w:abstractNum w:abstractNumId="7">
    <w:lvl w:ilvl="0">
      <w:start w:val="1"/>
      <w:numFmt w:val="decimal"/>
      <w:lvlText w:val="%1."/>
      <w:lvlJc w:val="start"/>
      <w:pPr>
        <w:tabs>
          <w:tab w:val="num" w:pos="720"/>
        </w:tabs>
        <w:ind w:start="720" w:hanging="720"/>
      </w:pPr>
    </w:lvl>
  </w:abstractNum>
  <w:abstractNum w:abstractNumId="8">
    <w:lvl w:ilvl="0">
      <w:start w:val="1"/>
      <w:numFmt w:val="decimal"/>
      <w:lvlText w:val="%1."/>
      <w:lvlJc w:val="start"/>
      <w:pPr>
        <w:tabs>
          <w:tab w:val="num" w:pos="0"/>
        </w:tabs>
        <w:ind w:start="0" w:hanging="0"/>
      </w:pPr>
      <w:rPr>
        <w:sz w:val="24"/>
        <w:szCs w:val="24"/>
        <w:rFonts w:ascii="Baskerville Old Face" w:hAnsi="Baskerville Old Face"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9">
    <w:lvl w:ilvl="0">
      <w:start w:val="1"/>
      <w:numFmt w:val="upperRoman"/>
      <w:lvlText w:val="%1."/>
      <w:lvlJc w:val="start"/>
      <w:pPr>
        <w:tabs>
          <w:tab w:val="num" w:pos="72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7"/>
    <w:lvlOverride w:ilvl="0">
      <w:startOverride w:val="1"/>
    </w:lvlOverride>
  </w:num>
  <w:num w:numId="11">
    <w:abstractNumId w:val="3"/>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00" w:after="200"/>
      <w:jc w:val="center"/>
      <w:outlineLvl w:val="0"/>
    </w:pPr>
    <w:rPr>
      <w:b/>
    </w:rPr>
  </w:style>
  <w:style w:type="paragraph" w:styleId="Heading2">
    <w:name w:val="heading 2"/>
    <w:basedOn w:val="Normal"/>
    <w:next w:val="Normal"/>
    <w:qFormat/>
    <w:pPr>
      <w:keepNext w:val="true"/>
      <w:numPr>
        <w:ilvl w:val="0"/>
        <w:numId w:val="3"/>
      </w:numPr>
      <w:spacing w:before="200" w:after="200"/>
      <w:jc w:val="center"/>
      <w:outlineLvl w:val="1"/>
    </w:pPr>
    <w:rPr>
      <w:b/>
    </w:rPr>
  </w:style>
  <w:style w:type="paragraph" w:styleId="Heading3">
    <w:name w:val="heading 3"/>
    <w:basedOn w:val="Normal"/>
    <w:next w:val="Normal"/>
    <w:qFormat/>
    <w:pPr>
      <w:keepNext w:val="true"/>
      <w:numPr>
        <w:ilvl w:val="0"/>
        <w:numId w:val="7"/>
      </w:numPr>
      <w:spacing w:before="200" w:after="200"/>
      <w:jc w:val="start"/>
      <w:outlineLvl w:val="2"/>
    </w:pPr>
    <w:rPr>
      <w:b/>
    </w:rPr>
  </w:style>
  <w:style w:type="paragraph" w:styleId="Heading4">
    <w:name w:val="heading 4"/>
    <w:basedOn w:val="Normal"/>
    <w:next w:val="Normal"/>
    <w:qFormat/>
    <w:pPr>
      <w:keepNext w:val="true"/>
      <w:tabs>
        <w:tab w:val="clear" w:pos="720"/>
        <w:tab w:val="left" w:pos="4320" w:leader="none"/>
        <w:tab w:val="left" w:pos="8640" w:leader="none"/>
      </w:tabs>
      <w:jc w:val="center"/>
      <w:outlineLvl w:val="3"/>
    </w:pPr>
    <w:rPr>
      <w:b/>
      <w:sz w:val="28"/>
    </w:rPr>
  </w:style>
  <w:style w:type="paragraph" w:styleId="Heading5">
    <w:name w:val="heading 5"/>
    <w:basedOn w:val="Normal"/>
    <w:next w:val="Normal"/>
    <w:qFormat/>
    <w:pPr>
      <w:keepNext w:val="true"/>
      <w:tabs>
        <w:tab w:val="clear" w:pos="720"/>
        <w:tab w:val="left" w:pos="4320" w:leader="none"/>
        <w:tab w:val="left" w:pos="8640" w:leader="none"/>
      </w:tabs>
      <w:jc w:val="end"/>
      <w:outlineLvl w:val="4"/>
    </w:pPr>
    <w:rPr>
      <w:b/>
    </w:rPr>
  </w:style>
  <w:style w:type="character" w:styleId="WW8Num1z0">
    <w:name w:val="WW8Num1z0"/>
    <w:qFormat/>
    <w:rPr>
      <w:rFonts w:ascii="Baskerville Old Face" w:hAnsi="Baskerville Old Face" w:cs="Times New Roman"/>
      <w:sz w:val="24"/>
      <w:szCs w:val="24"/>
    </w:rPr>
  </w:style>
  <w:style w:type="character" w:styleId="WW8Num2z0">
    <w:name w:val="WW8Num2z0"/>
    <w:qFormat/>
    <w:rPr/>
  </w:style>
  <w:style w:type="character" w:styleId="WW8Num4z0">
    <w:name w:val="WW8Num4z0"/>
    <w:qFormat/>
    <w:rPr>
      <w:b w:val="false"/>
      <w:i w:val="false"/>
    </w:rPr>
  </w:style>
  <w:style w:type="character" w:styleId="WW8Num5z0">
    <w:name w:val="WW8Num5z0"/>
    <w:qFormat/>
    <w:rPr>
      <w:b w:val="false"/>
    </w:rPr>
  </w:style>
  <w:style w:type="character" w:styleId="WW8Num6z0">
    <w:name w:val="WW8Num6z0"/>
    <w:qFormat/>
    <w:rPr/>
  </w:style>
  <w:style w:type="character" w:styleId="WW8Num8z0">
    <w:name w:val="WW8Num8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color w:val="auto"/>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2z0">
    <w:name w:val="WW8Num32z0"/>
    <w:qFormat/>
    <w:rPr>
      <w:b w:val="false"/>
      <w:i w:val="false"/>
    </w:rPr>
  </w:style>
  <w:style w:type="character" w:styleId="WW8Num33z0">
    <w:name w:val="WW8Num33z0"/>
    <w:qFormat/>
    <w:rPr/>
  </w:style>
  <w:style w:type="character" w:styleId="WW8Num35z0">
    <w:name w:val="WW8Num35z0"/>
    <w:qFormat/>
    <w:rPr>
      <w:b w:val="false"/>
      <w:i w:val="false"/>
    </w:rPr>
  </w:style>
  <w:style w:type="character" w:styleId="WW8Num36z0">
    <w:name w:val="WW8Num36z0"/>
    <w:qFormat/>
    <w:rPr/>
  </w:style>
  <w:style w:type="character" w:styleId="WW8Num37z0">
    <w:name w:val="WW8Num37z0"/>
    <w:qFormat/>
    <w:rPr/>
  </w:style>
  <w:style w:type="character" w:styleId="WW8Num40z0">
    <w:name w:val="WW8Num40z0"/>
    <w:qFormat/>
    <w:rPr/>
  </w:style>
  <w:style w:type="character" w:styleId="WW8Num41z0">
    <w:name w:val="WW8Num41z0"/>
    <w:qFormat/>
    <w:rPr>
      <w:i/>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00"/>
      <w:ind w:firstLine="720" w:start="0" w:end="0"/>
      <w:jc w:val="both"/>
    </w:pPr>
    <w:rPr>
      <w:sz w:val="20"/>
    </w:rPr>
  </w:style>
  <w:style w:type="paragraph" w:styleId="BodyTextIndent">
    <w:name w:val="Body Text Indent"/>
    <w:basedOn w:val="Normal"/>
    <w:pPr>
      <w:ind w:hanging="270" w:start="270" w:end="0"/>
    </w:pPr>
    <w:rPr/>
  </w:style>
  <w:style w:type="paragraph" w:styleId="PlainText">
    <w:name w:val="Plain Text"/>
    <w:basedOn w:val="Normal"/>
    <w:qFormat/>
    <w:pPr>
      <w:jc w:val="start"/>
    </w:pPr>
    <w:rPr>
      <w:rFonts w:ascii="Courier New" w:hAnsi="Courier New" w:cs="Courier New"/>
      <w:sz w:val="20"/>
    </w:rPr>
  </w:style>
  <w:style w:type="paragraph" w:styleId="Docketstyle">
    <w:name w:val="Docket style"/>
    <w:basedOn w:val="Normal"/>
    <w:qFormat/>
    <w:pPr>
      <w:keepNext w:val="true"/>
      <w:tabs>
        <w:tab w:val="clear" w:pos="720"/>
        <w:tab w:val="center" w:pos="4770" w:leader="none"/>
        <w:tab w:val="left" w:pos="5400" w:leader="none"/>
      </w:tabs>
      <w:spacing w:lineRule="auto" w:line="288"/>
    </w:pPr>
    <w:rPr>
      <w:b/>
      <w:caps/>
    </w:rPr>
  </w:style>
  <w:style w:type="paragraph" w:styleId="Subtitle">
    <w:name w:val="Subtitle"/>
    <w:basedOn w:val="Normal"/>
    <w:next w:val="BodyText"/>
    <w:qFormat/>
    <w:pPr>
      <w:jc w:val="center"/>
    </w:pPr>
    <w:rPr>
      <w:b/>
      <w:sz w:val="28"/>
    </w:rPr>
  </w:style>
  <w:style w:type="paragraph" w:styleId="level1">
    <w:name w:val="_level1"/>
    <w:basedOn w:val="Normal"/>
    <w:qFormat/>
    <w:pPr>
      <w:widowControl w:val="false"/>
      <w:numPr>
        <w:ilvl w:val="0"/>
        <w:numId w:val="8"/>
      </w:numPr>
      <w:tabs>
        <w:tab w:val="clear" w:pos="720"/>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right" w:pos="9000" w:leader="none"/>
      </w:tabs>
      <w:autoSpaceDE w:val="false"/>
      <w:ind w:hanging="360" w:start="1080" w:end="27"/>
      <w:jc w:val="start"/>
      <w:outlineLvl w:val="0"/>
    </w:pPr>
    <w:rPr>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3">
    <w:name w:val="Body Text 3"/>
    <w:basedOn w:val="Normal"/>
    <w:qFormat/>
    <w:pPr>
      <w:widowControl w:val="false"/>
      <w:overflowPunct w:val="false"/>
      <w:autoSpaceDE w:val="false"/>
      <w:spacing w:before="100" w:after="100"/>
      <w:textAlignment w:val="baseline"/>
    </w:pPr>
    <w:rPr>
      <w:b/>
      <w:sz w:val="22"/>
    </w:rPr>
  </w:style>
  <w:style w:type="paragraph" w:styleId="BodyTextIndent2">
    <w:name w:val="Body Text Indent 2"/>
    <w:basedOn w:val="Normal"/>
    <w:qFormat/>
    <w:pPr>
      <w:ind w:hanging="720" w:start="1440" w:end="0"/>
      <w:jc w:val="star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sou@ercot.com" TargetMode="External"/><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pucdkt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2001-04-11T19:13:00Z</dcterms:created>
  <dc:creator>tcooper</dc:creator>
  <dc:description/>
  <dc:language>en-CA</dc:language>
  <cp:lastModifiedBy>Keith Allen Rogas</cp:lastModifiedBy>
  <cp:lastPrinted>2001-04-11T16:24:00Z</cp:lastPrinted>
  <dcterms:modified xsi:type="dcterms:W3CDTF">2001-04-11T19:13:00Z</dcterms:modified>
  <cp:revision>2</cp:revision>
  <dc:subject/>
  <dc:title>PUC DOCKET NO. </dc:title>
</cp:coreProperties>
</file>