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  <w:t>Bi-West Coast Weekly Report #6</w:t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22 June 2001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/>
      </w:pPr>
      <w:r>
        <w:rPr/>
        <w:t>Key Results of Past 2-Weeks</w:t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CERA luncheon meeting in Mexico with Ministry of Energy, Pemex, and CRE personnel.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No LNG policy in place.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CRE likely to want some form of open access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CRE wants clear benefit for Mexico – not just export to USA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Meeting with Moss Maritime president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Merlin has contracted Moss to engineer FSRU and FPSO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Moss could do the work for Enron, but will take 6 months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EEOS updated LNG gas interchangeability spread sheets to include Methane Number and CARB aspects – EEOS continues to examine options for extraction.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Internal meetings to discuss go forward plan; commence permitting of one site in California, pursue Sempra partnership, and develop South American LNG supply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Consensus that one supply source is not satisfactory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Belief that Asian producers will sell on NYMEX index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Meeting with Sempra International in San Diego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Signed Confidentiality agreement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Preliminary results for JV were positive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Sempra on fast track to secure supply – need for Enron involvement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Darcel Hulse to revert on 2 July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6.  Preliminary meeting with Hunt Oil Company – Peru supply project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Action Plan for next Week</w:t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EEOS to conclude technology study and make FSRU recommendation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2.  EEOS to make California site recommendation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Tax to complete review of Mexican tax provisions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Complete economics of FSRU – need final FSRU capex &amp; operating costs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Prepare draft Joint Venture agreement for Sempra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K.Lindahl 24 June 2001</w:t>
      </w:r>
    </w:p>
    <w:sectPr>
      <w:type w:val="nextPage"/>
      <w:pgSz w:w="12240" w:h="15840"/>
      <w:pgMar w:left="1800" w:right="1800" w:gutter="0" w:header="0" w:top="144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2001-06-24T23:48:00Z</dcterms:created>
  <dc:creator>klindah</dc:creator>
  <dc:description/>
  <dc:language>en-CA</dc:language>
  <cp:lastModifiedBy>klindah</cp:lastModifiedBy>
  <dcterms:modified xsi:type="dcterms:W3CDTF">2001-06-24T23:48:00Z</dcterms:modified>
  <cp:revision>2</cp:revision>
  <dc:subject/>
  <dc:title>West Coast Weekly Report #6</dc:title>
</cp:coreProperties>
</file>