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San Diego Gas &amp; Electric Company (U 902-E) for an Order Implementing Assembly Bill 265.</w:t>
            </w:r>
          </w:p>
          <w:p>
            <w:pPr>
              <w:pStyle w:val="Normal"/>
              <w:rPr/>
            </w:pPr>
            <w:r>
              <w:rPr/>
            </w:r>
          </w:p>
        </w:tc>
        <w:tc>
          <w:tcPr>
            <w:tcW w:w="3287" w:type="dxa"/>
            <w:tcBorders/>
          </w:tcPr>
          <w:p>
            <w:pPr>
              <w:pStyle w:val="Normal"/>
              <w:snapToGrid w:val="false"/>
              <w:jc w:val="center"/>
              <w:rPr/>
            </w:pPr>
            <w:r>
              <w:rPr/>
            </w:r>
          </w:p>
          <w:p>
            <w:pPr>
              <w:pStyle w:val="Normal"/>
              <w:jc w:val="center"/>
              <w:rPr/>
            </w:pPr>
            <w:r>
              <w:rPr/>
              <w:t>Application 00-10-045</w:t>
            </w:r>
          </w:p>
          <w:p>
            <w:pPr>
              <w:pStyle w:val="Normal"/>
              <w:jc w:val="center"/>
              <w:rPr/>
            </w:pPr>
            <w:r>
              <w:rPr/>
              <w:t>(Filed October 24,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Application of San Diego Gas &amp; Electric Company (U 902-E) for Authority to Implement an Electric Rate Surcharge to Manage the Balance in the Energy Rate Ceiling Revenue Shortfall Account.</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Application 01-01-044</w:t>
            </w:r>
          </w:p>
          <w:p>
            <w:pPr>
              <w:pStyle w:val="Normal"/>
              <w:jc w:val="center"/>
              <w:rPr/>
            </w:pPr>
            <w:r>
              <w:rPr/>
              <w:t>(Filed January 24, 2001)</w:t>
            </w:r>
          </w:p>
        </w:tc>
      </w:tr>
    </w:tbl>
    <w:p>
      <w:pPr>
        <w:pStyle w:val="Normal"/>
        <w:suppressAutoHyphens w:val="true"/>
        <w:rPr/>
      </w:pPr>
      <w:r>
        <w:rPr/>
      </w:r>
    </w:p>
    <w:p>
      <w:pPr>
        <w:pStyle w:val="BodyText"/>
        <w:spacing w:before="120" w:after="120"/>
        <w:jc w:val="center"/>
        <w:rPr>
          <w:rFonts w:ascii="Helvetica" w:hAnsi="Helvetica" w:cs="Helvetica"/>
          <w:b/>
        </w:rPr>
      </w:pPr>
      <w:r>
        <w:rPr>
          <w:rFonts w:cs="Helvetica" w:ascii="Helvetica" w:hAnsi="Helvetica"/>
          <w:b/>
        </w:rPr>
        <w:t>ASSIGNED COMMISSIONER’S RULING</w:t>
      </w:r>
    </w:p>
    <w:p>
      <w:pPr>
        <w:pStyle w:val="Heading1"/>
        <w:tabs>
          <w:tab w:val="clear" w:pos="720"/>
          <w:tab w:val="left" w:pos="360" w:leader="none"/>
        </w:tabs>
        <w:spacing w:lineRule="auto" w:line="360" w:before="0" w:after="0"/>
        <w:ind w:hanging="0" w:end="0"/>
        <w:rPr/>
      </w:pPr>
      <w:r>
        <w:rPr/>
        <w:t>1.</w:t>
        <w:tab/>
        <w:t>Summary</w:t>
      </w:r>
    </w:p>
    <w:p>
      <w:pPr>
        <w:pStyle w:val="standard"/>
        <w:rPr/>
      </w:pPr>
      <w:r>
        <w:rPr/>
        <w:t xml:space="preserve">Pursuant to Article 2.5 of the Commission’s Rules of Practice and Procedure (Rules), and taking into account recent legislation, this ruling addresses the scope, schedule, and related matters in these consolidated applications of San Diego Gas &amp; Electric Company (SDG&amp;E).  </w:t>
      </w:r>
    </w:p>
    <w:p>
      <w:pPr>
        <w:pStyle w:val="Heading1"/>
        <w:numPr>
          <w:ilvl w:val="0"/>
          <w:numId w:val="2"/>
        </w:numPr>
        <w:spacing w:lineRule="auto" w:line="360" w:before="0" w:after="0"/>
        <w:rPr/>
      </w:pPr>
      <w:r>
        <w:rPr/>
        <w:t>Notice of Prehearing Conference and Hearings</w:t>
      </w:r>
    </w:p>
    <w:p>
      <w:pPr>
        <w:pStyle w:val="standard"/>
        <w:rPr/>
      </w:pPr>
      <w:r>
        <w:rPr>
          <w:b/>
        </w:rPr>
        <w:t>NOTICE IS HEREBY GIVEN</w:t>
      </w:r>
      <w:r>
        <w:rPr/>
        <w:t xml:space="preserve"> that a prehearing conference (PHC) is set for Thursday, May 10, 2001 at 10:00 a.m. in the Commission Courtroom, 505 Van Ness Avenue, San Francisco, California.</w:t>
      </w:r>
    </w:p>
    <w:p>
      <w:pPr>
        <w:pStyle w:val="standard"/>
        <w:rPr/>
      </w:pPr>
      <w:r>
        <w:rPr/>
        <w:t>The PHC will address the implementation of Assembly Bill (AB) X1 43 (Stats. 2001, Ch. 6) and all other matters at issue in this proceeding, as described elsewhere in this ruling.</w:t>
      </w:r>
    </w:p>
    <w:p>
      <w:pPr>
        <w:pStyle w:val="standard"/>
        <w:rPr/>
      </w:pPr>
      <w:r>
        <w:rPr>
          <w:b/>
        </w:rPr>
        <w:t>FURTHER NOTICE IS HEREBY GIVEN</w:t>
      </w:r>
      <w:r>
        <w:rPr/>
        <w:t xml:space="preserve"> that hearings to consider adjustments to the energy component of electric rates for SDG&amp;E’s customers whose rates are governed by § 332.1(f),</w:t>
      </w:r>
      <w:r>
        <w:rPr>
          <w:rStyle w:val="FootnoteCharacters"/>
        </w:rPr>
        <w:t xml:space="preserve"> </w:t>
      </w:r>
      <w:r>
        <w:rPr/>
        <w:t>and other actions that may be necessary or appropriate with respect to § 332.1(f) and § 332.2, are set as follows.</w:t>
      </w:r>
      <w:r>
        <w:rPr>
          <w:rStyle w:val="FootnoteCharacters"/>
          <w:rStyle w:val="FootnoteReference"/>
        </w:rPr>
        <w:footnoteReference w:id="2"/>
      </w:r>
    </w:p>
    <w:p>
      <w:pPr>
        <w:pStyle w:val="standard"/>
        <w:spacing w:lineRule="auto" w:line="240"/>
        <w:ind w:hanging="0" w:end="0"/>
        <w:rPr>
          <w:b/>
          <w:u w:val="single"/>
        </w:rPr>
      </w:pPr>
      <w:r>
        <w:rPr>
          <w:b/>
          <w:u w:val="single"/>
        </w:rPr>
      </w:r>
    </w:p>
    <w:p>
      <w:pPr>
        <w:pStyle w:val="standard"/>
        <w:spacing w:lineRule="auto" w:line="240"/>
        <w:rPr>
          <w:b/>
          <w:u w:val="single"/>
        </w:rPr>
      </w:pPr>
      <w:r>
        <w:rPr>
          <w:b/>
          <w:u w:val="single"/>
        </w:rPr>
        <w:t>Public Participation Hearings:</w:t>
      </w:r>
    </w:p>
    <w:p>
      <w:pPr>
        <w:pStyle w:val="standard"/>
        <w:spacing w:lineRule="auto" w:line="240"/>
        <w:ind w:hanging="0" w:end="0"/>
        <w:rPr>
          <w:b/>
          <w:u w:val="single"/>
        </w:rPr>
      </w:pPr>
      <w:r>
        <w:rPr>
          <w:b/>
          <w:u w:val="single"/>
        </w:rPr>
      </w:r>
    </w:p>
    <w:p>
      <w:pPr>
        <w:pStyle w:val="standard"/>
        <w:spacing w:lineRule="auto" w:line="240"/>
        <w:rPr/>
      </w:pPr>
      <w:r>
        <w:rPr/>
        <w:t>Monday, May 21, 2001 at 1:30 p.m.</w:t>
      </w:r>
    </w:p>
    <w:p>
      <w:pPr>
        <w:pStyle w:val="standard"/>
        <w:spacing w:lineRule="auto" w:line="240"/>
        <w:rPr/>
      </w:pPr>
      <w:r>
        <w:rPr/>
        <w:t>Board of Supervisors Chamber</w:t>
      </w:r>
    </w:p>
    <w:p>
      <w:pPr>
        <w:pStyle w:val="standard"/>
        <w:spacing w:lineRule="auto" w:line="240"/>
        <w:rPr/>
      </w:pPr>
      <w:r>
        <w:rPr/>
        <w:t>1600 Pacific Highway, Room 310</w:t>
      </w:r>
    </w:p>
    <w:p>
      <w:pPr>
        <w:pStyle w:val="standard"/>
        <w:spacing w:lineRule="auto" w:line="240"/>
        <w:rPr/>
      </w:pPr>
      <w:r>
        <w:rPr/>
        <w:t>San Diego, California  92101</w:t>
      </w:r>
    </w:p>
    <w:p>
      <w:pPr>
        <w:pStyle w:val="standard"/>
        <w:spacing w:lineRule="auto" w:line="240"/>
        <w:ind w:hanging="0" w:end="0"/>
        <w:rPr/>
      </w:pPr>
      <w:r>
        <w:rPr/>
      </w:r>
    </w:p>
    <w:p>
      <w:pPr>
        <w:pStyle w:val="standard"/>
        <w:spacing w:lineRule="auto" w:line="240"/>
        <w:rPr/>
      </w:pPr>
      <w:r>
        <w:rPr/>
        <w:t>Monday, May 21, 2001 at 7:00 p.m.</w:t>
      </w:r>
    </w:p>
    <w:p>
      <w:pPr>
        <w:pStyle w:val="standard"/>
        <w:spacing w:lineRule="auto" w:line="240"/>
        <w:rPr/>
      </w:pPr>
      <w:r>
        <w:rPr/>
        <w:t>El Cajon Community Center</w:t>
      </w:r>
    </w:p>
    <w:p>
      <w:pPr>
        <w:pStyle w:val="standard"/>
        <w:spacing w:lineRule="auto" w:line="240"/>
        <w:rPr/>
      </w:pPr>
      <w:r>
        <w:rPr/>
        <w:t>195 E. Douglas</w:t>
      </w:r>
    </w:p>
    <w:p>
      <w:pPr>
        <w:pStyle w:val="standard"/>
        <w:spacing w:lineRule="auto" w:line="240"/>
        <w:rPr/>
      </w:pPr>
      <w:r>
        <w:rPr/>
        <w:t>El Cajon, California  92020</w:t>
      </w:r>
    </w:p>
    <w:p>
      <w:pPr>
        <w:pStyle w:val="standard"/>
        <w:spacing w:lineRule="auto" w:line="240"/>
        <w:ind w:hanging="0" w:end="0"/>
        <w:rPr/>
      </w:pPr>
      <w:r>
        <w:rPr/>
      </w:r>
    </w:p>
    <w:p>
      <w:pPr>
        <w:pStyle w:val="standard"/>
        <w:spacing w:lineRule="auto" w:line="240"/>
        <w:rPr/>
      </w:pPr>
      <w:r>
        <w:rPr/>
        <w:t xml:space="preserve">Tuesday, May 22 at 7:00 p.m.  </w:t>
      </w:r>
    </w:p>
    <w:p>
      <w:pPr>
        <w:pStyle w:val="standard"/>
        <w:spacing w:lineRule="auto" w:line="240"/>
        <w:rPr/>
      </w:pPr>
      <w:r>
        <w:rPr/>
        <w:t>Oceanside Community Center</w:t>
      </w:r>
    </w:p>
    <w:p>
      <w:pPr>
        <w:pStyle w:val="standard"/>
        <w:spacing w:lineRule="auto" w:line="240"/>
        <w:rPr/>
      </w:pPr>
      <w:r>
        <w:rPr/>
        <w:t>330 North Coast Highway</w:t>
      </w:r>
    </w:p>
    <w:p>
      <w:pPr>
        <w:pStyle w:val="standard"/>
        <w:spacing w:lineRule="auto" w:line="240"/>
        <w:rPr/>
      </w:pPr>
      <w:r>
        <w:rPr/>
        <w:t>Oceanside, California  92054</w:t>
      </w:r>
    </w:p>
    <w:p>
      <w:pPr>
        <w:pStyle w:val="standard"/>
        <w:spacing w:lineRule="auto" w:line="240"/>
        <w:ind w:hanging="0" w:end="0"/>
        <w:rPr/>
      </w:pPr>
      <w:r>
        <w:rPr/>
      </w:r>
    </w:p>
    <w:p>
      <w:pPr>
        <w:pStyle w:val="standard"/>
        <w:spacing w:lineRule="auto" w:line="240"/>
        <w:rPr>
          <w:b/>
          <w:u w:val="single"/>
        </w:rPr>
      </w:pPr>
      <w:r>
        <w:rPr>
          <w:b/>
          <w:u w:val="single"/>
        </w:rPr>
        <w:t>Evidentiary Hearings:</w:t>
      </w:r>
    </w:p>
    <w:p>
      <w:pPr>
        <w:pStyle w:val="standard"/>
        <w:spacing w:lineRule="auto" w:line="240"/>
        <w:ind w:hanging="0" w:end="0"/>
        <w:rPr>
          <w:b/>
          <w:u w:val="single"/>
        </w:rPr>
      </w:pPr>
      <w:r>
        <w:rPr>
          <w:b/>
          <w:u w:val="single"/>
        </w:rPr>
      </w:r>
    </w:p>
    <w:p>
      <w:pPr>
        <w:pStyle w:val="standard"/>
        <w:spacing w:lineRule="auto" w:line="240"/>
        <w:rPr/>
      </w:pPr>
      <w:r>
        <w:rPr/>
        <w:t>Tuesday, May 22, 2001, Wednesday May 23, 2001 at 9:30 a.m.</w:t>
      </w:r>
    </w:p>
    <w:p>
      <w:pPr>
        <w:pStyle w:val="standard"/>
        <w:spacing w:lineRule="auto" w:line="240"/>
        <w:rPr/>
      </w:pPr>
      <w:r>
        <w:rPr/>
        <w:t>Scottish Rite Center</w:t>
      </w:r>
    </w:p>
    <w:p>
      <w:pPr>
        <w:pStyle w:val="standard"/>
        <w:spacing w:lineRule="auto" w:line="240"/>
        <w:rPr/>
      </w:pPr>
      <w:r>
        <w:rPr/>
        <w:t>The Square and Compass Rooms</w:t>
      </w:r>
    </w:p>
    <w:p>
      <w:pPr>
        <w:pStyle w:val="standard"/>
        <w:spacing w:lineRule="auto" w:line="240"/>
        <w:rPr/>
      </w:pPr>
      <w:r>
        <w:rPr/>
        <w:t>1895 Camino del Rio South</w:t>
      </w:r>
    </w:p>
    <w:p>
      <w:pPr>
        <w:pStyle w:val="standard"/>
        <w:spacing w:lineRule="auto" w:line="240"/>
        <w:rPr/>
      </w:pPr>
      <w:r>
        <w:rPr/>
        <w:t>San Diego, California  92108</w:t>
      </w:r>
    </w:p>
    <w:p>
      <w:pPr>
        <w:pStyle w:val="standard"/>
        <w:spacing w:lineRule="auto" w:line="240"/>
        <w:ind w:hanging="0" w:end="0"/>
        <w:rPr/>
      </w:pPr>
      <w:r>
        <w:rPr/>
      </w:r>
    </w:p>
    <w:p>
      <w:pPr>
        <w:pStyle w:val="standard"/>
        <w:rPr/>
      </w:pPr>
      <w:r>
        <w:rPr/>
        <w:t>These hearings do not pertain to rates for SDG&amp;E’s residential, small commercial, and street lighting customers.  Public participation and evidentiary hearings to address the remaining issues in this proceeding are tentatively scheduled by this ruling, but will be set at a later date, following the PHC set for May 10, 2001.</w:t>
      </w:r>
    </w:p>
    <w:p>
      <w:pPr>
        <w:pStyle w:val="Heading1"/>
        <w:numPr>
          <w:ilvl w:val="0"/>
          <w:numId w:val="2"/>
        </w:numPr>
        <w:spacing w:lineRule="auto" w:line="360" w:before="0" w:after="0"/>
        <w:rPr/>
      </w:pPr>
      <w:r>
        <w:rPr/>
        <w:t>Background</w:t>
      </w:r>
    </w:p>
    <w:p>
      <w:pPr>
        <w:pStyle w:val="standard"/>
        <w:rPr/>
      </w:pPr>
      <w:r>
        <w:rPr/>
        <w:t>AB 265 (Stats. 2000, Ch. 328) was enacted to address the “severe economic hardship because of unprecedented bill volatility and extraordinarily high rate levels” faced by SDG&amp;E’s electric customers.  As an urgency statute, AB 265 took effect on September 7, 2000.  Among other things, AB 265 added § 332.1 to the Pub. Util. Code.  Key provisions of § 332.1 (as first enacted) included the following:</w:t>
      </w:r>
    </w:p>
    <w:p>
      <w:pPr>
        <w:pStyle w:val="standard"/>
        <w:spacing w:lineRule="auto" w:line="240"/>
        <w:ind w:hanging="0" w:start="720" w:end="720"/>
        <w:rPr/>
      </w:pPr>
      <w:r>
        <w:rPr/>
        <w:t>A ceiling of 6.5 cents per kilowatt-hour (kWh) on the energy component of electric bills for SDG&amp;E’s smaller customers.</w:t>
      </w:r>
    </w:p>
    <w:p>
      <w:pPr>
        <w:pStyle w:val="standard"/>
        <w:spacing w:lineRule="auto" w:line="240"/>
        <w:ind w:hanging="0" w:start="720" w:end="720"/>
        <w:rPr/>
      </w:pPr>
      <w:r>
        <w:rPr/>
      </w:r>
    </w:p>
    <w:p>
      <w:pPr>
        <w:pStyle w:val="standard"/>
        <w:spacing w:lineRule="auto" w:line="240"/>
        <w:ind w:hanging="0" w:start="720" w:end="720"/>
        <w:rPr/>
      </w:pPr>
      <w:r>
        <w:rPr/>
        <w:t xml:space="preserve">A requirement that the Commission establish an accounting procedure to track and recover SDG&amp;E’s reasonable and prudent costs otherwise unrecovered due to the ceiling, which shall provide SDG&amp;E a reasonable opportunity to recover such reasonable and prudent costs over a reasonable period of time. </w:t>
      </w:r>
    </w:p>
    <w:p>
      <w:pPr>
        <w:pStyle w:val="standard"/>
        <w:spacing w:lineRule="auto" w:line="240"/>
        <w:ind w:hanging="0" w:start="720" w:end="720"/>
        <w:rPr/>
      </w:pPr>
      <w:r>
        <w:rPr/>
      </w:r>
    </w:p>
    <w:p>
      <w:pPr>
        <w:pStyle w:val="standard"/>
        <w:spacing w:lineRule="auto" w:line="240"/>
        <w:ind w:hanging="0" w:start="720" w:end="720"/>
        <w:rPr/>
      </w:pPr>
      <w:r>
        <w:rPr/>
        <w:t>A requirement that the Commission examine the prudence and reasonableness of SDG&amp;E’s wholesale energy procurement.</w:t>
      </w:r>
    </w:p>
    <w:p>
      <w:pPr>
        <w:pStyle w:val="standard"/>
        <w:spacing w:lineRule="auto" w:line="240"/>
        <w:ind w:hanging="0" w:start="720" w:end="720"/>
        <w:rPr/>
      </w:pPr>
      <w:r>
        <w:rPr/>
      </w:r>
    </w:p>
    <w:p>
      <w:pPr>
        <w:pStyle w:val="standard"/>
        <w:spacing w:lineRule="auto" w:line="240"/>
        <w:ind w:hanging="0" w:start="720" w:end="720"/>
        <w:rPr/>
      </w:pPr>
      <w:r>
        <w:rPr/>
        <w:t xml:space="preserve">A voluntary stabilization program for SDG&amp;E’s larger customers. </w:t>
      </w:r>
    </w:p>
    <w:p>
      <w:pPr>
        <w:pStyle w:val="standard"/>
        <w:spacing w:lineRule="auto" w:line="240"/>
        <w:ind w:hanging="0" w:start="720" w:end="720"/>
        <w:rPr/>
      </w:pPr>
      <w:r>
        <w:rPr/>
      </w:r>
    </w:p>
    <w:p>
      <w:pPr>
        <w:pStyle w:val="standard"/>
        <w:rPr/>
      </w:pPr>
      <w:r>
        <w:rPr/>
        <w:t>The Commission may adjust the ceiling that applies to smaller customers, but only if doing so is found to be in the public interest and consistent with the Legislature’s intent to provide substantial protections to SDG&amp;E’s customers and their interest in just and reasonable rates and adequate service.  In addition, the ceiling may be adjusted only after the required prudence and reasonableness examination is completed.</w:t>
      </w:r>
    </w:p>
    <w:p>
      <w:pPr>
        <w:pStyle w:val="standard"/>
        <w:rPr/>
      </w:pPr>
      <w:r>
        <w:rPr/>
        <w:t>The Commission implemented certain requirements of AB 265 by Decision (D.) 00-09-040 dated September 7, 2000.</w:t>
      </w:r>
      <w:r>
        <w:rPr>
          <w:rStyle w:val="FootnoteCharacters"/>
          <w:rStyle w:val="FootnoteReference"/>
        </w:rPr>
        <w:footnoteReference w:id="3"/>
      </w:r>
      <w:r>
        <w:rPr/>
        <w:t xml:space="preserve">  The Commission established the required voluntary program for SDG&amp;E’s larger customers by D.00-12-033 dated December 7, 2000.</w:t>
      </w:r>
    </w:p>
    <w:p>
      <w:pPr>
        <w:pStyle w:val="standard"/>
        <w:rPr/>
      </w:pPr>
      <w:r>
        <w:rPr/>
        <w:t>In Application (A.) 00-10-045, SDG&amp;E seeks approval for several additional measures to implement AB 265.  These include freezing the energy rate component at the 6.5 cents per kWh ceiling level, authorizing various financial and physical transactions to manage energy procurement, providing guidance with respect to procurement, interpreting the requirement to offset undercollected amounts with revenues from utility generation, determining an undercollection trigger for Commission reevaluation of the balancing account, and establishing an amortization timetable.  In A.01-01-044, SDG&amp;E seeks authority to assess a “Revenue Shortfall Surcharge” (RSS) of 2.3 cents per kWh, which would be applicable to smaller customers and would not apply to CARE rates.  SDG&amp;E proposes the RSS to address unexpectedly high balancing account undercollections due to the rate ceiling and the continued occurrence of extraordinarily high wholesale prices.</w:t>
      </w:r>
    </w:p>
    <w:p>
      <w:pPr>
        <w:pStyle w:val="standard"/>
        <w:rPr/>
      </w:pPr>
      <w:r>
        <w:rPr/>
        <w:t>ABX1 1 (Stats. 2001, Ch. 4) authorizes the California Department of Water Resources (DWR) to procure power for sale to retail customers of California electric utilities.  As indicated by SDG&amp;E at the February 16, 2001 PHC, the commencement of DWR procurement activity had begun to mitigate growth of the undercollection, although there remained uncertainty regarding the extent to which DWR procurement would affect such growth.  (Tr., PHC, pp. 32-33.)</w:t>
      </w:r>
    </w:p>
    <w:p>
      <w:pPr>
        <w:pStyle w:val="standard"/>
        <w:rPr/>
      </w:pPr>
      <w:r>
        <w:rPr/>
        <w:t xml:space="preserve">AB X1 43 makes certain amendments to the rate and bill stabilization plan that was adopted by AB 265, and requires that the Commission take certain specific actions with respect to the stabilization plan.  In particular, § 332.1 as amended requires the Commission to establish a frozen energy rate component for SDG&amp;E’s larger electric customers.  </w:t>
      </w:r>
    </w:p>
    <w:p>
      <w:pPr>
        <w:pStyle w:val="Heading1"/>
        <w:numPr>
          <w:ilvl w:val="0"/>
          <w:numId w:val="2"/>
        </w:numPr>
        <w:spacing w:lineRule="auto" w:line="360" w:before="0" w:after="0"/>
        <w:rPr/>
      </w:pPr>
      <w:r>
        <w:rPr/>
        <w:t>Designation of Proceeding; Notice of Potential Modification to Decisions</w:t>
      </w:r>
    </w:p>
    <w:p>
      <w:pPr>
        <w:pStyle w:val="standard"/>
        <w:rPr/>
      </w:pPr>
      <w:r>
        <w:rPr/>
        <w:t>D.00-09-040 and D.00-12-033 were both issued in I.00-08-002, the Commission’s quasi-legislative investigation into the wholesale electric market and related retail impacts.  However, this consolidated proceeding specifically deals with the implementation of AB 265 and, unlike I.00-08-002, is applicable only to SDG&amp;E.  It therefore is a more appropriate procedural vehicle for considering modifications to those decisions and, more generally, for implementing ABX1 43 and considering other modifications to SDG&amp;E’s electric rates in response to the California electric crisis.</w:t>
      </w:r>
    </w:p>
    <w:p>
      <w:pPr>
        <w:pStyle w:val="standard"/>
        <w:rPr/>
      </w:pPr>
      <w:r>
        <w:rPr/>
        <w:t xml:space="preserve">In accordance with § 1708, parties are hereby notified that D.00-09-040 and D.00-12-033 may be modified by further order in this proceeding.  Such modifications may, but not necessarily will, include adjustments to the rate ceiling and modifications that are necessary or appropriate as a result of the enactment of ABX1 43.  Accordingly, this ruling will be served on the service list for this proceeding as well as the service list for I.00-08-002.  </w:t>
      </w:r>
    </w:p>
    <w:p>
      <w:pPr>
        <w:pStyle w:val="Heading1"/>
        <w:numPr>
          <w:ilvl w:val="0"/>
          <w:numId w:val="2"/>
        </w:numPr>
        <w:spacing w:lineRule="auto" w:line="360" w:before="0" w:after="0"/>
        <w:rPr/>
      </w:pPr>
      <w:r>
        <w:rPr/>
        <w:t>Rates for SDG&amp;E’s Larger Electric Customers</w:t>
      </w:r>
    </w:p>
    <w:p>
      <w:pPr>
        <w:pStyle w:val="standard"/>
        <w:rPr/>
      </w:pPr>
      <w:r>
        <w:rPr/>
        <w:t xml:space="preserve">If approved by the Commission, Item 9 on the Commission’s meeting agenda for May 3, 2001 would establish an initial frozen rate component of 6.5 cents per kWh for SDG&amp;E’s larger customers, and authorize SDG&amp;E to track resulting revenue shortfalls in a memorandum account.  The frozen rate is required by the first sentence of § 332.1(f).  This decision would represent the first step by the Commission to implement the requirements of ABX1 43. </w:t>
      </w:r>
    </w:p>
    <w:p>
      <w:pPr>
        <w:pStyle w:val="standard"/>
        <w:rPr/>
      </w:pPr>
      <w:r>
        <w:rPr/>
        <w:t>The next step will be consideration of adjustments to the frozen rate energy rate component for SDG&amp;E’s larger customers, based on comparisons with the rates of Southern California Edison Company (Edison) and Pacific Gas and Electric Company (PG&amp;E).  Such adjustments are contemplated in the second sentence of § 332.1(f).  Since the Commission is currently considering and may soon adopt tiered electric rate structures for Edison and PG&amp;E, including rates for the larger customers of those utilities, it is anticipated that the “comparable rates” for SDG&amp;E’s larger customers may similarly reflect tiered rate design principles.</w:t>
      </w:r>
    </w:p>
    <w:p>
      <w:pPr>
        <w:pStyle w:val="standard"/>
        <w:rPr/>
      </w:pPr>
      <w:r>
        <w:rPr/>
        <w:t xml:space="preserve">Because Edison and PG&amp;E have recently been granted rate increases, the adoption of “comparable rates” for SDG&amp;E’s larger customers may result in rate increases relative to the initial frozen rate of 6.5 cents per kWh.  However, it does not appear that § 332.1(f) obviates compliance with § 454.  SDG&amp;E should be prepared to show that rate increases pursuant to § 332.1(f) are justified. </w:t>
      </w:r>
    </w:p>
    <w:p>
      <w:pPr>
        <w:pStyle w:val="standard"/>
        <w:rPr/>
      </w:pPr>
      <w:r>
        <w:rPr/>
        <w:t>Related issues will be considered along with possible adjustments to the frozen rate.  These include, but are not necessarily limited to, whether to modify or discontinue the voluntary bill stabilization program for larger customers that was established by D.00-12-033; and appropriate accounting mechanisms, including disposition of the balance in the memorandum account that may be authorized by the Commission upon consideration of Item 9 of the May 3, 2001 meeting agenda.  Also, to the extent not resolved through the advice letter process, the Large Customer phase may consider proposals to revise the criteria by which SDG&amp;E determines whether commercial customers qualify as small commercial customers under AB 265.  As defined in subdivision (e) of § 332.1 for purposes of that section, “small commercial customer” includes, but is not limited to, all accounts on Schedule A, general acute care hospitals, defined categories of schools, and all accounts on Schedule AL-TOU under 100 kW.  The Commission has received an informal proposal that would allow customers whose demand has exceeded 100 kW in the past, but has been reduced to less than 100 kW, to qualify under the definition of small commercial customer without having to meet SDG&amp;E’s current criteria requiring a waiting period to be reclassified.  The Commission has also received an informal proposal that would allow restaurants whose usage at times exceeds 100 kW to qualify as small customers.  I request that SDG&amp;E, and other parties who wish to do so, submit proposals for eliminating or reducing the required waiting period, for customers that have reduced their demand to less than 100 kW, to be classified as a small customers under § 332.1(e).  I further request that SDG&amp;E, and other parties who wish to do so, submit proposals that would allow customers such as restaurants whose usage at times exceeds 100 kW to be classified as a small customers under § 332.1(e).  Such proposals should include definitions of proposed customer classes, such as “restaurant”.</w:t>
      </w:r>
    </w:p>
    <w:p>
      <w:pPr>
        <w:pStyle w:val="standard"/>
        <w:rPr/>
      </w:pPr>
      <w:r>
        <w:rPr/>
        <w:t>Where SDG&amp;E is requested to submit a proposal in this proceeding, SDG&amp;E is not limited to advancing such proposal, but may also submit an alternative or preferred position.</w:t>
      </w:r>
    </w:p>
    <w:p>
      <w:pPr>
        <w:pStyle w:val="standard"/>
        <w:rPr/>
      </w:pPr>
      <w:r>
        <w:rPr/>
        <w:t xml:space="preserve">This ruling establishes the procedures and a schedule for such consideration, including service of prepared testimony and rebuttal testimony, public participation hearings, evidentiary hearings and briefing.  This will be designated the Large Customer phase.  </w:t>
      </w:r>
    </w:p>
    <w:p>
      <w:pPr>
        <w:pStyle w:val="standard"/>
        <w:rPr/>
      </w:pPr>
      <w:r>
        <w:rPr/>
        <w:t>I am persuaded that it is critical for the Commission to expeditiously consider implementation of tiered rates as part of California’s efforts to mitigate the electricity crisis for the coming summer and beyond.  The same considerations that led the Commission to adopt an expedited schedule for consideration of tiered rate structures for Edison and PG&amp;E warrant expedited consideration here.  The procedural schedule attached as Appendix A to this ruling represents such expedited processing.  It is designed to allow for consideration of the anticipated rate design decision for Edison and PG&amp;E, which is scheduled for May 14, 2001.</w:t>
      </w:r>
    </w:p>
    <w:p>
      <w:pPr>
        <w:pStyle w:val="standard"/>
        <w:rPr/>
      </w:pPr>
      <w:r>
        <w:rPr/>
        <w:t xml:space="preserve">SDG&amp;E shall provide notice to its larger electric distribution customers of the following.  </w:t>
      </w:r>
    </w:p>
    <w:p>
      <w:pPr>
        <w:pStyle w:val="standard"/>
        <w:spacing w:lineRule="auto" w:line="240"/>
        <w:ind w:hanging="0" w:start="720" w:end="720"/>
        <w:rPr/>
      </w:pPr>
      <w:r>
        <w:rPr/>
        <w:t>The Commission’s action or potential action with respect to the establishment of an initial frozen electric rate component (Item 9 on the May 3, 2001 agenda).</w:t>
      </w:r>
    </w:p>
    <w:p>
      <w:pPr>
        <w:pStyle w:val="standard"/>
        <w:spacing w:lineRule="auto" w:line="240"/>
        <w:ind w:hanging="0" w:start="720" w:end="720"/>
        <w:rPr/>
      </w:pPr>
      <w:r>
        <w:rPr/>
      </w:r>
    </w:p>
    <w:p>
      <w:pPr>
        <w:pStyle w:val="standard"/>
        <w:spacing w:lineRule="auto" w:line="240"/>
        <w:ind w:hanging="0" w:start="720" w:end="720"/>
        <w:rPr/>
      </w:pPr>
      <w:r>
        <w:rPr/>
        <w:t>Pursuant to § 332.1(f), and based on comparisons of energy components of electric rates of Edison and PG&amp;E for comparable rate classes, the Commission may consider and adopt rate increases relative to the initial frozen rate component, and may adopt tiered rate structures for larger customers.</w:t>
      </w:r>
    </w:p>
    <w:p>
      <w:pPr>
        <w:pStyle w:val="standard"/>
        <w:spacing w:lineRule="auto" w:line="240"/>
        <w:ind w:hanging="0" w:start="720" w:end="720"/>
        <w:rPr/>
      </w:pPr>
      <w:r>
        <w:rPr/>
      </w:r>
    </w:p>
    <w:p>
      <w:pPr>
        <w:pStyle w:val="standard"/>
        <w:spacing w:lineRule="auto" w:line="240"/>
        <w:ind w:hanging="0" w:start="720" w:end="720"/>
        <w:rPr/>
      </w:pPr>
      <w:r>
        <w:rPr/>
        <w:t>Pursuant to § 332.1(f), such rate increases and revised rate structures may be made effective retroactively.</w:t>
      </w:r>
    </w:p>
    <w:p>
      <w:pPr>
        <w:pStyle w:val="standard"/>
        <w:spacing w:lineRule="auto" w:line="240"/>
        <w:ind w:hanging="0" w:start="720" w:end="720"/>
        <w:rPr/>
      </w:pPr>
      <w:r>
        <w:rPr/>
      </w:r>
    </w:p>
    <w:p>
      <w:pPr>
        <w:pStyle w:val="standard"/>
        <w:spacing w:lineRule="auto" w:line="240"/>
        <w:ind w:hanging="0" w:start="720" w:end="720"/>
        <w:rPr/>
      </w:pPr>
      <w:r>
        <w:rPr/>
        <w:t>The Commission may consider proposals to modify or eliminate the current voluntary stabilization program, proposals regarding the definition of small commercial customer, and proposals with respect to accounting mechanisms and mechanisms for recovery of undercollections.</w:t>
      </w:r>
    </w:p>
    <w:p>
      <w:pPr>
        <w:pStyle w:val="standard"/>
        <w:spacing w:lineRule="auto" w:line="240"/>
        <w:ind w:hanging="0" w:start="720" w:end="720"/>
        <w:rPr/>
      </w:pPr>
      <w:r>
        <w:rPr/>
      </w:r>
    </w:p>
    <w:p>
      <w:pPr>
        <w:pStyle w:val="standard"/>
        <w:spacing w:lineRule="auto" w:line="240"/>
        <w:ind w:hanging="0" w:start="720" w:end="720"/>
        <w:rPr/>
      </w:pPr>
      <w:r>
        <w:rPr/>
        <w:t>The date, time, location, and purpose of the public participation hearings.</w:t>
      </w:r>
    </w:p>
    <w:p>
      <w:pPr>
        <w:pStyle w:val="standard"/>
        <w:spacing w:lineRule="auto" w:line="240"/>
        <w:ind w:hanging="0" w:start="720" w:end="720"/>
        <w:rPr/>
      </w:pPr>
      <w:r>
        <w:rPr/>
      </w:r>
    </w:p>
    <w:p>
      <w:pPr>
        <w:pStyle w:val="standard"/>
        <w:rPr/>
      </w:pPr>
      <w:r>
        <w:rPr/>
        <w:t>Notice may be accomplished either by billing envelope insert or by a separate mailing.  SDG&amp;E should consult with the Commission’s Public Advisor, Los Angeles office, as to the form, content, and means of presentation of such notice.  Notice shall be accomplished by mailing to affected customers no later than 10 days prior to the first scheduled public participation hearing.</w:t>
      </w:r>
    </w:p>
    <w:p>
      <w:pPr>
        <w:pStyle w:val="Heading1"/>
        <w:numPr>
          <w:ilvl w:val="0"/>
          <w:numId w:val="2"/>
        </w:numPr>
        <w:spacing w:lineRule="auto" w:line="360" w:before="0" w:after="0"/>
        <w:rPr/>
      </w:pPr>
      <w:r>
        <w:rPr/>
        <w:t>Tiered Rate Design and Related Issues for Smaller Customers</w:t>
      </w:r>
    </w:p>
    <w:p>
      <w:pPr>
        <w:pStyle w:val="standard"/>
        <w:rPr/>
      </w:pPr>
      <w:r>
        <w:rPr/>
        <w:t>The March 26, 2001 Assigned Commissioner’s Ruling (ACR) of President Loretta M. Lynch, issued in the rate stabilization proceeding for Edison and PG&amp;E (A.00-11-038 et al.), set forth an illustrative proposed tiered electric rate design for SDG&amp;E as well as Edison and PG&amp;E.  The March 26 ACR also set a PHC in that proceeding for April 2, 2001.  My ruling of March 29, 2001 in this docket set a PHC on tiered rate design to be heard on a common record with the April 2 PHC in A.00-11-038 et al.  A subsequent ACR issued in A.00-11-038 et al. on April 11, 2001 determined that rate design issues for SDG&amp;E would be addressed under a separate procedural process and schedule, and that further direction would be provided by later ruling.  This ruling provides such direction.</w:t>
      </w:r>
    </w:p>
    <w:p>
      <w:pPr>
        <w:pStyle w:val="standard"/>
        <w:rPr/>
      </w:pPr>
      <w:r>
        <w:rPr/>
        <w:t>The scope of this proceeding includes tiered rate design proposals for SDG&amp;E’s smaller customers.  This includes the extent to which rate design principles that may be adopted by the Commission in A.00-11-038 et al. with respect to Edison and PG&amp;E are appropriately applied to SDG&amp;E.</w:t>
      </w:r>
      <w:r>
        <w:rPr>
          <w:rStyle w:val="FootnoteCharacters"/>
          <w:rStyle w:val="FootnoteReference"/>
        </w:rPr>
        <w:footnoteReference w:id="4"/>
      </w:r>
      <w:r>
        <w:rPr/>
        <w:t xml:space="preserve">  At the April 2, 2001 PHC, SDG&amp;E suggested that tiered rate design in conjunction with its proposed RSS is inappropriate because the RSS is intended to recover deferred customer obligations.  This concern may be addressed as part of the broader consideration of tiered rate design for SDG&amp;E’s smaller customers.</w:t>
      </w:r>
    </w:p>
    <w:p>
      <w:pPr>
        <w:pStyle w:val="standard"/>
        <w:rPr/>
      </w:pPr>
      <w:r>
        <w:rPr/>
        <w:t>While there is a need to expedite consideration of tiered rate design for SDG&amp;E’s smaller customers as part of California’s efforts to mitigate the energy crisis, the 6.5 cents per kWh ceiling that was established by AB 265 and continued in effect by ABX143 governs.  As noted elsewhere, the Commission may not adjust the ceiling for SDG&amp;E’s smaller customers until it completes the required prudence review.  Adoption of any adjustments to the rate ceiling will therefore be coordinated with completion of the prudence and reasonableness examination currently underway in A.00-10-008.  Because the ceiling limits the Commission’s ability to adopt tiered rate design as well as rate increases (including SDG&amp;E’s proposed RSS), consideration of tiered rate design will be subject to the same schedule adopted for consideration of the RSS and other issues.</w:t>
      </w:r>
    </w:p>
    <w:p>
      <w:pPr>
        <w:pStyle w:val="standard"/>
        <w:rPr/>
      </w:pPr>
      <w:r>
        <w:rPr/>
        <w:t>In conjunction with consideration of tiered rate design for SDG&amp;E’s smaller customers, I request that SDG&amp;E, and other parties who wish to do so, submit proposals for increasing the residential electric rate baseline allowances for the hottest climates within SDG&amp;E’s electric service territory.  An increased baseline allowance would have the effect of reducing rates or mitigating increases for affected customers.  The purpose of creating an additional climate zone with greater baseline allowances than currently provided would be to provide meaningful rate protection for residential customers who must rely heavily upon electricity consumption for air conditioning, heat pumps, and other means of residential climate control to meet their basic living needs.</w:t>
      </w:r>
    </w:p>
    <w:p>
      <w:pPr>
        <w:pStyle w:val="Heading1"/>
        <w:numPr>
          <w:ilvl w:val="0"/>
          <w:numId w:val="2"/>
        </w:numPr>
        <w:spacing w:lineRule="auto" w:line="360" w:before="0" w:after="0"/>
        <w:rPr/>
      </w:pPr>
      <w:r>
        <w:rPr/>
        <w:t>The RSS and other Remaining Issues</w:t>
      </w:r>
    </w:p>
    <w:p>
      <w:pPr>
        <w:pStyle w:val="standard"/>
        <w:rPr/>
      </w:pPr>
      <w:r>
        <w:rPr/>
        <w:t>Having carefully reviewed the briefs on the authority of the Commission to impose or approve a rate increase before having completed the required prudence and reasonableness review, I am persuaded that the Commission is not authorized to approve an interim surcharge that would result in the energy component of rates for smaller customers exceeding 6.5 cents per kWh until the examination required by § 332.1(g) is completed.  The issues related to SDG&amp;E’s RSS request and other issues in this proceeding include the following:</w:t>
      </w:r>
    </w:p>
    <w:p>
      <w:pPr>
        <w:pStyle w:val="standard"/>
        <w:spacing w:lineRule="auto" w:line="240"/>
        <w:ind w:hanging="0" w:start="720" w:end="720"/>
        <w:rPr/>
      </w:pPr>
      <w:r>
        <w:rPr/>
        <w:t>Taking into account the statutory requirements, SDG&amp;E’s creditworthiness, and the impact of rate increases on customers and the community, what adjustments to ceiling might be appropriate?  This includes whether the Commission should authorize implementation of a surcharge to recover the revenue shortfall, i.e., undercollections in SDG&amp;E’s Energy Rate Ceiling Revenue Shortfall Account (ERCRSA) and Purchased Energy Commodity Account (PECA).</w:t>
      </w:r>
    </w:p>
    <w:p>
      <w:pPr>
        <w:pStyle w:val="standard"/>
        <w:spacing w:lineRule="auto" w:line="240"/>
        <w:ind w:hanging="0" w:start="720" w:end="720"/>
        <w:rPr/>
      </w:pPr>
      <w:r>
        <w:rPr/>
      </w:r>
    </w:p>
    <w:p>
      <w:pPr>
        <w:pStyle w:val="standard"/>
        <w:spacing w:lineRule="auto" w:line="240"/>
        <w:ind w:hanging="0" w:start="720" w:end="720"/>
        <w:rPr/>
      </w:pPr>
      <w:r>
        <w:rPr/>
        <w:t>Quantification of the total current undercollection and projected undercollections at the end of 2001 and 2002.</w:t>
      </w:r>
    </w:p>
    <w:p>
      <w:pPr>
        <w:pStyle w:val="standard"/>
        <w:spacing w:lineRule="auto" w:line="240"/>
        <w:ind w:hanging="0" w:start="720" w:end="720"/>
        <w:rPr/>
      </w:pPr>
      <w:r>
        <w:rPr/>
      </w:r>
    </w:p>
    <w:p>
      <w:pPr>
        <w:pStyle w:val="standard"/>
        <w:spacing w:lineRule="auto" w:line="240"/>
        <w:ind w:hanging="0" w:start="720" w:end="720"/>
        <w:rPr/>
      </w:pPr>
      <w:r>
        <w:rPr/>
        <w:t>Determination of the amortization period.</w:t>
      </w:r>
    </w:p>
    <w:p>
      <w:pPr>
        <w:pStyle w:val="standard"/>
        <w:spacing w:lineRule="auto" w:line="240"/>
        <w:ind w:hanging="0" w:start="720" w:end="720"/>
        <w:rPr/>
      </w:pPr>
      <w:r>
        <w:rPr/>
      </w:r>
    </w:p>
    <w:p>
      <w:pPr>
        <w:pStyle w:val="standard"/>
        <w:spacing w:lineRule="auto" w:line="240"/>
        <w:ind w:hanging="0" w:start="720" w:end="720"/>
        <w:rPr/>
      </w:pPr>
      <w:r>
        <w:rPr/>
        <w:t>Quantification of the surcharge required to amortize the current and projected undercollection.</w:t>
      </w:r>
    </w:p>
    <w:p>
      <w:pPr>
        <w:pStyle w:val="standard"/>
        <w:spacing w:lineRule="auto" w:line="240"/>
        <w:ind w:hanging="0" w:start="720" w:end="720"/>
        <w:rPr/>
      </w:pPr>
      <w:r>
        <w:rPr/>
      </w:r>
    </w:p>
    <w:p>
      <w:pPr>
        <w:pStyle w:val="standard"/>
        <w:spacing w:lineRule="auto" w:line="240"/>
        <w:ind w:hanging="0" w:start="720" w:end="720"/>
        <w:rPr/>
      </w:pPr>
      <w:r>
        <w:rPr/>
        <w:t>The appropriate mechanism for reviewing procurement cost accounting, and, if justified, adjusting the surcharge every six months.</w:t>
      </w:r>
    </w:p>
    <w:p>
      <w:pPr>
        <w:pStyle w:val="standard"/>
        <w:spacing w:lineRule="auto" w:line="240"/>
        <w:ind w:hanging="0" w:start="720" w:end="720"/>
        <w:rPr/>
      </w:pPr>
      <w:r>
        <w:rPr/>
      </w:r>
    </w:p>
    <w:p>
      <w:pPr>
        <w:pStyle w:val="standard"/>
        <w:spacing w:lineRule="auto" w:line="240"/>
        <w:ind w:hanging="0" w:start="720" w:end="720"/>
        <w:rPr/>
      </w:pPr>
      <w:r>
        <w:rPr/>
        <w:t>How the Commission should interpret § 332.1(c), and in particular the requirement that the accounting procedure for the ceiling shall utilize revenues associated with sales of energy from utility-owned or managed generation assets to offset an undercollection, if an undercollection occurs.</w:t>
      </w:r>
    </w:p>
    <w:p>
      <w:pPr>
        <w:pStyle w:val="standard"/>
        <w:spacing w:lineRule="auto" w:line="240"/>
        <w:ind w:hanging="0" w:start="720" w:end="720"/>
        <w:rPr/>
      </w:pPr>
      <w:r>
        <w:rPr/>
      </w:r>
    </w:p>
    <w:p>
      <w:pPr>
        <w:pStyle w:val="standard"/>
        <w:spacing w:lineRule="auto" w:line="240"/>
        <w:ind w:hanging="0" w:start="720" w:end="720"/>
        <w:rPr/>
      </w:pPr>
      <w:r>
        <w:rPr/>
        <w:t>Whether the 6.5 cents rate ceiling should be made into a rate freeze.</w:t>
      </w:r>
    </w:p>
    <w:p>
      <w:pPr>
        <w:pStyle w:val="standard"/>
        <w:spacing w:lineRule="auto" w:line="240"/>
        <w:ind w:hanging="0" w:start="720" w:end="720"/>
        <w:rPr/>
      </w:pPr>
      <w:r>
        <w:rPr/>
      </w:r>
    </w:p>
    <w:p>
      <w:pPr>
        <w:pStyle w:val="standard"/>
        <w:spacing w:lineRule="auto" w:line="240"/>
        <w:ind w:hanging="0" w:start="720" w:end="720"/>
        <w:rPr/>
      </w:pPr>
      <w:r>
        <w:rPr/>
        <w:t>Whether the Commission should establish a trigger amount that will lead to Commission review of the balancing account.</w:t>
      </w:r>
    </w:p>
    <w:p>
      <w:pPr>
        <w:pStyle w:val="standard"/>
        <w:spacing w:lineRule="auto" w:line="240"/>
        <w:ind w:hanging="0" w:start="720" w:end="720"/>
        <w:rPr/>
      </w:pPr>
      <w:r>
        <w:rPr/>
      </w:r>
    </w:p>
    <w:p>
      <w:pPr>
        <w:pStyle w:val="standard"/>
        <w:spacing w:lineRule="auto" w:line="240"/>
        <w:ind w:hanging="0" w:start="720" w:end="720"/>
        <w:rPr/>
      </w:pPr>
      <w:r>
        <w:rPr/>
        <w:t>Whether SDG&amp;E should be authorized to utilize a full range of available physical and financial tools to manage its energy procurement activities.</w:t>
      </w:r>
    </w:p>
    <w:p>
      <w:pPr>
        <w:pStyle w:val="standard"/>
        <w:spacing w:lineRule="auto" w:line="240"/>
        <w:ind w:hanging="0" w:start="720" w:end="720"/>
        <w:rPr/>
      </w:pPr>
      <w:r>
        <w:rPr/>
      </w:r>
    </w:p>
    <w:p>
      <w:pPr>
        <w:pStyle w:val="standard"/>
        <w:spacing w:lineRule="auto" w:line="240"/>
        <w:ind w:hanging="0" w:start="720" w:end="720"/>
        <w:rPr/>
      </w:pPr>
      <w:r>
        <w:rPr/>
        <w:t>Guidance on the exercise of the SDG&amp;E procurement function.</w:t>
      </w:r>
    </w:p>
    <w:p>
      <w:pPr>
        <w:pStyle w:val="standard"/>
        <w:spacing w:lineRule="auto" w:line="240"/>
        <w:ind w:hanging="0" w:start="720" w:end="720"/>
        <w:rPr/>
      </w:pPr>
      <w:r>
        <w:rPr/>
      </w:r>
    </w:p>
    <w:p>
      <w:pPr>
        <w:pStyle w:val="standard"/>
        <w:spacing w:lineRule="auto" w:line="240"/>
        <w:ind w:hanging="0" w:start="720" w:end="720"/>
        <w:rPr/>
      </w:pPr>
      <w:r>
        <w:rPr/>
        <w:t>Matters raised as a result of the financial review of SDG&amp;E pursuant to the April 6, 2001 ACR directing such a review, including but not limited to balancing account balances and cash flows among and between SDG&amp;E and its parent and affiliated companies.</w:t>
      </w:r>
    </w:p>
    <w:p>
      <w:pPr>
        <w:pStyle w:val="standard"/>
        <w:spacing w:lineRule="auto" w:line="240"/>
        <w:ind w:hanging="0" w:start="720" w:end="720"/>
        <w:rPr/>
      </w:pPr>
      <w:r>
        <w:rPr/>
      </w:r>
    </w:p>
    <w:p>
      <w:pPr>
        <w:pStyle w:val="standard"/>
        <w:spacing w:lineRule="auto" w:line="240"/>
        <w:ind w:hanging="0" w:start="720" w:end="720"/>
        <w:rPr/>
      </w:pPr>
      <w:r>
        <w:rPr/>
        <w:t>Matters raised in the March 28, 2001 motion of the Office of Ratepayer Advocates to compel SDG&amp;E to comply with AB 265 and D.01-01-061, to the extent such issues are not litigated and resolved in A.00-10-008 et al.</w:t>
      </w:r>
    </w:p>
    <w:p>
      <w:pPr>
        <w:pStyle w:val="standard"/>
        <w:spacing w:lineRule="auto" w:line="240"/>
        <w:ind w:hanging="0" w:start="720" w:end="720"/>
        <w:rPr/>
      </w:pPr>
      <w:r>
        <w:rPr/>
      </w:r>
    </w:p>
    <w:p>
      <w:pPr>
        <w:pStyle w:val="standard"/>
        <w:spacing w:lineRule="auto" w:line="240"/>
        <w:ind w:hanging="0" w:start="720" w:end="720"/>
        <w:rPr/>
      </w:pPr>
      <w:r>
        <w:rPr/>
        <w:t>Matters related to the implementation of ABX1 1, which may include the Fixed DWR set aside, to the extent not litigated and resolved in other proceedings.</w:t>
      </w:r>
    </w:p>
    <w:p>
      <w:pPr>
        <w:pStyle w:val="standard"/>
        <w:spacing w:lineRule="auto" w:line="240"/>
        <w:ind w:hanging="0" w:start="720" w:end="720"/>
        <w:rPr/>
      </w:pPr>
      <w:r>
        <w:rPr/>
      </w:r>
    </w:p>
    <w:p>
      <w:pPr>
        <w:pStyle w:val="standard"/>
        <w:rPr/>
      </w:pPr>
      <w:r>
        <w:rPr/>
        <w:t>As provided in the tentative schedule (Appendix B), SDG&amp;E should update its RSS testimony and submit prepared testimony in support of its requests for implementing AB 265.</w:t>
      </w:r>
    </w:p>
    <w:p>
      <w:pPr>
        <w:pStyle w:val="Heading1"/>
        <w:numPr>
          <w:ilvl w:val="0"/>
          <w:numId w:val="2"/>
        </w:numPr>
        <w:spacing w:lineRule="auto" w:line="360" w:before="0" w:after="0"/>
        <w:rPr/>
      </w:pPr>
      <w:r>
        <w:rPr/>
        <w:t>Category of Proceeding and Need for Hearing</w:t>
      </w:r>
    </w:p>
    <w:p>
      <w:pPr>
        <w:pStyle w:val="standard"/>
        <w:rPr/>
      </w:pPr>
      <w:r>
        <w:rPr/>
        <w:t>SDG&amp;E proposes that both applications be categorized as ratesetting.  This ruling confirms the Commission’s preliminary determinations that these applications are ratesetting.  As noted by several parties, hearings are required.</w:t>
      </w:r>
    </w:p>
    <w:p>
      <w:pPr>
        <w:pStyle w:val="Heading1"/>
        <w:numPr>
          <w:ilvl w:val="0"/>
          <w:numId w:val="2"/>
        </w:numPr>
        <w:spacing w:lineRule="auto" w:line="360" w:before="0" w:after="0"/>
        <w:rPr/>
      </w:pPr>
      <w:r>
        <w:rPr/>
        <w:t>Principal Hearing Officer</w:t>
      </w:r>
    </w:p>
    <w:p>
      <w:pPr>
        <w:pStyle w:val="standard"/>
        <w:rPr>
          <w:highlight w:val="yellow"/>
        </w:rPr>
      </w:pPr>
      <w:r>
        <w:rPr/>
        <w:t>Assigned Administrative Law Judge (ALJ) Mark Wetzell is hereby designated as the principal hearing officer in this proceeding.</w:t>
      </w:r>
    </w:p>
    <w:p>
      <w:pPr>
        <w:pStyle w:val="Heading1"/>
        <w:numPr>
          <w:ilvl w:val="0"/>
          <w:numId w:val="2"/>
        </w:numPr>
        <w:tabs>
          <w:tab w:val="clear" w:pos="720"/>
          <w:tab w:val="left" w:pos="540" w:leader="none"/>
        </w:tabs>
        <w:spacing w:lineRule="auto" w:line="360" w:before="0" w:after="0"/>
        <w:ind w:hanging="540" w:start="540" w:end="0"/>
        <w:rPr/>
      </w:pPr>
      <w:r>
        <w:rPr/>
        <w:t>Schedule</w:t>
      </w:r>
    </w:p>
    <w:p>
      <w:pPr>
        <w:pStyle w:val="standard"/>
        <w:rPr/>
      </w:pPr>
      <w:r>
        <w:rPr/>
        <w:t>The schedule for the Large Customer phase set forth in Appendix A to this ruling is hereby adopted.  The tentative schedule for consideration of all other issues is set forth in Appendix B to this ruling.  Any amendments to the tentative schedule that may be necessary may be taken up at the May 10, 2001 PHC.  The Assigned Commissioner and the principal hearing officer may make further adjustments to the schedules as necessary.</w:t>
      </w:r>
    </w:p>
    <w:p>
      <w:pPr>
        <w:pStyle w:val="Heading1"/>
        <w:numPr>
          <w:ilvl w:val="0"/>
          <w:numId w:val="2"/>
        </w:numPr>
        <w:tabs>
          <w:tab w:val="clear" w:pos="720"/>
          <w:tab w:val="left" w:pos="540" w:leader="none"/>
        </w:tabs>
        <w:spacing w:lineRule="auto" w:line="360" w:before="0" w:after="0"/>
        <w:ind w:hanging="540" w:start="540" w:end="0"/>
        <w:rPr/>
      </w:pPr>
      <w:r>
        <w:rPr/>
        <w:t>Final Oral Argument</w:t>
      </w:r>
    </w:p>
    <w:p>
      <w:pPr>
        <w:pStyle w:val="standard"/>
        <w:rPr/>
      </w:pPr>
      <w:r>
        <w:rPr/>
        <w:t>Pursuant to Rule 8(d), parties have the right to make a final oral argument before the Commission, if the final oral argument is requested within the time and manner specified in the scoping memo or later ruling.  Any party seeking to present final oral argument shall make a request therefor by letter to the ALJ, which shall be submitted on the date set for opening briefs.  This procedure applies to both phases of this proceeding.</w:t>
      </w:r>
    </w:p>
    <w:p>
      <w:pPr>
        <w:pStyle w:val="Heading1"/>
        <w:numPr>
          <w:ilvl w:val="0"/>
          <w:numId w:val="2"/>
        </w:numPr>
        <w:tabs>
          <w:tab w:val="clear" w:pos="720"/>
          <w:tab w:val="left" w:pos="540" w:leader="none"/>
        </w:tabs>
        <w:spacing w:lineRule="auto" w:line="360" w:before="0" w:after="0"/>
        <w:ind w:hanging="540" w:start="540" w:end="0"/>
        <w:rPr/>
      </w:pPr>
      <w:r>
        <w:rPr/>
        <w:t>Ex Parte Communications</w:t>
      </w:r>
    </w:p>
    <w:p>
      <w:pPr>
        <w:pStyle w:val="standard"/>
        <w:rPr/>
      </w:pPr>
      <w:r>
        <w:rPr/>
        <w:t xml:space="preserve">Parties should consult the Commission’s Rules of Practice and Procedure, which are available on the Commission’s website at </w:t>
      </w:r>
      <w:hyperlink r:id="rId2">
        <w:r>
          <w:rPr>
            <w:rStyle w:val="Hyperlink"/>
          </w:rPr>
          <w:t>www.cpuc.ca.gov</w:t>
        </w:r>
      </w:hyperlink>
      <w:r>
        <w:rPr/>
        <w:t xml:space="preserve">.  Ex parte communications are prohibited in ratesetting cases unless conducted according to the requirements of § 1701.3(c) and Rule 7. </w:t>
      </w:r>
    </w:p>
    <w:p>
      <w:pPr>
        <w:pStyle w:val="Heading1"/>
        <w:numPr>
          <w:ilvl w:val="0"/>
          <w:numId w:val="2"/>
        </w:numPr>
        <w:tabs>
          <w:tab w:val="clear" w:pos="720"/>
          <w:tab w:val="left" w:pos="540" w:leader="none"/>
        </w:tabs>
        <w:spacing w:lineRule="auto" w:line="360" w:before="0" w:after="0"/>
        <w:ind w:hanging="540" w:start="540" w:end="0"/>
        <w:rPr/>
      </w:pPr>
      <w:r>
        <w:rPr/>
        <w:t>Intervenor Compensation</w:t>
      </w:r>
    </w:p>
    <w:p>
      <w:pPr>
        <w:pStyle w:val="standard"/>
        <w:rPr/>
      </w:pPr>
      <w:r>
        <w:rPr/>
        <w:t>The first PHC in this matter was held on February 16, 2001.  Pursuant to Pub. Util. Code § 1804(a)(1), a customer who intends to seek an award of intervenor compensation must file and serve a notice of intent (NOI) to claim compensation no later than 30 days thereafter.  However, the statute further provides that “where new issues emerge subsequent to the time set for filing, the commission may determine an appropriate procedure for accepting new or revised notices of intent.”  Because the scope of this proceeding has been expanded pursuant to ABX1 43, and to consider tiered rate design and proposals for modified baseline allowances, NOIs may be filed within 30 days of the date of this ruling by parties who intend to address the issues added to the proceeding after the February 16, 2001 PHC.</w:t>
      </w:r>
    </w:p>
    <w:p>
      <w:pPr>
        <w:pStyle w:val="standard"/>
        <w:rPr/>
      </w:pPr>
      <w:r>
        <w:rPr/>
        <w:t xml:space="preserve">Aglet Consumer Alliance (Aglet), an unincorporated nonprofit association registered with the State of California, timely filed an NOI on March 12, 2001.  Pursuant to D.98-04-059, Aglet has demonstrated that it meets the statutory definition of customer (§ 1802(b)) as a group authorized pursuant to its articles of organization and bylaws to represent and advocate the interests of residential and small commercial customers of California utilities.  As further required by D.98-04-059, Aglet has made appropriate reference to the filing of its articles and bylaws in A.99-03-014 and has indicated that all of its members are residential ratepayers, and that approximately 30% also operate small businesses with separate utility service.  </w:t>
      </w:r>
    </w:p>
    <w:p>
      <w:pPr>
        <w:pStyle w:val="standard"/>
        <w:rPr/>
      </w:pPr>
      <w:r>
        <w:rPr/>
        <w:t xml:space="preserve">D.98-04-059 directs customers to address in their NOIs whether they represent customer interests that would otherwise be underrepresented.  Aglet notes that it is one of three parties that will act specifically on behalf of residential and small commercial customers in this proceeding.  Aglet believes that it will complement, and not duplicate, the showings of other parties.  Aglet intends to continue coordinating its advocacy efforts with those of other consumer parties.  </w:t>
      </w:r>
    </w:p>
    <w:p>
      <w:pPr>
        <w:pStyle w:val="standard"/>
        <w:rPr/>
      </w:pPr>
      <w:r>
        <w:rPr/>
        <w:t xml:space="preserve">Pursuant § 1804(a)(2)(A)(i), Aglet states that it plans to actively participate by conducting discovery, preparing and defending testimony, cross-examining other witnesses, and filing briefs and comments.  Aglet notes that it has already participated by filing a PHC statement and attending an all-party meeting.  Pursuant § 1804(a)(2)(A)(ii), Aglet submitted an itemized breakdown of the total estimated compensation of $13,800 that it expects to request.  This ruling makes no affirmative findings regarding the reasonableness of the total or any component of the estimate.  </w:t>
      </w:r>
    </w:p>
    <w:p>
      <w:pPr>
        <w:pStyle w:val="standard"/>
        <w:rPr/>
      </w:pPr>
      <w:r>
        <w:rPr/>
        <w:t xml:space="preserve">Aglet elected to include a showing that participation without compensation would pose a significant financial hardship as defined in § 1802(g).  Aglet states that typical residential gas and electric bills are on the order of $1,000 annually, which is far less than Aglet’s estimated cost of participation.  Aglet has provided adequate support for a finding that the economic interest of its individual members is small in comparison to the costs of their effective participation in the proceeding.  In addition, Aglet states that a September 22, 2000 ruling in A.99-09-029 establishes a rebuttable presumption of eligibility under § 1804(b)(1).  </w:t>
      </w:r>
    </w:p>
    <w:p>
      <w:pPr>
        <w:pStyle w:val="standard"/>
        <w:rPr/>
      </w:pPr>
      <w:r>
        <w:rPr/>
        <w:t xml:space="preserve">Based upon the foregoing, Aglet is eligible to file for an award of intervenor compensation at the conclusion of this proceeding.  A showing of significant financial hardship is a necessary but not a sufficient condition for an award of compensation.  Any award is contingent upon a future showing that the intervenor has made a substantial contribution to this proceeding, as required by statute.  </w:t>
      </w:r>
    </w:p>
    <w:p>
      <w:pPr>
        <w:pStyle w:val="Heading1"/>
        <w:numPr>
          <w:ilvl w:val="0"/>
          <w:numId w:val="2"/>
        </w:numPr>
        <w:tabs>
          <w:tab w:val="clear" w:pos="720"/>
          <w:tab w:val="left" w:pos="540" w:leader="none"/>
        </w:tabs>
        <w:spacing w:lineRule="auto" w:line="360" w:before="0" w:after="0"/>
        <w:ind w:hanging="540" w:start="540" w:end="0"/>
        <w:rPr/>
      </w:pPr>
      <w:r>
        <w:rPr/>
        <w:t>Procedures for Service of Documents</w:t>
      </w:r>
    </w:p>
    <w:p>
      <w:pPr>
        <w:pStyle w:val="standard"/>
        <w:rPr/>
      </w:pPr>
      <w:r>
        <w:rPr/>
        <w:t>The service list for this proceeding may be retrieved from the Commission’s website or by calling the Commission’s Process Office at (415) 703</w:t>
        <w:noBreakHyphen/>
        <w:t>2021.</w:t>
      </w:r>
    </w:p>
    <w:p>
      <w:pPr>
        <w:pStyle w:val="standard"/>
        <w:rPr/>
      </w:pPr>
      <w:r>
        <w:rPr/>
        <w:t>At the PHC, parties indicated their willingness to make and accept service by electronic means in lieu of paper documents.  In accordance with Rule 2.3(b), I direct that service of filed documents (such as briefs, motions, comments, notices of intent to claim compensation) may be made by electronic means.  Transmittal should be completed by the close of business, i.e., 5:00 p.m., on the due date for the document.</w:t>
      </w:r>
    </w:p>
    <w:p>
      <w:pPr>
        <w:pStyle w:val="standard"/>
        <w:rPr/>
      </w:pPr>
      <w:r>
        <w:rPr/>
        <w:t>Parties have an affirmative obligation to ensure that their e-mail addresses as they appear in the official service list are correct.  Parties should alert the ALJ to any problems that may arise in connection with electronic distribution of documents.  If so requested by the sending party, receiving parties should confirm that they have received an electronic document and successfully opened the file(s).  Consistent with the discussion at the first PHC, the practice of including multiple electronic file attachments should be minimized to the extent feasible.</w:t>
      </w:r>
    </w:p>
    <w:p>
      <w:pPr>
        <w:pStyle w:val="standard"/>
        <w:keepNext w:val="true"/>
        <w:rPr/>
      </w:pPr>
      <w:r>
        <w:rPr>
          <w:b/>
        </w:rPr>
        <w:t>IT IS RULED</w:t>
      </w:r>
      <w:r>
        <w:rPr/>
        <w:t xml:space="preserve"> that:</w:t>
      </w:r>
    </w:p>
    <w:p>
      <w:pPr>
        <w:pStyle w:val="num1"/>
        <w:keepNext w:val="true"/>
        <w:keepLines/>
        <w:numPr>
          <w:ilvl w:val="0"/>
          <w:numId w:val="3"/>
        </w:numPr>
        <w:rPr/>
      </w:pPr>
      <w:r>
        <w:rPr>
          <w:rFonts w:eastAsia="Palatino"/>
        </w:rPr>
        <w:t xml:space="preserve">  </w:t>
      </w:r>
      <w:r>
        <w:rPr/>
        <w:t xml:space="preserve">The scope of this proceeding is as set forth in the foregoing discussion. </w:t>
      </w:r>
    </w:p>
    <w:p>
      <w:pPr>
        <w:pStyle w:val="num1"/>
        <w:keepNext w:val="true"/>
        <w:keepLines/>
        <w:numPr>
          <w:ilvl w:val="0"/>
          <w:numId w:val="3"/>
        </w:numPr>
        <w:rPr/>
      </w:pPr>
      <w:r>
        <w:rPr>
          <w:rFonts w:eastAsia="Palatino"/>
        </w:rPr>
        <w:t xml:space="preserve">  </w:t>
      </w:r>
      <w:r>
        <w:rPr/>
        <w:t>Pursuant to § 1708, parties are hereby notified that Decision (D.) 00-09-040 and D.00-12-033, both of which were issued in I.00-08-002, may be modified by further order in this proceeding.</w:t>
      </w:r>
    </w:p>
    <w:p>
      <w:pPr>
        <w:pStyle w:val="num1"/>
        <w:keepNext w:val="true"/>
        <w:keepLines/>
        <w:numPr>
          <w:ilvl w:val="0"/>
          <w:numId w:val="3"/>
        </w:numPr>
        <w:rPr/>
      </w:pPr>
      <w:r>
        <w:rPr>
          <w:rFonts w:eastAsia="Palatino"/>
        </w:rPr>
        <w:t xml:space="preserve">  </w:t>
      </w:r>
      <w:r>
        <w:rPr/>
        <w:t>This proceeding is categorized as ratesetting.</w:t>
      </w:r>
    </w:p>
    <w:p>
      <w:pPr>
        <w:pStyle w:val="num1"/>
        <w:numPr>
          <w:ilvl w:val="0"/>
          <w:numId w:val="3"/>
        </w:numPr>
        <w:rPr/>
      </w:pPr>
      <w:r>
        <w:rPr>
          <w:rFonts w:eastAsia="Palatino"/>
        </w:rPr>
        <w:t xml:space="preserve">  </w:t>
      </w:r>
      <w:r>
        <w:rPr/>
        <w:t>The schedule for the Large Customer phase of this proceeding is set forth in Appendix A.  The tentative schedule for all other issues is set forth in Appendix B.</w:t>
      </w:r>
    </w:p>
    <w:p>
      <w:pPr>
        <w:pStyle w:val="num1"/>
        <w:numPr>
          <w:ilvl w:val="0"/>
          <w:numId w:val="3"/>
        </w:numPr>
        <w:rPr/>
      </w:pPr>
      <w:r>
        <w:rPr>
          <w:rFonts w:eastAsia="Palatino"/>
        </w:rPr>
        <w:t xml:space="preserve">  </w:t>
      </w:r>
      <w:r>
        <w:rPr/>
        <w:t>The assigned Administrative Law Judge is the principal hearing officer in this proceeding.</w:t>
      </w:r>
    </w:p>
    <w:p>
      <w:pPr>
        <w:pStyle w:val="num1"/>
        <w:numPr>
          <w:ilvl w:val="0"/>
          <w:numId w:val="3"/>
        </w:numPr>
        <w:rPr/>
      </w:pPr>
      <w:r>
        <w:rPr>
          <w:rFonts w:eastAsia="Palatino"/>
        </w:rPr>
        <w:t xml:space="preserve">  </w:t>
      </w:r>
      <w:r>
        <w:rPr/>
        <w:t xml:space="preserve">For each phase, final oral argument before the Commission pursuant to Rule 8(d) may be </w:t>
      </w:r>
      <w:bookmarkStart w:id="0" w:name="OLE_LINK1"/>
      <w:r>
        <w:rPr/>
        <w:t>requested by letter to the ALJ, which shall be submitted on the dates set for opening briefs in the respective phase.</w:t>
      </w:r>
      <w:bookmarkEnd w:id="0"/>
    </w:p>
    <w:p>
      <w:pPr>
        <w:pStyle w:val="num1"/>
        <w:numPr>
          <w:ilvl w:val="0"/>
          <w:numId w:val="3"/>
        </w:numPr>
        <w:rPr/>
      </w:pPr>
      <w:r>
        <w:rPr>
          <w:rFonts w:eastAsia="Palatino"/>
        </w:rPr>
        <w:t xml:space="preserve">  </w:t>
      </w:r>
      <w:r>
        <w:rPr/>
        <w:t>To the extent not resolved previously or by this ruling, San Diego Gas &amp; Electric Company’s January 24, 2001 motion for shortening of time is hereby denied.</w:t>
      </w:r>
    </w:p>
    <w:p>
      <w:pPr>
        <w:pStyle w:val="num1"/>
        <w:numPr>
          <w:ilvl w:val="0"/>
          <w:numId w:val="3"/>
        </w:numPr>
        <w:rPr/>
      </w:pPr>
      <w:r>
        <w:rPr>
          <w:rFonts w:eastAsia="Palatino"/>
        </w:rPr>
        <w:t xml:space="preserve">  </w:t>
      </w:r>
      <w:r>
        <w:rPr/>
        <w:t>Aglet Consumer Alliance (Aglet) timely filed a Notice of Intent (NOI) to seek intervenor compensation for participation in this proceeding, made an adequate showing of significant financial hardship, established a rebuttable presumption of eligibility, and provided required statements regarding the nature and extent of its planned participation and the compensation it expects to request.  Accordingly, Aglet is eligible to file for an award of intervenor compensation at the conclusion of this proceeding.  A finding of eligibility in no way ensures that compensation will be awarded.</w:t>
      </w:r>
    </w:p>
    <w:p>
      <w:pPr>
        <w:pStyle w:val="num1"/>
        <w:numPr>
          <w:ilvl w:val="0"/>
          <w:numId w:val="3"/>
        </w:numPr>
        <w:rPr/>
      </w:pPr>
      <w:r>
        <w:rPr>
          <w:rFonts w:eastAsia="Palatino"/>
        </w:rPr>
        <w:t xml:space="preserve">  </w:t>
      </w:r>
      <w:r>
        <w:rPr/>
        <w:t>This ruling shall be served on the service list for I.00-08-002 as well as the service list for this proceeding.</w:t>
      </w:r>
    </w:p>
    <w:p>
      <w:pPr>
        <w:pStyle w:val="standard"/>
        <w:rPr/>
      </w:pPr>
      <w:r>
        <w:rPr/>
        <w:t>Dated April 30,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snapToGrid w:val="false"/>
              <w:rPr/>
            </w:pPr>
            <w:r>
              <w:rPr/>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Carl Wood</w:t>
            </w:r>
          </w:p>
          <w:p>
            <w:pPr>
              <w:pStyle w:val="Normal"/>
              <w:jc w:val="center"/>
              <w:rPr/>
            </w:pPr>
            <w:r>
              <w:rPr/>
              <w:t>Assigned Commissioner</w:t>
            </w:r>
          </w:p>
        </w:tc>
      </w:tr>
    </w:tbl>
    <w:p>
      <w:pPr>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Pr>
    </w:p>
    <w:p>
      <w:pPr>
        <w:sectPr>
          <w:footnotePr>
            <w:numFmt w:val="decimal"/>
          </w:footnotePr>
          <w:type w:val="continuous"/>
          <w:pgSz w:w="12240" w:h="15840"/>
          <w:pgMar w:left="1440" w:right="1440" w:gutter="0" w:header="720" w:top="1440" w:footer="720" w:bottom="1440"/>
          <w:formProt w:val="false"/>
          <w:titlePg/>
          <w:textDirection w:val="lrTb"/>
          <w:docGrid w:type="default" w:linePitch="360" w:charSpace="0"/>
        </w:sectPr>
        <w:pStyle w:val="main"/>
        <w:rPr/>
      </w:pPr>
      <w:r>
        <w:rPr/>
      </w:r>
      <w:r>
        <w:br w:type="page"/>
      </w:r>
    </w:p>
    <w:p>
      <w:pPr>
        <w:pStyle w:val="standard"/>
        <w:spacing w:lineRule="auto" w:line="240"/>
        <w:ind w:hanging="0" w:start="720" w:end="720"/>
        <w:rPr/>
      </w:pPr>
      <w:r>
        <w:rPr/>
      </w:r>
    </w:p>
    <w:p>
      <w:pPr>
        <w:pStyle w:val="Heading1"/>
        <w:spacing w:before="0" w:after="120"/>
        <w:ind w:hanging="0" w:end="0"/>
        <w:jc w:val="center"/>
        <w:rPr/>
      </w:pPr>
      <w:r>
        <w:rPr/>
        <w:t>APPENDIX A</w:t>
      </w:r>
    </w:p>
    <w:p>
      <w:pPr>
        <w:pStyle w:val="Heading1"/>
        <w:spacing w:before="0" w:after="120"/>
        <w:ind w:hanging="0" w:end="0"/>
        <w:jc w:val="center"/>
        <w:rPr/>
      </w:pPr>
      <w:r>
        <w:rPr/>
        <w:t>Procedural Schedule for Large Customer Phase</w:t>
      </w:r>
    </w:p>
    <w:tbl>
      <w:tblPr>
        <w:tblW w:w="9270" w:type="dxa"/>
        <w:jc w:val="start"/>
        <w:tblInd w:w="108" w:type="dxa"/>
        <w:tblLayout w:type="fixed"/>
        <w:tblCellMar>
          <w:top w:w="0" w:type="dxa"/>
          <w:start w:w="108" w:type="dxa"/>
          <w:bottom w:w="0" w:type="dxa"/>
          <w:end w:w="108" w:type="dxa"/>
        </w:tblCellMar>
      </w:tblPr>
      <w:tblGrid>
        <w:gridCol w:w="6660"/>
        <w:gridCol w:w="2610"/>
      </w:tblGrid>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b/>
                <w:sz w:val="24"/>
              </w:rPr>
            </w:pPr>
            <w:r>
              <w:rPr>
                <w:b/>
                <w:sz w:val="24"/>
              </w:rPr>
              <w:t>Event</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b/>
                <w:sz w:val="24"/>
              </w:rPr>
            </w:pPr>
            <w:r>
              <w:rPr>
                <w:b/>
                <w:sz w:val="24"/>
              </w:rPr>
              <w:t>Dates</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Draft decision re initial frozen rate</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04/24/01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Comments on draft decision re initial frozen rate</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04/30/01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Commission decision re initial frozen rate</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05/03/01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Initial frozen rate tariff pages effective*</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05/06/01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Prehearing conference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05/10/01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Prepared testimony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05/11/01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Decision on Edison, PG&amp;E tiered rate design**</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05/14/01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Rebuttal, update*** testimony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05/18/01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PPHs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05/21-22/01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Evidentiary hearings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05/22-23/01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Opening briefs</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05/31/01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Reply briefs</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06/07/01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Proposed decision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06/21/01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Comments on PD</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06/25/01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Reply comments on PD</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None</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Final Oral Argument (if requested)</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06/25/01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Commission decision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06/28/01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Tariff pages effective****</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07/01/01</w:t>
            </w:r>
          </w:p>
        </w:tc>
      </w:tr>
    </w:tbl>
    <w:p>
      <w:pPr>
        <w:pStyle w:val="Heading1"/>
        <w:spacing w:before="0" w:after="0"/>
        <w:ind w:hanging="0" w:end="0"/>
        <w:rPr>
          <w:rFonts w:ascii="Palatino" w:hAnsi="Palatino" w:cs="Palatino"/>
          <w:b w:val="false"/>
          <w:kern w:val="0"/>
          <w:sz w:val="24"/>
        </w:rPr>
      </w:pPr>
      <w:r>
        <w:rPr>
          <w:rFonts w:cs="Palatino" w:ascii="Palatino" w:hAnsi="Palatino"/>
          <w:b w:val="false"/>
          <w:kern w:val="0"/>
          <w:sz w:val="24"/>
        </w:rPr>
      </w:r>
    </w:p>
    <w:p>
      <w:pPr>
        <w:pStyle w:val="Heading1"/>
        <w:tabs>
          <w:tab w:val="clear" w:pos="720"/>
          <w:tab w:val="left" w:pos="540" w:leader="none"/>
        </w:tabs>
        <w:spacing w:before="0" w:after="0"/>
        <w:ind w:hanging="0" w:end="0"/>
        <w:rPr>
          <w:rFonts w:ascii="Palatino" w:hAnsi="Palatino" w:cs="Palatino"/>
          <w:b w:val="false"/>
          <w:kern w:val="0"/>
          <w:sz w:val="24"/>
        </w:rPr>
      </w:pPr>
      <w:r>
        <w:rPr>
          <w:rFonts w:cs="Palatino" w:ascii="Palatino" w:hAnsi="Palatino"/>
          <w:b w:val="false"/>
          <w:kern w:val="0"/>
          <w:sz w:val="24"/>
        </w:rPr>
        <w:t>   </w:t>
      </w:r>
      <w:r>
        <w:rPr>
          <w:rFonts w:cs="Palatino" w:ascii="Palatino" w:hAnsi="Palatino"/>
          <w:b w:val="false"/>
          <w:kern w:val="0"/>
          <w:sz w:val="24"/>
        </w:rPr>
        <w:t>*</w:t>
        <w:tab/>
        <w:t>Per Section 332.1(f), rates shall be effective retroactive to February 7, 2001.</w:t>
      </w:r>
    </w:p>
    <w:p>
      <w:pPr>
        <w:pStyle w:val="Heading1"/>
        <w:tabs>
          <w:tab w:val="clear" w:pos="720"/>
          <w:tab w:val="left" w:pos="540" w:leader="none"/>
        </w:tabs>
        <w:spacing w:before="0" w:after="0"/>
        <w:ind w:hanging="0" w:end="0"/>
        <w:rPr>
          <w:rFonts w:ascii="Palatino" w:hAnsi="Palatino" w:cs="Palatino"/>
          <w:b w:val="false"/>
          <w:kern w:val="0"/>
          <w:sz w:val="24"/>
        </w:rPr>
      </w:pPr>
      <w:r>
        <w:rPr>
          <w:rFonts w:cs="Palatino" w:ascii="Palatino" w:hAnsi="Palatino"/>
          <w:b w:val="false"/>
          <w:kern w:val="0"/>
          <w:sz w:val="24"/>
        </w:rPr>
        <w:t>  </w:t>
      </w:r>
      <w:r>
        <w:rPr>
          <w:rFonts w:cs="Palatino" w:ascii="Palatino" w:hAnsi="Palatino"/>
          <w:b w:val="false"/>
          <w:kern w:val="0"/>
          <w:sz w:val="24"/>
        </w:rPr>
        <w:t>**</w:t>
        <w:tab/>
        <w:t>See April 11, 2001 ACR in A.00-11-038 et al.</w:t>
      </w:r>
    </w:p>
    <w:p>
      <w:pPr>
        <w:pStyle w:val="Heading1"/>
        <w:tabs>
          <w:tab w:val="clear" w:pos="720"/>
          <w:tab w:val="left" w:pos="540" w:leader="none"/>
        </w:tabs>
        <w:spacing w:before="0" w:after="0"/>
        <w:ind w:hanging="0" w:end="0"/>
        <w:rPr>
          <w:rFonts w:ascii="Palatino" w:hAnsi="Palatino" w:cs="Palatino"/>
          <w:b w:val="false"/>
          <w:kern w:val="0"/>
          <w:sz w:val="24"/>
        </w:rPr>
      </w:pPr>
      <w:r>
        <w:rPr>
          <w:rFonts w:cs="Palatino" w:ascii="Palatino" w:hAnsi="Palatino"/>
          <w:b w:val="false"/>
          <w:kern w:val="0"/>
          <w:sz w:val="24"/>
        </w:rPr>
        <w:t> </w:t>
      </w:r>
      <w:r>
        <w:rPr>
          <w:rFonts w:cs="Palatino" w:ascii="Palatino" w:hAnsi="Palatino"/>
          <w:b w:val="false"/>
          <w:kern w:val="0"/>
          <w:sz w:val="24"/>
        </w:rPr>
        <w:t>***</w:t>
        <w:tab/>
        <w:t>Update testimony to reflect Commission decision on tiered rates for Edison and PG&amp;E, scheduled for May 14.  Delays in that decision may require adjustments to this schedule.</w:t>
      </w:r>
    </w:p>
    <w:p>
      <w:pPr>
        <w:pStyle w:val="Heading1"/>
        <w:tabs>
          <w:tab w:val="clear" w:pos="720"/>
          <w:tab w:val="left" w:pos="540" w:leader="none"/>
        </w:tabs>
        <w:spacing w:before="0" w:after="0"/>
        <w:ind w:hanging="0" w:end="0"/>
        <w:rPr>
          <w:rFonts w:ascii="Palatino" w:hAnsi="Palatino" w:cs="Palatino"/>
          <w:b w:val="false"/>
          <w:kern w:val="0"/>
          <w:sz w:val="24"/>
        </w:rPr>
      </w:pPr>
      <w:r>
        <w:rPr>
          <w:rFonts w:cs="Palatino" w:ascii="Palatino" w:hAnsi="Palatino"/>
          <w:b w:val="false"/>
          <w:kern w:val="0"/>
          <w:sz w:val="24"/>
        </w:rPr>
        <w:t>****</w:t>
        <w:tab/>
        <w:t>Per Section 332.1(f), rates may be effective retroactive to the date that rate increases took effect for customers of PG&amp;E and Edison pursuant to the Commission’s March 27, 2001 decision.</w:t>
      </w:r>
    </w:p>
    <w:p>
      <w:pPr>
        <w:pStyle w:val="standard"/>
        <w:rPr>
          <w:rFonts w:ascii="Palatino" w:hAnsi="Palatino" w:cs="Palatino"/>
          <w:b/>
          <w:kern w:val="0"/>
          <w:sz w:val="24"/>
        </w:rPr>
      </w:pPr>
      <w:r>
        <w:rPr>
          <w:rFonts w:cs="Palatino"/>
          <w:b/>
          <w:kern w:val="0"/>
          <w:sz w:val="24"/>
        </w:rPr>
      </w:r>
      <w:r>
        <w:br w:type="page"/>
      </w:r>
    </w:p>
    <w:p>
      <w:pPr>
        <w:pStyle w:val="standard"/>
        <w:spacing w:lineRule="auto" w:line="240"/>
        <w:ind w:hanging="0" w:start="720" w:end="720"/>
        <w:rPr/>
      </w:pPr>
      <w:r>
        <w:rPr/>
      </w:r>
    </w:p>
    <w:p>
      <w:pPr>
        <w:pStyle w:val="Heading1"/>
        <w:spacing w:before="0" w:after="120"/>
        <w:ind w:hanging="0" w:end="0"/>
        <w:jc w:val="center"/>
        <w:rPr/>
      </w:pPr>
      <w:r>
        <w:rPr/>
        <w:t>APPENDIX B</w:t>
      </w:r>
    </w:p>
    <w:p>
      <w:pPr>
        <w:pStyle w:val="Heading1"/>
        <w:spacing w:before="0" w:after="120"/>
        <w:ind w:hanging="0" w:end="0"/>
        <w:jc w:val="center"/>
        <w:rPr/>
      </w:pPr>
      <w:r>
        <w:rPr/>
        <w:t>Tentative Procedural Schedule for All Remaining Issues</w:t>
      </w:r>
    </w:p>
    <w:tbl>
      <w:tblPr>
        <w:tblW w:w="9270" w:type="dxa"/>
        <w:jc w:val="start"/>
        <w:tblInd w:w="108" w:type="dxa"/>
        <w:tblLayout w:type="fixed"/>
        <w:tblCellMar>
          <w:top w:w="0" w:type="dxa"/>
          <w:start w:w="108" w:type="dxa"/>
          <w:bottom w:w="0" w:type="dxa"/>
          <w:end w:w="108" w:type="dxa"/>
        </w:tblCellMar>
      </w:tblPr>
      <w:tblGrid>
        <w:gridCol w:w="6660"/>
        <w:gridCol w:w="2610"/>
      </w:tblGrid>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b/>
                <w:sz w:val="24"/>
              </w:rPr>
            </w:pPr>
            <w:r>
              <w:rPr>
                <w:b/>
                <w:sz w:val="24"/>
              </w:rPr>
              <w:t>Event</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b/>
                <w:sz w:val="24"/>
              </w:rPr>
            </w:pPr>
            <w:r>
              <w:rPr>
                <w:b/>
                <w:sz w:val="24"/>
              </w:rPr>
              <w:t>Dates</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Prehearing conference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05/10/01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SDG&amp;E’s updated prepared testimony</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06/08/01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Prepared testimony of other parties</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06/18/01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Rebuttal testimony</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06/29/01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PPHs (in San Diego or vicinity)</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07/09-13/01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Evidentiary hearings (in San Diego or vicinity)</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07/09-13/01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Opening briefs</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07/31/01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Reply briefs</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08/10/01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Commission decision on prudence etc. (A.00-10-008)</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09/06/01*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Update hearings</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09/24-25/01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Proposed decision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10/09/01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Comments on PD</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10/29/01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Reply comments on PD</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11/05/01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Final Oral Argument (if requested)</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11/05/01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 xml:space="preserve">Commission decision </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11/08/01</w:t>
            </w:r>
          </w:p>
        </w:tc>
      </w:tr>
      <w:tr>
        <w:trPr/>
        <w:tc>
          <w:tcPr>
            <w:tcW w:w="666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sz w:val="24"/>
              </w:rPr>
            </w:pPr>
            <w:r>
              <w:rPr>
                <w:sz w:val="24"/>
              </w:rPr>
              <w:t>Tariff pages effective</w:t>
            </w:r>
          </w:p>
        </w:tc>
        <w:tc>
          <w:tcPr>
            <w:tcW w:w="261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sz w:val="24"/>
              </w:rPr>
            </w:pPr>
            <w:r>
              <w:rPr>
                <w:sz w:val="24"/>
              </w:rPr>
              <w:t>12/01/0107/09-13/01</w:t>
            </w:r>
          </w:p>
        </w:tc>
      </w:tr>
    </w:tbl>
    <w:p>
      <w:pPr>
        <w:pStyle w:val="Heading1"/>
        <w:spacing w:before="0" w:after="0"/>
        <w:ind w:hanging="0" w:end="0"/>
        <w:rPr>
          <w:rFonts w:ascii="Palatino" w:hAnsi="Palatino" w:cs="Palatino"/>
          <w:b w:val="false"/>
          <w:kern w:val="0"/>
          <w:sz w:val="24"/>
        </w:rPr>
      </w:pPr>
      <w:r>
        <w:rPr>
          <w:rFonts w:cs="Palatino" w:ascii="Palatino" w:hAnsi="Palatino"/>
          <w:b w:val="false"/>
          <w:kern w:val="0"/>
          <w:sz w:val="24"/>
        </w:rPr>
      </w:r>
    </w:p>
    <w:p>
      <w:pPr>
        <w:pStyle w:val="Heading1"/>
        <w:spacing w:before="0" w:after="0"/>
        <w:ind w:hanging="0" w:end="0"/>
        <w:rPr>
          <w:rFonts w:ascii="Palatino" w:hAnsi="Palatino" w:cs="Palatino"/>
          <w:b w:val="false"/>
          <w:kern w:val="0"/>
          <w:sz w:val="24"/>
        </w:rPr>
      </w:pPr>
      <w:r>
        <w:rPr>
          <w:rFonts w:cs="Palatino" w:ascii="Palatino" w:hAnsi="Palatino"/>
          <w:b w:val="false"/>
          <w:kern w:val="0"/>
          <w:sz w:val="24"/>
        </w:rPr>
        <w:t>* Estimated completion date for prudence and reasonableness examination.  Modifications to the schedule for A.00-10-008 may require, or allow, modifications to this schedule.</w:t>
      </w:r>
    </w:p>
    <w:p>
      <w:pPr>
        <w:pStyle w:val="standard"/>
        <w:rPr>
          <w:rFonts w:ascii="Palatino" w:hAnsi="Palatino" w:cs="Palatino"/>
          <w:b/>
          <w:kern w:val="0"/>
          <w:sz w:val="24"/>
        </w:rPr>
      </w:pPr>
      <w:r>
        <w:rPr>
          <w:rFonts w:cs="Palatino"/>
          <w:b/>
          <w:kern w:val="0"/>
          <w:sz w:val="24"/>
        </w:rPr>
      </w:r>
    </w:p>
    <w:p>
      <w:pPr>
        <w:pStyle w:val="main"/>
        <w:jc w:val="start"/>
        <w:rPr>
          <w:rFonts w:ascii="Palatino" w:hAnsi="Palatino" w:cs="Palatino"/>
        </w:rPr>
      </w:pPr>
      <w:r>
        <w:rPr>
          <w:rFonts w:cs="Palatino" w:ascii="Palatino" w:hAnsi="Palatino"/>
        </w:rPr>
      </w:r>
    </w:p>
    <w:p>
      <w:pPr>
        <w:pStyle w:val="main"/>
        <w:rPr>
          <w:rFonts w:ascii="Palatino" w:hAnsi="Palatino" w:cs="Palatino"/>
        </w:rPr>
      </w:pPr>
      <w:r>
        <w:rPr>
          <w:rFonts w:cs="Palatino" w:ascii="Palatino" w:hAnsi="Palatino"/>
        </w:rPr>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rPr/>
      </w:pPr>
      <w:r>
        <w:rPr/>
      </w:r>
    </w:p>
    <w:p>
      <w:pPr>
        <w:pStyle w:val="standard"/>
        <w:rPr/>
      </w:pPr>
      <w:r>
        <w:rPr/>
        <w:t>I certify that I have by mail this day served a true copy of the original attached Assigned Commissioner’s Ruling on all parties of record in this proceeding or their attorneys of record and in Investigation 00-08-002.</w:t>
      </w:r>
    </w:p>
    <w:p>
      <w:pPr>
        <w:pStyle w:val="standard"/>
        <w:rPr/>
      </w:pPr>
      <w:r>
        <w:rPr/>
        <w:t>Dated April 30, 2001, at San Francisco, California.</w:t>
      </w:r>
    </w:p>
    <w:p>
      <w:pPr>
        <w:pStyle w:val="Normal"/>
        <w:rPr/>
      </w:pPr>
      <w:r>
        <w:rPr/>
      </w:r>
    </w:p>
    <w:p>
      <w:pPr>
        <w:pStyle w:val="Normal"/>
        <w:rPr/>
      </w:pPr>
      <w:r>
        <w:rPr/>
      </w:r>
    </w:p>
    <w:tbl>
      <w:tblPr>
        <w:tblW w:w="3960" w:type="dxa"/>
        <w:jc w:val="start"/>
        <w:tblInd w:w="4878" w:type="dxa"/>
        <w:tblLayout w:type="fixed"/>
        <w:tblCellMar>
          <w:top w:w="0" w:type="dxa"/>
          <w:start w:w="108" w:type="dxa"/>
          <w:bottom w:w="0" w:type="dxa"/>
          <w:end w:w="108" w:type="dxa"/>
        </w:tblCellMar>
      </w:tblPr>
      <w:tblGrid>
        <w:gridCol w:w="3960"/>
      </w:tblGrid>
      <w:tr>
        <w:trPr/>
        <w:tc>
          <w:tcPr>
            <w:tcW w:w="3960" w:type="dxa"/>
            <w:tcBorders>
              <w:bottom w:val="single" w:sz="6" w:space="0" w:color="000000"/>
            </w:tcBorders>
          </w:tcPr>
          <w:p>
            <w:pPr>
              <w:pStyle w:val="Normal"/>
              <w:snapToGrid w:val="false"/>
              <w:rPr/>
            </w:pPr>
            <w:r>
              <w:rPr/>
            </w:r>
          </w:p>
        </w:tc>
      </w:tr>
      <w:tr>
        <w:trPr/>
        <w:tc>
          <w:tcPr>
            <w:tcW w:w="3960" w:type="dxa"/>
            <w:tcBorders/>
          </w:tcPr>
          <w:p>
            <w:pPr>
              <w:pStyle w:val="Normal"/>
              <w:jc w:val="center"/>
              <w:rPr/>
            </w:pPr>
            <w:r>
              <w:rPr/>
              <w:t>Gaby L. Susanto</w:t>
            </w:r>
          </w:p>
        </w:tc>
      </w:tr>
    </w:tbl>
    <w:p>
      <w:pPr>
        <w:pStyle w:val="Normal"/>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TTY# 1-866-836-7825 or (415) 703-5282 at least three working days in advance of the event.</w:t>
      </w:r>
    </w:p>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96453</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Section references herein are to the Pub. Util. Code. § 332.1(f) governs the rates of SDG&amp;E’s customers that are not subject to subdivision (b), which applies to residential, small commercial, and street lighting customers (hereinafter, “smaller customers”).  Thus, § 332.1(f) applies to SDG&amp;E’s larger commercial, industrial, and agricultural customers (hereinafter, “larger customers”).</w:t>
      </w:r>
    </w:p>
  </w:footnote>
  <w:footnote w:id="3">
    <w:p>
      <w:pPr>
        <w:pStyle w:val="FootnoteText"/>
        <w:spacing w:before="0" w:after="240"/>
        <w:rPr/>
      </w:pPr>
      <w:r>
        <w:rPr>
          <w:rStyle w:val="FootnoteCharacters"/>
        </w:rPr>
        <w:footnoteRef/>
      </w:r>
      <w:r>
        <w:rPr/>
        <w:t xml:space="preserve">  </w:t>
      </w:r>
      <w:r>
        <w:rPr/>
        <w:t>Application for rehearing is pending.</w:t>
      </w:r>
    </w:p>
  </w:footnote>
  <w:footnote w:id="4">
    <w:p>
      <w:pPr>
        <w:pStyle w:val="FootnoteText"/>
        <w:spacing w:before="0" w:after="240"/>
        <w:rPr/>
      </w:pPr>
      <w:r>
        <w:rPr>
          <w:rStyle w:val="FootnoteCharacters"/>
        </w:rPr>
        <w:footnoteRef/>
      </w:r>
      <w:r>
        <w:rPr/>
        <w:t xml:space="preserve"> </w:t>
      </w:r>
      <w:r>
        <w:rPr/>
        <w:t>In a statewide televised address on April 5, 2001, Governor Gray Davis outlined a rate proposal for California utilities that included rate design proposals for SDG&amp;E.  The Energy Division held a workshop on the Governor’s proposal on April 12, 2001 in connection with A.00-11-038 et al.  (Governor Davis’ proposal was made before the April 11 ACR in that proceeding put SDG&amp;E on a separate procedural track.)  The Governor’s rate design proposals may be considered in this proceeding.  Parties should be prepared to state at the May 10, 2001 PHC set by this ruling whether they believe it is necessary for Energy Division to conduct another workshop on the Governor’s rate design proposal as it applies to SDG&amp;E.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A.00-10-045, A.01-01-044  CXW/MSW/t94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CXW/MSW/t94  4/30/2001</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A.00-10-045, A.01-01-044  CXW/MSW/t94</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A.00-10-045, A.01-01-044  CXW/MSW/t94</w:t>
    </w:r>
  </w:p>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A.00-10-045, A.01-01-044  CXW/MSW/t94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A.00-10-045, A.01-01-044  CXW/MSW/t94</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puc.ca.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2001-04-04T18:16:00Z</dcterms:created>
  <dc:creator>  </dc:creator>
  <dc:description/>
  <dc:language>en-CA</dc:language>
  <cp:lastModifiedBy>T94</cp:lastModifiedBy>
  <cp:lastPrinted>2001-04-30T15:12:00Z</cp:lastPrinted>
  <dcterms:modified xsi:type="dcterms:W3CDTF">2001-04-30T19:43:00Z</dcterms:modified>
  <cp:revision>33</cp:revision>
  <dc:subject/>
  <dc:title>BEFORE THE PUBLIC UTILITIES COMMISSION OF THE STATE OF CALIFORNIA</dc:title>
</cp:coreProperties>
</file>