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widowControl/>
        <w:rPr>
          <w:sz w:val="24"/>
        </w:rPr>
      </w:pPr>
      <w:r>
        <w:rPr>
          <w:sz w:val="24"/>
        </w:rPr>
      </w:r>
    </w:p>
    <w:p>
      <w:pPr>
        <w:pStyle w:val="BodyText3"/>
        <w:widowControl/>
        <w:rPr>
          <w:sz w:val="24"/>
          <w:lang w:val="en-CA" w:eastAsia="en-CA"/>
        </w:rPr>
      </w:pPr>
      <w:r>
        <w:rPr>
          <w:sz w:val="24"/>
          <w:lang w:val="en-CA" w:eastAsia="en-CA"/>
        </w:rPr>
        <w:drawing>
          <wp:anchor behindDoc="0" distT="0" distB="0" distL="114935" distR="114935" simplePos="0" locked="0" layoutInCell="1" allowOverlap="1" relativeHeight="8">
            <wp:simplePos x="0" y="0"/>
            <wp:positionH relativeFrom="column">
              <wp:posOffset>-137160</wp:posOffset>
            </wp:positionH>
            <wp:positionV relativeFrom="paragraph">
              <wp:posOffset>-804545</wp:posOffset>
            </wp:positionV>
            <wp:extent cx="100584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29" r="-29" b="-29"/>
                    <a:stretch>
                      <a:fillRect/>
                    </a:stretch>
                  </pic:blipFill>
                  <pic:spPr bwMode="auto">
                    <a:xfrm>
                      <a:off x="0" y="0"/>
                      <a:ext cx="1005840" cy="914400"/>
                    </a:xfrm>
                    <a:prstGeom prst="rect">
                      <a:avLst/>
                    </a:prstGeom>
                    <a:noFill/>
                  </pic:spPr>
                </pic:pic>
              </a:graphicData>
            </a:graphic>
          </wp:anchor>
        </w:drawing>
      </w:r>
    </w:p>
    <w:p>
      <w:pPr>
        <w:pStyle w:val="Normal"/>
        <w:widowControl/>
        <w:jc w:val="both"/>
        <w:rPr>
          <w:rFonts w:ascii="Arial" w:hAnsi="Arial" w:cs="Arial"/>
          <w:sz w:val="24"/>
        </w:rPr>
      </w:pPr>
      <w:r>
        <w:rPr>
          <w:rFonts w:cs="Arial" w:ascii="Arial" w:hAnsi="Arial"/>
          <w:sz w:val="24"/>
        </w:rPr>
      </w:r>
    </w:p>
    <w:p>
      <w:pPr>
        <w:pStyle w:val="BodyTextIndent2"/>
        <w:pBdr>
          <w:top w:val="single" w:sz="4" w:space="1" w:color="000000"/>
          <w:left w:val="single" w:sz="4" w:space="4" w:color="000000"/>
          <w:bottom w:val="single" w:sz="4" w:space="1" w:color="000000"/>
          <w:right w:val="single" w:sz="4" w:space="4" w:color="000000"/>
        </w:pBdr>
        <w:autoSpaceDE w:val="false"/>
        <w:spacing w:lineRule="atLeast" w:line="240"/>
        <w:rPr>
          <w:rFonts w:ascii="Arial" w:hAnsi="Arial" w:cs="Arial"/>
          <w:bCs/>
        </w:rPr>
      </w:pPr>
      <w:r>
        <w:rPr>
          <w:rFonts w:cs="Arial" w:ascii="Arial" w:hAnsi="Arial"/>
          <w:bCs/>
        </w:rPr>
        <w:t xml:space="preserve">The following answers many of your questions regarding how your Enron benefits, savings plan, stock option plan, etc. will be handled in the transfer of HPL to AEP.  Your transfer will be treated as an involuntary termination by reason of divesture from Enron. </w:t>
      </w:r>
    </w:p>
    <w:p>
      <w:pPr>
        <w:pStyle w:val="BodyTextIndent2"/>
        <w:pBdr>
          <w:top w:val="single" w:sz="4" w:space="1" w:color="000000"/>
          <w:left w:val="single" w:sz="4" w:space="4" w:color="000000"/>
          <w:bottom w:val="single" w:sz="4" w:space="1" w:color="000000"/>
          <w:right w:val="single" w:sz="4" w:space="4" w:color="000000"/>
        </w:pBdr>
        <w:autoSpaceDE w:val="false"/>
        <w:spacing w:lineRule="atLeast" w:line="240"/>
        <w:rPr>
          <w:rFonts w:ascii="Arial" w:hAnsi="Arial" w:cs="Arial"/>
          <w:bCs/>
        </w:rPr>
      </w:pPr>
      <w:r>
        <w:rPr>
          <w:rFonts w:cs="Arial" w:ascii="Arial" w:hAnsi="Arial"/>
          <w:bCs/>
        </w:rPr>
      </w:r>
    </w:p>
    <w:p>
      <w:pPr>
        <w:pStyle w:val="BodyTextIndent2"/>
        <w:pBdr>
          <w:top w:val="single" w:sz="4" w:space="1" w:color="000000"/>
          <w:left w:val="single" w:sz="4" w:space="4" w:color="000000"/>
          <w:bottom w:val="single" w:sz="4" w:space="1" w:color="000000"/>
          <w:right w:val="single" w:sz="4" w:space="4" w:color="000000"/>
        </w:pBdr>
        <w:autoSpaceDE w:val="false"/>
        <w:spacing w:lineRule="atLeast" w:line="240"/>
        <w:rPr>
          <w:rFonts w:ascii="Arial" w:hAnsi="Arial" w:cs="Arial"/>
          <w:bCs/>
          <w:i/>
          <w:i/>
          <w:iCs/>
        </w:rPr>
      </w:pPr>
      <w:r>
        <w:rPr>
          <w:rFonts w:cs="Arial" w:ascii="Arial" w:hAnsi="Arial"/>
          <w:bCs/>
          <w:i/>
          <w:iCs/>
        </w:rPr>
        <w:t>These questions and answers are intended to provide general, brief responses to frequently asked questions.  Nothing herein is intended to convey any changes or modifications to plan documents that govern the situations described below.   Copies of plan documents will be made available upon request.</w:t>
      </w:r>
    </w:p>
    <w:p>
      <w:pPr>
        <w:pStyle w:val="Normal"/>
        <w:widowControl/>
        <w:jc w:val="both"/>
        <w:rPr>
          <w:rFonts w:ascii="Arial" w:hAnsi="Arial" w:eastAsia="Arial" w:cs="Arial"/>
        </w:rPr>
      </w:pPr>
      <w:r>
        <w:rPr>
          <w:rFonts w:eastAsia="Arial" w:cs="Arial" w:ascii="Arial" w:hAnsi="Arial"/>
        </w:rPr>
        <w:t xml:space="preserve">  </w:t>
      </w:r>
    </w:p>
    <w:p>
      <w:pPr>
        <w:pStyle w:val="Normal"/>
        <w:widowControl/>
        <w:jc w:val="both"/>
        <w:rPr>
          <w:rFonts w:ascii="Arial" w:hAnsi="Arial" w:cs="Arial"/>
        </w:rPr>
      </w:pPr>
      <w:r>
        <w:rPr>
          <w:rFonts w:cs="Arial" w:ascii="Arial" w:hAnsi="Arial"/>
        </w:rPr>
      </w:r>
    </w:p>
    <w:p>
      <w:pPr>
        <w:pStyle w:val="Heading4"/>
        <w:ind w:hanging="0" w:start="0"/>
        <w:rPr>
          <w:color w:val="3366FF"/>
        </w:rPr>
      </w:pPr>
      <w:r>
        <w:rPr>
          <w:color w:val="3366FF"/>
        </w:rPr>
        <w:t>ENRON BENEFITS</w:t>
      </w:r>
    </w:p>
    <w:p>
      <w:pPr>
        <w:pStyle w:val="Normal"/>
        <w:widowControl/>
        <w:jc w:val="both"/>
        <w:rPr>
          <w:rFonts w:ascii="Arial" w:hAnsi="Arial" w:cs="Arial"/>
          <w:color w:val="3366FF"/>
        </w:rPr>
      </w:pPr>
      <w:r>
        <w:rPr>
          <w:rFonts w:cs="Arial" w:ascii="Arial" w:hAnsi="Arial"/>
          <w:color w:val="3366FF"/>
        </w:rPr>
      </w:r>
    </w:p>
    <w:p>
      <w:pPr>
        <w:pStyle w:val="Normal"/>
        <w:numPr>
          <w:ilvl w:val="0"/>
          <w:numId w:val="2"/>
        </w:numPr>
        <w:rPr>
          <w:rFonts w:ascii="Arial" w:hAnsi="Arial" w:cs="Arial"/>
          <w:b/>
        </w:rPr>
      </w:pPr>
      <w:r>
        <w:rPr>
          <w:rFonts w:cs="Arial" w:ascii="Arial" w:hAnsi="Arial"/>
          <w:b/>
        </w:rPr>
        <w:t>Will severance benefits be paid in connection with the divestiture?</w:t>
      </w:r>
    </w:p>
    <w:p>
      <w:pPr>
        <w:pStyle w:val="BodyText2"/>
        <w:rPr>
          <w:rFonts w:ascii="Arial" w:hAnsi="Arial" w:cs="Arial"/>
          <w:b/>
        </w:rPr>
      </w:pPr>
      <w:r>
        <w:rPr>
          <w:rFonts w:cs="Arial"/>
          <w:b/>
        </w:rPr>
      </w:r>
    </w:p>
    <w:p>
      <w:pPr>
        <w:pStyle w:val="BodyText2"/>
        <w:rPr/>
      </w:pPr>
      <w:r>
        <w:rPr/>
        <w:t>Assuming that the divestiture will be completed, it is possible that some employees will receive severance benefits.  If (a) you receive a transfer letter from AEP at less than your present salary, and you do not accept it, or (b) if AEP does not provide you with a position in their organization, you will be entitled to a severance benefit under the Enron Corp. Severance Pay Plan.  The severance payment will be made by AEP.</w:t>
      </w:r>
    </w:p>
    <w:p>
      <w:pPr>
        <w:pStyle w:val="BodyText3"/>
        <w:widowControl/>
        <w:rPr/>
      </w:pPr>
      <w:r>
        <w:rPr/>
      </w:r>
    </w:p>
    <w:p>
      <w:pPr>
        <w:pStyle w:val="BodyText3"/>
        <w:widowControl/>
        <w:numPr>
          <w:ilvl w:val="0"/>
          <w:numId w:val="2"/>
        </w:numPr>
        <w:rPr/>
      </w:pPr>
      <w:r>
        <w:rPr/>
        <w:t>What happens to my unused vacation?</w:t>
      </w:r>
    </w:p>
    <w:p>
      <w:pPr>
        <w:pStyle w:val="Normal"/>
        <w:widowControl/>
        <w:jc w:val="both"/>
        <w:rPr>
          <w:rFonts w:ascii="Arial" w:hAnsi="Arial" w:cs="Arial"/>
        </w:rPr>
      </w:pPr>
      <w:r>
        <w:rPr>
          <w:rFonts w:cs="Arial" w:ascii="Arial" w:hAnsi="Arial"/>
        </w:rPr>
      </w:r>
    </w:p>
    <w:p>
      <w:pPr>
        <w:pStyle w:val="BodyText2"/>
        <w:widowControl/>
        <w:rPr/>
      </w:pPr>
      <w:r>
        <w:rPr/>
        <w:t>Your vacation balance for the year 2001, not yet taken as of the last day of your employment under Enron management will be transferred to AEP.  Beginning calendar year 2002, you will receive vacation benefits under AEP’s benefits plan.  AEP’s plan allows a maximum of 80 vacation hours to be carried over.  Your Enron discretionary holiday will not transfer to AEP.</w:t>
      </w:r>
    </w:p>
    <w:p>
      <w:pPr>
        <w:pStyle w:val="BodyText2"/>
        <w:widowControl/>
        <w:rPr/>
      </w:pPr>
      <w:r>
        <w:rPr/>
      </w:r>
    </w:p>
    <w:p>
      <w:pPr>
        <w:pStyle w:val="Normal"/>
        <w:widowControl/>
        <w:numPr>
          <w:ilvl w:val="0"/>
          <w:numId w:val="2"/>
        </w:numPr>
        <w:jc w:val="both"/>
        <w:rPr>
          <w:rFonts w:ascii="Arial" w:hAnsi="Arial" w:cs="Arial"/>
          <w:b/>
        </w:rPr>
      </w:pPr>
      <w:r>
        <w:rPr>
          <w:rFonts w:cs="Arial" w:ascii="Arial" w:hAnsi="Arial"/>
          <w:b/>
        </w:rPr>
        <w:t>What about my Flexible Spending Accounts?</w:t>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rPr>
      </w:pPr>
      <w:r>
        <w:rPr>
          <w:rFonts w:cs="Arial" w:ascii="Arial" w:hAnsi="Arial"/>
        </w:rPr>
        <w:t xml:space="preserve">Your active participation in the Health Care Spending Account and/or Dependent Day Care Spending Account will end on your last day as an Enron employee (“termination date”.)  However, COBRA regulations allow you to continue your Health Care Spending Account coverage for up to 18 months by continuing to pay your monthly contributions.  </w:t>
      </w:r>
    </w:p>
    <w:p>
      <w:pPr>
        <w:pStyle w:val="BodyText2"/>
        <w:widowControl/>
        <w:rPr>
          <w:rFonts w:ascii="Arial" w:hAnsi="Arial" w:cs="Arial"/>
          <w:b/>
        </w:rPr>
      </w:pPr>
      <w:r>
        <w:rPr>
          <w:rFonts w:cs="Arial"/>
          <w:b/>
        </w:rPr>
      </w:r>
    </w:p>
    <w:p>
      <w:pPr>
        <w:pStyle w:val="BodyText2"/>
        <w:widowControl/>
        <w:rPr/>
      </w:pPr>
      <w:r>
        <w:rPr/>
        <w:t>If you do not choose to continue this coverage, you may submit claims for reimbursement of eligible expenses incurred through your termination date.  The deadline for filing claims for expenses incurred in 2001 is April 30, 2002.  Any contributions that cannot be or are not claimed will be forfeited.</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Should you choose to continue your Health Care Spending Account coverage, you must pay your monthly contributions, plus a 2% administration fee, by the 15th of each month,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widowControl/>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pPr>
      <w:r>
        <w:rPr>
          <w:rFonts w:cs="Arial" w:ascii="Arial" w:hAnsi="Arial"/>
        </w:rPr>
        <w:t xml:space="preserve">Please contact the Benefits Call Center at 800-332-7979, Option #1 or </w:t>
      </w:r>
      <w:r>
        <w:rPr>
          <w:rFonts w:cs="Arial" w:ascii="Arial" w:hAnsi="Arial"/>
          <w:color w:val="000000"/>
        </w:rPr>
        <w:t xml:space="preserve">1-800-368-3804 </w:t>
      </w:r>
      <w:r>
        <w:rPr>
          <w:rFonts w:cs="Arial" w:ascii="Arial" w:hAnsi="Arial"/>
        </w:rPr>
        <w:t>if you wish to continue your Health Care Spending Account coverage or have any questions regarding continuation of your spending account.</w:t>
      </w:r>
    </w:p>
    <w:p>
      <w:pPr>
        <w:pStyle w:val="Normal"/>
        <w:widowControl/>
        <w:jc w:val="both"/>
        <w:rPr>
          <w:rFonts w:ascii="Arial" w:hAnsi="Arial" w:cs="Arial"/>
          <w:b/>
          <w:u w:val="single"/>
        </w:rPr>
      </w:pPr>
      <w:r>
        <w:rPr>
          <w:rFonts w:cs="Arial" w:ascii="Arial" w:hAnsi="Arial"/>
          <w:b/>
          <w:u w:val="single"/>
        </w:rPr>
      </w:r>
    </w:p>
    <w:p>
      <w:pPr>
        <w:pStyle w:val="Normal"/>
        <w:widowControl/>
        <w:jc w:val="both"/>
        <w:rPr>
          <w:rFonts w:ascii="Arial" w:hAnsi="Arial" w:cs="Arial"/>
          <w:b/>
          <w:u w:val="single"/>
        </w:rPr>
      </w:pPr>
      <w:r>
        <w:rPr>
          <w:rFonts w:cs="Arial" w:ascii="Arial" w:hAnsi="Arial"/>
          <w:b/>
          <w:u w:val="single"/>
        </w:rPr>
      </w:r>
    </w:p>
    <w:p>
      <w:pPr>
        <w:pStyle w:val="BodyText2"/>
        <w:numPr>
          <w:ilvl w:val="0"/>
          <w:numId w:val="2"/>
        </w:numPr>
        <w:rPr>
          <w:b/>
          <w:color w:val="000000"/>
        </w:rPr>
      </w:pPr>
      <w:r>
        <w:rPr>
          <w:b/>
          <w:color w:val="000000"/>
        </w:rPr>
        <w:t>Will I have an option to extend my Enron Medical, Dental, or Vision coverage?</w:t>
      </w:r>
    </w:p>
    <w:p>
      <w:pPr>
        <w:pStyle w:val="BodyText2"/>
        <w:rPr>
          <w:b/>
          <w:color w:val="000000"/>
        </w:rPr>
      </w:pPr>
      <w:r>
        <w:rPr>
          <w:b/>
          <w:color w:val="000000"/>
        </w:rPr>
      </w:r>
    </w:p>
    <w:p>
      <w:pPr>
        <w:pStyle w:val="BodyText2"/>
        <w:rPr>
          <w:color w:val="000000"/>
        </w:rPr>
      </w:pPr>
      <w:r>
        <w:rPr>
          <w:color w:val="000000"/>
        </w:rPr>
        <w:t xml:space="preserve">Upon termination, a federal law commonly referred to as COBRA allows you to extend your medical, dental or vision coverage at your own expense for a period of up to 18 months.  You may choose to continue any or all coverages.  You must keep your current medical and dental option but you may change whom you cover with the option.  A Continuation Coverage Enrollment form </w:t>
      </w:r>
    </w:p>
    <w:p>
      <w:pPr>
        <w:pStyle w:val="BodyText2"/>
        <w:rPr>
          <w:color w:val="000000"/>
        </w:rPr>
      </w:pPr>
      <w:r>
        <w:rPr>
          <w:color w:val="000000"/>
        </w:rPr>
        <w:t xml:space="preserve">and price tags will be sent to your home within a week of your termination.  If you intend to continue your medical and dental coverage under COBRA, this form must be completed and mailed to the address on the back of the form within 60 days of the date of your termination of employment.  A check covering your first month’s payment, made payable to Continuation </w:t>
      </w:r>
    </w:p>
    <w:p>
      <w:pPr>
        <w:pStyle w:val="BodyText2"/>
        <w:rPr>
          <w:color w:val="000000"/>
        </w:rPr>
      </w:pPr>
      <w:r>
        <w:rPr>
          <w:color w:val="000000"/>
        </w:rPr>
        <w:t xml:space="preserve">Coverage Account, should accompany your completed form in order to activate the benefit </w:t>
      </w:r>
    </w:p>
    <w:p>
      <w:pPr>
        <w:pStyle w:val="BodyText2"/>
        <w:rPr>
          <w:color w:val="000000"/>
        </w:rPr>
      </w:pPr>
      <w:r>
        <w:rPr>
          <w:color w:val="000000"/>
        </w:rPr>
        <w:t>coverage immediately.</w:t>
      </w:r>
    </w:p>
    <w:p>
      <w:pPr>
        <w:pStyle w:val="BodyText2"/>
        <w:rPr>
          <w:color w:val="000000"/>
        </w:rPr>
      </w:pPr>
      <w:r>
        <w:rPr>
          <w:color w:val="000000"/>
        </w:rPr>
      </w:r>
    </w:p>
    <w:p>
      <w:pPr>
        <w:pStyle w:val="BodyText2"/>
        <w:rPr>
          <w:color w:val="000000"/>
        </w:rPr>
      </w:pPr>
      <w:r>
        <w:rPr>
          <w:color w:val="000000"/>
        </w:rPr>
        <w:t>If you are not currently covered by Enron’s medical and dental plan, continuation of coverage is not available.</w:t>
      </w:r>
    </w:p>
    <w:p>
      <w:pPr>
        <w:pStyle w:val="BodyText2"/>
        <w:rPr>
          <w:color w:val="000000"/>
        </w:rPr>
      </w:pPr>
      <w:r>
        <w:rPr>
          <w:color w:val="000000"/>
        </w:rPr>
      </w:r>
    </w:p>
    <w:p>
      <w:pPr>
        <w:pStyle w:val="BodyText2"/>
        <w:rPr>
          <w:color w:val="000000"/>
        </w:rPr>
      </w:pPr>
      <w:r>
        <w:rPr>
          <w:color w:val="000000"/>
        </w:rPr>
        <w:t>ADP is Enron’s COBRA administrator for the Medical and Dental Plans.  ADP will furnish future correspondence regarding COBRA coverage for these plans, and they provide you monthly payment coupons for coverages elected.</w:t>
      </w:r>
    </w:p>
    <w:p>
      <w:pPr>
        <w:pStyle w:val="BodyText2"/>
        <w:rPr>
          <w:color w:val="000000"/>
        </w:rPr>
      </w:pPr>
      <w:r>
        <w:rPr>
          <w:color w:val="000000"/>
        </w:rPr>
      </w:r>
    </w:p>
    <w:p>
      <w:pPr>
        <w:pStyle w:val="BodyText2"/>
        <w:rPr/>
      </w:pPr>
      <w:r>
        <w:rPr>
          <w:color w:val="000000"/>
        </w:rPr>
        <w:t xml:space="preserve">You may also be eligible to elect continuation coverage through the Enron Corp. Portable Medical Plan or Inactives/Retirees Medical Plan. </w:t>
      </w:r>
      <w:r>
        <w:rPr/>
        <w:t>Please contact the Benefits Service Center at 800-332-7979, Option #1 if you choose to elect such coverage.</w:t>
      </w:r>
    </w:p>
    <w:p>
      <w:pPr>
        <w:pStyle w:val="BodyText2"/>
        <w:rPr>
          <w:color w:val="000000"/>
        </w:rPr>
      </w:pPr>
      <w:r>
        <w:rPr>
          <w:color w:val="000000"/>
        </w:rPr>
      </w:r>
    </w:p>
    <w:p>
      <w:pPr>
        <w:pStyle w:val="BodyText2"/>
        <w:numPr>
          <w:ilvl w:val="0"/>
          <w:numId w:val="2"/>
        </w:numPr>
        <w:rPr>
          <w:b/>
          <w:color w:val="000000"/>
        </w:rPr>
      </w:pPr>
      <w:r>
        <w:rPr>
          <w:b/>
          <w:color w:val="000000"/>
        </w:rPr>
        <w:t>What are the requirements of the Portable Medical and Dental Plan?</w:t>
      </w:r>
    </w:p>
    <w:p>
      <w:pPr>
        <w:pStyle w:val="BodyText2"/>
        <w:rPr>
          <w:b/>
          <w:color w:val="000000"/>
        </w:rPr>
      </w:pPr>
      <w:r>
        <w:rPr>
          <w:b/>
          <w:color w:val="000000"/>
        </w:rPr>
      </w:r>
    </w:p>
    <w:p>
      <w:pPr>
        <w:pStyle w:val="BodyText2"/>
        <w:rPr>
          <w:color w:val="000000"/>
        </w:rPr>
      </w:pPr>
      <w:r>
        <w:rPr>
          <w:color w:val="000000"/>
        </w:rPr>
        <w:t>You are eligible for Portable Medical and Dental Plan if you have 5 years of service with Enron and you are at least 40 years of age.  You are required to make your Medical or Medical/Dental election within 31 days of termination of your employment from Enron.  To elect Dental you must elect Medical coverage.  If you do not elect Dental coverage within 31 days of termination, you will permanently lose eligibility for that coverage.  Coverage also includes any dependents covered at the time of termination.  The option you elect will be the maximum level of coverage you will be eligible for thereafter.  Surviving spouses will continue eligibility in this plan.  During annual open enrollment you may elect a higher deductible plan, you may change your coverage category or you may drop dependents.  Premiums are fully paid by participants.</w:t>
      </w:r>
    </w:p>
    <w:p>
      <w:pPr>
        <w:pStyle w:val="BodyText2"/>
        <w:rPr>
          <w:color w:val="000000"/>
        </w:rPr>
      </w:pPr>
      <w:r>
        <w:rPr>
          <w:color w:val="000000"/>
        </w:rPr>
      </w:r>
    </w:p>
    <w:p>
      <w:pPr>
        <w:pStyle w:val="BodyText2"/>
        <w:numPr>
          <w:ilvl w:val="0"/>
          <w:numId w:val="2"/>
        </w:numPr>
        <w:rPr>
          <w:b/>
          <w:color w:val="000000"/>
        </w:rPr>
      </w:pPr>
      <w:r>
        <w:rPr>
          <w:b/>
          <w:color w:val="000000"/>
        </w:rPr>
        <w:t>What are the requirements of the Retiree Medical Plan?</w:t>
      </w:r>
    </w:p>
    <w:p>
      <w:pPr>
        <w:pStyle w:val="BodyText2"/>
        <w:rPr>
          <w:b/>
          <w:color w:val="000000"/>
        </w:rPr>
      </w:pPr>
      <w:r>
        <w:rPr>
          <w:b/>
          <w:color w:val="000000"/>
        </w:rPr>
      </w:r>
    </w:p>
    <w:p>
      <w:pPr>
        <w:pStyle w:val="BodyText2"/>
        <w:rPr>
          <w:color w:val="000000"/>
        </w:rPr>
      </w:pPr>
      <w:r>
        <w:rPr>
          <w:color w:val="000000"/>
        </w:rPr>
        <w:t>You are eligible for the Retiree Medical Plan if you are at least 55 years old and have a minimum of 5 years of service upon your termination of employment from Enron.  As a retiree or terminating employee you have 31 days from your employment termination date to elect coverage under the Inactive Medical Plan or you will permanently lose eligibility.  You must elect Medical coverage to be eligible for Dental coverage.</w:t>
      </w:r>
    </w:p>
    <w:p>
      <w:pPr>
        <w:pStyle w:val="BodyText2"/>
        <w:rPr>
          <w:color w:val="000000"/>
        </w:rPr>
      </w:pPr>
      <w:r>
        <w:rPr>
          <w:color w:val="000000"/>
        </w:rPr>
      </w:r>
    </w:p>
    <w:p>
      <w:pPr>
        <w:pStyle w:val="BodyText2"/>
        <w:rPr>
          <w:color w:val="000000"/>
        </w:rPr>
      </w:pPr>
      <w:r>
        <w:rPr>
          <w:color w:val="000000"/>
        </w:rPr>
        <w:t>Participant contributions are currently subsidized.  Enron will provide a Defined Dollar Benefit (DDB) amount for each full year of credited service at the time of termination.</w:t>
      </w:r>
    </w:p>
    <w:p>
      <w:pPr>
        <w:pStyle w:val="BodyText2"/>
        <w:rPr>
          <w:b/>
          <w:color w:val="000000"/>
        </w:rPr>
      </w:pPr>
      <w:r>
        <w:rPr>
          <w:b/>
          <w:color w:val="000000"/>
        </w:rPr>
      </w:r>
    </w:p>
    <w:p>
      <w:pPr>
        <w:pStyle w:val="BodyText2"/>
        <w:rPr>
          <w:b/>
          <w:color w:val="000000"/>
        </w:rPr>
      </w:pPr>
      <w:r>
        <w:rPr>
          <w:b/>
          <w:color w:val="000000"/>
        </w:rPr>
      </w:r>
    </w:p>
    <w:p>
      <w:pPr>
        <w:pStyle w:val="BodyText2"/>
        <w:rPr>
          <w:b/>
          <w:color w:val="000000"/>
        </w:rPr>
      </w:pPr>
      <w:r>
        <w:rPr>
          <w:b/>
          <w:color w:val="000000"/>
        </w:rPr>
      </w:r>
    </w:p>
    <w:p>
      <w:pPr>
        <w:pStyle w:val="BodyText2"/>
        <w:numPr>
          <w:ilvl w:val="0"/>
          <w:numId w:val="2"/>
        </w:numPr>
        <w:rPr>
          <w:b/>
          <w:color w:val="000000"/>
        </w:rPr>
      </w:pPr>
      <w:r>
        <w:rPr>
          <w:b/>
          <w:color w:val="000000"/>
        </w:rPr>
        <w:t>What happens to the employee’s long-term disability, life insurance, and AD&amp;D coverage?</w:t>
      </w:r>
    </w:p>
    <w:p>
      <w:pPr>
        <w:pStyle w:val="BodyText2"/>
        <w:rPr>
          <w:b/>
          <w:color w:val="000000"/>
        </w:rPr>
      </w:pPr>
      <w:r>
        <w:rPr>
          <w:b/>
          <w:color w:val="000000"/>
        </w:rPr>
      </w:r>
    </w:p>
    <w:p>
      <w:pPr>
        <w:pStyle w:val="BodyText2"/>
        <w:rPr>
          <w:color w:val="000000"/>
        </w:rPr>
      </w:pPr>
      <w:r>
        <w:rPr>
          <w:color w:val="000000"/>
        </w:rPr>
        <w:t xml:space="preserve">Your employee life, spouse life and dependent life insurance and your employee or employee and </w:t>
      </w:r>
    </w:p>
    <w:p>
      <w:pPr>
        <w:pStyle w:val="BodyText2"/>
        <w:rPr>
          <w:color w:val="000000"/>
        </w:rPr>
      </w:pPr>
      <w:r>
        <w:rPr>
          <w:color w:val="000000"/>
        </w:rPr>
      </w:r>
    </w:p>
    <w:p>
      <w:pPr>
        <w:pStyle w:val="BodyText2"/>
        <w:rPr>
          <w:color w:val="000000"/>
        </w:rPr>
      </w:pPr>
      <w:r>
        <w:rPr>
          <w:color w:val="000000"/>
        </w:rPr>
      </w:r>
    </w:p>
    <w:p>
      <w:pPr>
        <w:pStyle w:val="BodyText2"/>
        <w:rPr>
          <w:color w:val="000000"/>
        </w:rPr>
      </w:pPr>
      <w:r>
        <w:rPr>
          <w:color w:val="000000"/>
        </w:rPr>
        <w:t>family AD&amp;D coverage may be converted to individual policies within 30 days of your termination from Enron.</w:t>
      </w:r>
    </w:p>
    <w:p>
      <w:pPr>
        <w:pStyle w:val="BodyText2"/>
        <w:rPr>
          <w:color w:val="000000"/>
        </w:rPr>
      </w:pPr>
      <w:r>
        <w:rPr>
          <w:color w:val="000000"/>
        </w:rPr>
      </w:r>
    </w:p>
    <w:p>
      <w:pPr>
        <w:pStyle w:val="BodyText2"/>
        <w:rPr>
          <w:color w:val="000000"/>
        </w:rPr>
      </w:pPr>
      <w:r>
        <w:rPr>
          <w:color w:val="000000"/>
        </w:rPr>
        <w:t>LTD coverage ceases on your date of termination and cannot be converted.  Unused sick pay is forfeited at termination.</w:t>
      </w:r>
    </w:p>
    <w:p>
      <w:pPr>
        <w:pStyle w:val="BodyText2"/>
        <w:rPr>
          <w:color w:val="000000"/>
        </w:rPr>
      </w:pPr>
      <w:r>
        <w:rPr>
          <w:color w:val="000000"/>
        </w:rPr>
      </w:r>
    </w:p>
    <w:p>
      <w:pPr>
        <w:pStyle w:val="BodyText2"/>
        <w:rPr>
          <w:color w:val="000000"/>
        </w:rPr>
      </w:pPr>
      <w:r>
        <w:rPr>
          <w:color w:val="000000"/>
        </w:rPr>
        <w:t xml:space="preserve">If you wish to convert your life and/or AD&amp;D coverage, please </w:t>
      </w:r>
      <w:r>
        <w:rPr/>
        <w:t>contact the Benefits Service Center at 800-332-7979, Option #1.</w:t>
      </w:r>
    </w:p>
    <w:p>
      <w:pPr>
        <w:pStyle w:val="Normal"/>
        <w:widowControl/>
        <w:jc w:val="both"/>
        <w:rPr>
          <w:rFonts w:ascii="Arial" w:hAnsi="Arial" w:cs="Arial"/>
          <w:b/>
          <w:color w:val="000000"/>
          <w:u w:val="single"/>
        </w:rPr>
      </w:pPr>
      <w:r>
        <w:rPr>
          <w:rFonts w:cs="Arial" w:ascii="Arial" w:hAnsi="Arial"/>
          <w:b/>
          <w:color w:val="000000"/>
          <w:u w:val="single"/>
        </w:rPr>
      </w:r>
    </w:p>
    <w:p>
      <w:pPr>
        <w:pStyle w:val="Normal"/>
        <w:widowControl/>
        <w:jc w:val="both"/>
        <w:rPr>
          <w:rFonts w:ascii="Arial" w:hAnsi="Arial" w:cs="Arial"/>
          <w:b/>
          <w:bCs/>
          <w:i/>
          <w:i/>
          <w:iCs/>
          <w:color w:val="3366FF"/>
          <w:u w:val="single"/>
        </w:rPr>
      </w:pPr>
      <w:r>
        <w:rPr>
          <w:rFonts w:cs="Arial" w:ascii="Arial" w:hAnsi="Arial"/>
          <w:b/>
          <w:bCs/>
          <w:i/>
          <w:iCs/>
          <w:color w:val="3366FF"/>
          <w:u w:val="single"/>
        </w:rPr>
        <w:t>The Cash Balance Plan (formerly the Retirement Plan)</w:t>
      </w:r>
    </w:p>
    <w:p>
      <w:pPr>
        <w:pStyle w:val="Normal"/>
        <w:widowControl/>
        <w:jc w:val="both"/>
        <w:rPr>
          <w:rFonts w:ascii="Arial" w:hAnsi="Arial" w:cs="Arial"/>
          <w:b/>
          <w:bCs/>
          <w:i/>
          <w:i/>
          <w:iCs/>
          <w:color w:val="3366FF"/>
          <w:u w:val="single"/>
        </w:rPr>
      </w:pPr>
      <w:r>
        <w:rPr>
          <w:rFonts w:cs="Arial" w:ascii="Arial" w:hAnsi="Arial"/>
          <w:b/>
          <w:bCs/>
          <w:i/>
          <w:iCs/>
          <w:color w:val="3366FF"/>
          <w:u w:val="single"/>
        </w:rPr>
      </w:r>
    </w:p>
    <w:p>
      <w:pPr>
        <w:pStyle w:val="BodyText2"/>
        <w:numPr>
          <w:ilvl w:val="0"/>
          <w:numId w:val="2"/>
        </w:numPr>
        <w:rPr>
          <w:b/>
        </w:rPr>
      </w:pPr>
      <w:r>
        <w:rPr>
          <w:b/>
        </w:rPr>
        <w:t>What about the Cash Balance Plan?</w:t>
      </w:r>
    </w:p>
    <w:p>
      <w:pPr>
        <w:pStyle w:val="BodyText2"/>
        <w:widowControl/>
        <w:rPr>
          <w:b/>
        </w:rPr>
      </w:pPr>
      <w:r>
        <w:rPr>
          <w:b/>
        </w:rPr>
      </w:r>
    </w:p>
    <w:p>
      <w:pPr>
        <w:pStyle w:val="BodyText2"/>
        <w:rPr>
          <w:b/>
        </w:rPr>
      </w:pPr>
      <w:r>
        <w:rPr/>
        <w:t>After five years of service, which includes years of service to date, employees are 100 percent vested in their account. If your employment with Enron terminates before you become vested you will not receive any benefit from the Cash Balance Plan. There is no partial vesting in this plan.</w:t>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rPr>
      </w:pPr>
      <w:r>
        <w:rPr>
          <w:rFonts w:cs="Arial" w:ascii="Arial" w:hAnsi="Arial"/>
        </w:rPr>
        <w:t>When employees leave Enron, for any reason, at any time, they can take their vested cash balance accounts with them or leave the balance at Enron (if over $5,000). If you have any questions about the Cash Balance Plan, please call the Benefits Service Center at 800-332-7979, Option #2.  Your PIN number is the last four digits of your social security number.</w:t>
      </w:r>
    </w:p>
    <w:p>
      <w:pPr>
        <w:pStyle w:val="Normal"/>
        <w:widowControl/>
        <w:jc w:val="both"/>
        <w:rPr>
          <w:rFonts w:ascii="Arial" w:hAnsi="Arial" w:cs="Arial"/>
        </w:rPr>
      </w:pPr>
      <w:r>
        <w:rPr>
          <w:rFonts w:cs="Arial" w:ascii="Arial" w:hAnsi="Arial"/>
        </w:rPr>
      </w:r>
    </w:p>
    <w:p>
      <w:pPr>
        <w:pStyle w:val="BodyText2"/>
        <w:rPr/>
      </w:pPr>
      <w:r>
        <w:rPr/>
        <w:t>Your 2001 credits are prorated based on your divestiture date.</w:t>
      </w:r>
    </w:p>
    <w:p>
      <w:pPr>
        <w:pStyle w:val="Normal"/>
        <w:widowControl/>
        <w:jc w:val="both"/>
        <w:rPr>
          <w:rFonts w:ascii="Arial" w:hAnsi="Arial" w:cs="Arial"/>
          <w:b/>
        </w:rPr>
      </w:pPr>
      <w:r>
        <w:rPr>
          <w:rFonts w:cs="Arial" w:ascii="Arial" w:hAnsi="Arial"/>
          <w:b/>
        </w:rPr>
      </w:r>
    </w:p>
    <w:p>
      <w:pPr>
        <w:pStyle w:val="Normal"/>
        <w:numPr>
          <w:ilvl w:val="0"/>
          <w:numId w:val="2"/>
        </w:numPr>
        <w:rPr>
          <w:rFonts w:ascii="Arial" w:hAnsi="Arial" w:cs="Arial"/>
          <w:b/>
        </w:rPr>
      </w:pPr>
      <w:r>
        <w:rPr>
          <w:rFonts w:cs="Arial" w:ascii="Arial" w:hAnsi="Arial"/>
          <w:b/>
        </w:rPr>
        <w:t>If I am age 55 or older and my employment terminates at the time of the transaction, will I be eligible to commence receipt of benefits under the Enron Corp. Cash Balance Plan?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 xml:space="preserve">Yes, if your employment terminates as a result of the transaction and you are age 55 and older with five or more years of service you may elect to commence receipt of pension benefits under the Enron Corp. Cash Balance Plan.  </w:t>
      </w:r>
    </w:p>
    <w:p>
      <w:pPr>
        <w:pStyle w:val="Normal"/>
        <w:widowControl/>
        <w:jc w:val="both"/>
        <w:rPr>
          <w:rFonts w:ascii="Arial" w:hAnsi="Arial" w:cs="Arial"/>
          <w:b/>
        </w:rPr>
      </w:pPr>
      <w:r>
        <w:rPr>
          <w:rFonts w:cs="Arial" w:ascii="Arial" w:hAnsi="Arial"/>
          <w:b/>
        </w:rPr>
      </w:r>
    </w:p>
    <w:p>
      <w:pPr>
        <w:pStyle w:val="Normal"/>
        <w:numPr>
          <w:ilvl w:val="0"/>
          <w:numId w:val="2"/>
        </w:numPr>
        <w:rPr>
          <w:rFonts w:ascii="Arial" w:hAnsi="Arial" w:cs="Arial"/>
          <w:b/>
        </w:rPr>
      </w:pPr>
      <w:r>
        <w:rPr>
          <w:rFonts w:cs="Arial" w:ascii="Arial" w:hAnsi="Arial"/>
          <w:b/>
        </w:rPr>
        <w:t xml:space="preserve">Will retirement calculations be readily available? </w:t>
      </w:r>
    </w:p>
    <w:p>
      <w:pPr>
        <w:pStyle w:val="Normal"/>
        <w:rPr>
          <w:rFonts w:ascii="Arial" w:hAnsi="Arial" w:cs="Arial"/>
          <w:b/>
        </w:rPr>
      </w:pPr>
      <w:r>
        <w:rPr>
          <w:rFonts w:cs="Arial" w:ascii="Arial" w:hAnsi="Arial"/>
          <w:b/>
        </w:rPr>
      </w:r>
    </w:p>
    <w:p>
      <w:pPr>
        <w:pStyle w:val="BodyText2"/>
        <w:rPr/>
      </w:pPr>
      <w:r>
        <w:rPr/>
        <w:t xml:space="preserve">Retirement estimates are available within a reasonable time frame by contacting the Benefits Service Center at 800-332-7979, Option #2 or online at </w:t>
      </w:r>
      <w:hyperlink r:id="rId3">
        <w:r>
          <w:rPr>
            <w:rStyle w:val="Hyperlink"/>
          </w:rPr>
          <w:t>www.benefits.enron.com</w:t>
        </w:r>
      </w:hyperlink>
      <w:r>
        <w:rPr/>
        <w:t>, under the Pension Plan.  Benefits accrued under the cash balance formula are payable as either a monthly annuity or in a single lump sum distribution.</w:t>
      </w:r>
    </w:p>
    <w:p>
      <w:pPr>
        <w:pStyle w:val="BodyText2"/>
        <w:rPr>
          <w:b/>
          <w:color w:val="000000"/>
        </w:rPr>
      </w:pPr>
      <w:r>
        <w:rPr>
          <w:b/>
          <w:color w:val="000000"/>
        </w:rPr>
      </w:r>
    </w:p>
    <w:p>
      <w:pPr>
        <w:pStyle w:val="BodyText2"/>
        <w:numPr>
          <w:ilvl w:val="0"/>
          <w:numId w:val="2"/>
        </w:numPr>
        <w:rPr/>
      </w:pPr>
      <w:r>
        <w:rPr>
          <w:b/>
        </w:rPr>
        <w:t xml:space="preserve">If I elect to retire or elect to receive a distribution from the Cash Balance or Savings Plan and I am under 59 ½ years of age, will I have to pay the 10 percent early withdrawal penalty on the taxable portion? </w:t>
      </w:r>
    </w:p>
    <w:p>
      <w:pPr>
        <w:pStyle w:val="BodyText2"/>
        <w:rPr/>
      </w:pPr>
      <w:r>
        <w:rPr/>
      </w:r>
    </w:p>
    <w:p>
      <w:pPr>
        <w:pStyle w:val="BodyText2"/>
        <w:rPr/>
      </w:pPr>
      <w:r>
        <w:rPr/>
        <w:t xml:space="preserve">Check with your tax advisor in deciding what course of action to follow regarding a distribution. </w:t>
      </w:r>
    </w:p>
    <w:p>
      <w:pPr>
        <w:pStyle w:val="BodyText2"/>
        <w:rPr/>
      </w:pPr>
      <w:r>
        <w:rPr/>
        <w:t>The 10 percent tax penalty generally applies to any distribution or withdrawal from a tax qualified pension plan received before age 59 ½, which is includable in your ordinary income.  The 10 ‘</w:t>
      </w:r>
    </w:p>
    <w:p>
      <w:pPr>
        <w:pStyle w:val="BodyText2"/>
        <w:rPr/>
      </w:pPr>
      <w:r>
        <w:rPr/>
      </w:r>
    </w:p>
    <w:p>
      <w:pPr>
        <w:pStyle w:val="BodyText2"/>
        <w:rPr/>
      </w:pPr>
      <w:r>
        <w:rPr/>
      </w:r>
    </w:p>
    <w:p>
      <w:pPr>
        <w:pStyle w:val="BodyText2"/>
        <w:rPr/>
      </w:pPr>
      <w:r>
        <w:rPr/>
        <w:t xml:space="preserve">percent tax penalty does not apply if you rollover the distribution to another qualified plan or IRA; or if you retire or terminate from Enron on or after age 55 and you elect a full distribution of your funds.  </w:t>
      </w:r>
    </w:p>
    <w:p>
      <w:pPr>
        <w:pStyle w:val="BodyText2"/>
        <w:rPr/>
      </w:pPr>
      <w:r>
        <w:rPr/>
      </w:r>
    </w:p>
    <w:p>
      <w:pPr>
        <w:pStyle w:val="Normal"/>
        <w:widowControl/>
        <w:numPr>
          <w:ilvl w:val="0"/>
          <w:numId w:val="2"/>
        </w:numPr>
        <w:jc w:val="both"/>
        <w:rPr>
          <w:rFonts w:ascii="Arial" w:hAnsi="Arial" w:cs="Arial"/>
          <w:b/>
        </w:rPr>
      </w:pPr>
      <w:r>
        <w:rPr>
          <w:rFonts w:cs="Arial" w:ascii="Arial" w:hAnsi="Arial"/>
          <w:b/>
        </w:rPr>
        <w:t>If I elect to retire, when would I be eligible to begin receiving social security benefits?</w:t>
      </w:r>
    </w:p>
    <w:p>
      <w:pPr>
        <w:pStyle w:val="Normal"/>
        <w:widowControl/>
        <w:jc w:val="both"/>
        <w:rPr>
          <w:rFonts w:ascii="Arial" w:hAnsi="Arial" w:cs="Arial"/>
          <w:b/>
        </w:rPr>
      </w:pPr>
      <w:r>
        <w:rPr>
          <w:rFonts w:cs="Arial" w:ascii="Arial" w:hAnsi="Arial"/>
          <w:b/>
        </w:rPr>
      </w:r>
    </w:p>
    <w:p>
      <w:pPr>
        <w:pStyle w:val="BodyText2"/>
        <w:widowControl/>
        <w:rPr/>
      </w:pPr>
      <w:r>
        <w:rPr/>
        <w:t xml:space="preserve">Check with your local Social Security Administration Office for details. </w:t>
      </w:r>
    </w:p>
    <w:p>
      <w:pPr>
        <w:pStyle w:val="BodyText2"/>
        <w:rPr>
          <w:b/>
          <w:color w:val="000000"/>
        </w:rPr>
      </w:pPr>
      <w:r>
        <w:rPr>
          <w:b/>
          <w:color w:val="000000"/>
        </w:rPr>
      </w:r>
    </w:p>
    <w:p>
      <w:pPr>
        <w:pStyle w:val="BodyText2"/>
        <w:rPr>
          <w:b/>
          <w:i/>
          <w:i/>
          <w:iCs/>
          <w:color w:val="3366FF"/>
          <w:u w:val="single"/>
        </w:rPr>
      </w:pPr>
      <w:r>
        <w:rPr>
          <w:b/>
          <w:i/>
          <w:iCs/>
          <w:color w:val="3366FF"/>
          <w:u w:val="single"/>
        </w:rPr>
        <w:t>SAVINGS PLAN</w:t>
      </w:r>
    </w:p>
    <w:p>
      <w:pPr>
        <w:pStyle w:val="BodyText2"/>
        <w:rPr>
          <w:b/>
          <w:i/>
          <w:i/>
          <w:iCs/>
          <w:color w:val="000000"/>
          <w:u w:val="single"/>
        </w:rPr>
      </w:pPr>
      <w:r>
        <w:rPr>
          <w:b/>
          <w:i/>
          <w:iCs/>
          <w:color w:val="000000"/>
          <w:u w:val="single"/>
        </w:rPr>
      </w:r>
    </w:p>
    <w:p>
      <w:pPr>
        <w:pStyle w:val="Normal"/>
        <w:widowControl/>
        <w:numPr>
          <w:ilvl w:val="0"/>
          <w:numId w:val="2"/>
        </w:numPr>
        <w:jc w:val="both"/>
        <w:rPr>
          <w:rFonts w:ascii="Arial" w:hAnsi="Arial" w:cs="Arial"/>
          <w:b/>
        </w:rPr>
      </w:pPr>
      <w:r>
        <w:rPr>
          <w:rFonts w:cs="Arial" w:ascii="Arial" w:hAnsi="Arial"/>
          <w:b/>
        </w:rPr>
        <w:t>What about my account in the Enron Corp. Savings Plan?</w:t>
      </w:r>
    </w:p>
    <w:p>
      <w:pPr>
        <w:pStyle w:val="Normal"/>
        <w:widowControl/>
        <w:jc w:val="both"/>
        <w:rPr>
          <w:rFonts w:ascii="Arial" w:hAnsi="Arial" w:cs="Arial"/>
          <w:b/>
        </w:rPr>
      </w:pPr>
      <w:r>
        <w:rPr>
          <w:rFonts w:cs="Arial" w:ascii="Arial" w:hAnsi="Arial"/>
          <w:b/>
        </w:rPr>
      </w:r>
    </w:p>
    <w:p>
      <w:pPr>
        <w:pStyle w:val="BodyText3"/>
        <w:rPr>
          <w:b w:val="false"/>
        </w:rPr>
      </w:pPr>
      <w:r>
        <w:rPr>
          <w:b w:val="false"/>
        </w:rPr>
        <w:t xml:space="preserve">Special rules under the Internal Revenue Code apply to distributions of pre-tax contributions under the Savings Plan.  In this kind of divestiture (which is characterized as a stock divestiture), for purposes of the Savings Plan, if you become employed by AEP, your contributions to the Savings Plan will cease, but any outstanding loans will remain active. In service withdrawals of your after tax and/or rollover accounts are allowed.  </w:t>
      </w:r>
    </w:p>
    <w:p>
      <w:pPr>
        <w:pStyle w:val="Normal"/>
        <w:spacing w:lineRule="atLeast" w:line="240"/>
        <w:rPr>
          <w:rFonts w:ascii="Arial" w:hAnsi="Arial" w:cs="Arial"/>
          <w:b/>
        </w:rPr>
      </w:pPr>
      <w:r>
        <w:rPr>
          <w:rFonts w:cs="Arial" w:ascii="Arial" w:hAnsi="Arial"/>
          <w:b/>
        </w:rPr>
      </w:r>
    </w:p>
    <w:p>
      <w:pPr>
        <w:pStyle w:val="Normal"/>
        <w:spacing w:lineRule="atLeast" w:line="240"/>
        <w:rPr>
          <w:rFonts w:ascii="Arial" w:hAnsi="Arial" w:cs="Arial"/>
        </w:rPr>
      </w:pPr>
      <w:r>
        <w:rPr>
          <w:rFonts w:cs="Arial" w:ascii="Arial" w:hAnsi="Arial"/>
        </w:rPr>
        <w:t>If you have a loan(s) outstanding, you may repay the balance in full or continue to make manual monthly payments for six months.  Loan payments can be made by certified check, money order or cashier's check and should be made payable to the Enron Corp. Savings Plan. You will receive loan payment coupons in the mail within a month following the date of sale, which must be included with your check.   If you do not receive the coupons within three weeks following the sale, please contact the Benefits Service Center at 1-800-332-7979, Option # 3.  You may press *0 to speak with a representative.</w:t>
      </w:r>
    </w:p>
    <w:p>
      <w:pPr>
        <w:pStyle w:val="Normal"/>
        <w:spacing w:lineRule="atLeast" w:line="240"/>
        <w:rPr>
          <w:rFonts w:ascii="Arial" w:hAnsi="Arial" w:cs="Arial"/>
        </w:rPr>
      </w:pPr>
      <w:r>
        <w:rPr>
          <w:rFonts w:cs="Arial" w:ascii="Arial" w:hAnsi="Arial"/>
        </w:rPr>
      </w:r>
    </w:p>
    <w:p>
      <w:pPr>
        <w:pStyle w:val="Normal"/>
        <w:spacing w:lineRule="atLeast" w:line="240"/>
        <w:rPr>
          <w:rFonts w:ascii="Arial" w:hAnsi="Arial" w:cs="Arial"/>
        </w:rPr>
      </w:pPr>
      <w:r>
        <w:rPr>
          <w:rFonts w:cs="Arial" w:ascii="Arial" w:hAnsi="Arial"/>
        </w:rPr>
        <w:t>As stated in your original promissory note, loan repayments are due on or before the last regular business day of each month.  In the event you miss one or more payments or your loan is not paid in full within six months following the close of the sale, the promissory language concerning default and acceleration is still applicable.</w:t>
      </w:r>
    </w:p>
    <w:p>
      <w:pPr>
        <w:pStyle w:val="Normal"/>
        <w:spacing w:lineRule="atLeast" w:line="240"/>
        <w:rPr>
          <w:rFonts w:ascii="Arial" w:hAnsi="Arial" w:cs="Arial"/>
        </w:rPr>
      </w:pPr>
      <w:r>
        <w:rPr>
          <w:rFonts w:cs="Arial" w:ascii="Arial" w:hAnsi="Arial"/>
        </w:rPr>
      </w:r>
    </w:p>
    <w:p>
      <w:pPr>
        <w:pStyle w:val="Normal"/>
        <w:spacing w:lineRule="atLeast" w:line="240"/>
        <w:rPr/>
      </w:pPr>
      <w:r>
        <w:rPr>
          <w:rFonts w:cs="Arial" w:ascii="Arial" w:hAnsi="Arial"/>
        </w:rPr>
        <w:t xml:space="preserve">You may still transfer your funds between investment options daily.  Company matching contributions are </w:t>
      </w:r>
      <w:r>
        <w:rPr>
          <w:rFonts w:cs="Arial" w:ascii="Arial" w:hAnsi="Arial"/>
          <w:b/>
          <w:i/>
          <w:u w:val="single"/>
        </w:rPr>
        <w:t>never</w:t>
      </w:r>
      <w:r>
        <w:rPr>
          <w:rFonts w:cs="Arial" w:ascii="Arial" w:hAnsi="Arial"/>
        </w:rPr>
        <w:t xml:space="preserve"> transferable unless you are age 50 or older. </w:t>
      </w:r>
    </w:p>
    <w:p>
      <w:pPr>
        <w:pStyle w:val="Normal"/>
        <w:spacing w:lineRule="atLeast" w:line="240"/>
        <w:rPr>
          <w:rFonts w:ascii="Arial" w:hAnsi="Arial" w:cs="Arial"/>
        </w:rPr>
      </w:pPr>
      <w:r>
        <w:rPr>
          <w:rFonts w:cs="Arial" w:ascii="Arial" w:hAnsi="Arial"/>
        </w:rPr>
      </w:r>
    </w:p>
    <w:p>
      <w:pPr>
        <w:pStyle w:val="Normal"/>
        <w:spacing w:lineRule="atLeast" w:line="240"/>
        <w:rPr>
          <w:rFonts w:ascii="Arial" w:hAnsi="Arial" w:cs="Arial"/>
        </w:rPr>
      </w:pPr>
      <w:r>
        <w:rPr>
          <w:rFonts w:cs="Arial" w:ascii="Arial" w:hAnsi="Arial"/>
        </w:rPr>
        <w:t>For additional details or questions, call the Benefits Service Center at 1-800-332-7979, Option # 3.  You may press *0 to speak with a representative.</w:t>
      </w:r>
    </w:p>
    <w:p>
      <w:pPr>
        <w:pStyle w:val="Normal"/>
        <w:spacing w:lineRule="atLeast" w:line="240"/>
        <w:rPr>
          <w:rFonts w:ascii="Arial" w:hAnsi="Arial" w:cs="Arial"/>
        </w:rPr>
      </w:pPr>
      <w:r>
        <w:rPr>
          <w:rFonts w:cs="Arial" w:ascii="Arial" w:hAnsi="Arial"/>
        </w:rPr>
      </w:r>
    </w:p>
    <w:p>
      <w:pPr>
        <w:pStyle w:val="Normal"/>
        <w:widowContro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rPr>
      </w:pPr>
      <w:r>
        <w:rPr>
          <w:rFonts w:cs="Arial" w:ascii="Arial" w:hAnsi="Arial"/>
          <w:b/>
        </w:rPr>
        <w:t>What about the ESOP?</w:t>
      </w:r>
    </w:p>
    <w:p>
      <w:pPr>
        <w:pStyle w:val="Normal"/>
        <w:widowControl/>
        <w:jc w:val="both"/>
        <w:rPr>
          <w:rFonts w:ascii="Arial" w:hAnsi="Arial" w:cs="Arial"/>
          <w:b/>
          <w:color w:val="FF0000"/>
        </w:rPr>
      </w:pPr>
      <w:r>
        <w:rPr>
          <w:rFonts w:cs="Arial" w:ascii="Arial" w:hAnsi="Arial"/>
          <w:b/>
          <w:color w:val="FF0000"/>
        </w:rPr>
      </w:r>
    </w:p>
    <w:p>
      <w:pPr>
        <w:pStyle w:val="Normal"/>
        <w:widowControl/>
        <w:jc w:val="both"/>
        <w:rPr/>
      </w:pPr>
      <w:r>
        <w:rPr>
          <w:rFonts w:cs="Arial" w:ascii="Arial" w:hAnsi="Arial"/>
        </w:rPr>
        <w:t>If you were an Enron employee, not an acquired employee, prior to December 31, 1994, you are 100% vested in your ESOP Accounts and may elect a distribution by submitting a request by the 20</w:t>
      </w:r>
      <w:r>
        <w:rPr>
          <w:rFonts w:cs="Arial" w:ascii="Arial" w:hAnsi="Arial"/>
          <w:vertAlign w:val="superscript"/>
        </w:rPr>
        <w:t>th</w:t>
      </w:r>
      <w:r>
        <w:rPr>
          <w:rFonts w:cs="Arial" w:ascii="Arial" w:hAnsi="Arial"/>
        </w:rPr>
        <w:t xml:space="preserve"> of any month.  For a form or additional details, contact Benefits Service Center at 1-800-332-7979, Option # 3. You are not required to take a distribution of your Employee Stock Ownership Plan.  You can roll your ESOP shares to the Enron Corp Savings Plan as an active Enron employee.  Once the sale is complete, you will not be eligible to roll over to the Enron Savings Plan.</w:t>
      </w:r>
      <w:r>
        <w:br w:type="page"/>
      </w:r>
    </w:p>
    <w:p>
      <w:pPr>
        <w:pStyle w:val="BodyText2"/>
        <w:rPr>
          <w:rFonts w:ascii="Arial" w:hAnsi="Arial" w:cs="Arial"/>
          <w:b/>
        </w:rPr>
      </w:pPr>
      <w:r>
        <w:rPr>
          <w:rFonts w:cs="Arial"/>
          <w:b/>
        </w:rPr>
      </w:r>
    </w:p>
    <w:p>
      <w:pPr>
        <w:pStyle w:val="BodyText2"/>
        <w:rPr>
          <w:b/>
        </w:rPr>
      </w:pPr>
      <w:r>
        <w:rPr>
          <w:b/>
        </w:rPr>
      </w:r>
    </w:p>
    <w:p>
      <w:pPr>
        <w:pStyle w:val="BodyText2"/>
        <w:rPr>
          <w:b/>
          <w:i/>
          <w:i/>
          <w:iCs/>
          <w:color w:val="3366FF"/>
          <w:u w:val="single"/>
        </w:rPr>
      </w:pPr>
      <w:r>
        <w:rPr>
          <w:b/>
          <w:i/>
          <w:iCs/>
          <w:color w:val="3366FF"/>
          <w:u w:val="single"/>
        </w:rPr>
        <w:t>STOCK OPTIONS</w:t>
      </w:r>
    </w:p>
    <w:p>
      <w:pPr>
        <w:pStyle w:val="BodyText2"/>
        <w:rPr>
          <w:b/>
          <w:i/>
          <w:i/>
          <w:iCs/>
          <w:color w:val="3366FF"/>
          <w:u w:val="single"/>
        </w:rPr>
      </w:pPr>
      <w:r>
        <w:rPr>
          <w:b/>
          <w:i/>
          <w:iCs/>
          <w:color w:val="3366FF"/>
          <w:u w:val="single"/>
        </w:rPr>
      </w:r>
    </w:p>
    <w:p>
      <w:pPr>
        <w:pStyle w:val="BodyText2"/>
        <w:numPr>
          <w:ilvl w:val="0"/>
          <w:numId w:val="2"/>
        </w:numPr>
        <w:rPr>
          <w:b/>
        </w:rPr>
      </w:pPr>
      <w:r>
        <w:rPr>
          <w:b/>
        </w:rPr>
        <w:t>With the transfer to AEP, will my termination be listed as involuntary so that I can exercise my vested options?</w:t>
      </w:r>
    </w:p>
    <w:p>
      <w:pPr>
        <w:pStyle w:val="BodyText2"/>
        <w:ind w:start="90" w:end="0"/>
        <w:rPr>
          <w:bCs/>
        </w:rPr>
      </w:pPr>
      <w:r>
        <w:rPr>
          <w:bCs/>
        </w:rPr>
        <w:t>Yes, your transfer to AEP will be treated as an involuntary termination by reason of divestiture from Enron.</w:t>
      </w:r>
    </w:p>
    <w:p>
      <w:pPr>
        <w:pStyle w:val="BodyText2"/>
        <w:ind w:start="90" w:end="0"/>
        <w:rPr>
          <w:bCs/>
        </w:rPr>
      </w:pPr>
      <w:r>
        <w:rPr>
          <w:bCs/>
        </w:rPr>
      </w:r>
    </w:p>
    <w:p>
      <w:pPr>
        <w:pStyle w:val="BodyText2"/>
        <w:numPr>
          <w:ilvl w:val="0"/>
          <w:numId w:val="2"/>
        </w:numPr>
        <w:rPr>
          <w:b/>
        </w:rPr>
      </w:pPr>
      <w:r>
        <w:rPr>
          <w:b/>
        </w:rPr>
        <w:t>What is the time frame to exercise my vested stock options?</w:t>
      </w:r>
    </w:p>
    <w:p>
      <w:pPr>
        <w:pStyle w:val="BodyText2"/>
        <w:rPr>
          <w:bCs/>
        </w:rPr>
      </w:pPr>
      <w:r>
        <w:rPr>
          <w:rFonts w:cs="Helv;Arial" w:ascii="Helv;Arial" w:hAnsi="Helv;Arial"/>
        </w:rPr>
        <w:t>The period to exercise vested options upon involuntary termination, retirement, death or disability is three (3) years.</w:t>
      </w:r>
    </w:p>
    <w:p>
      <w:pPr>
        <w:pStyle w:val="BodyText2"/>
        <w:rPr>
          <w:bCs/>
        </w:rPr>
      </w:pPr>
      <w:r>
        <w:rPr>
          <w:bCs/>
        </w:rPr>
      </w:r>
    </w:p>
    <w:p>
      <w:pPr>
        <w:pStyle w:val="BodyText2"/>
        <w:numPr>
          <w:ilvl w:val="0"/>
          <w:numId w:val="2"/>
        </w:numPr>
        <w:rPr>
          <w:b/>
        </w:rPr>
      </w:pPr>
      <w:r>
        <w:rPr>
          <w:rFonts w:eastAsia="Arial"/>
          <w:b/>
        </w:rPr>
        <w:t xml:space="preserve"> </w:t>
      </w:r>
      <w:r>
        <w:rPr>
          <w:b/>
        </w:rPr>
        <w:t>What happens to my unvested options?</w:t>
      </w:r>
    </w:p>
    <w:p>
      <w:pPr>
        <w:pStyle w:val="BodyText2"/>
        <w:rPr>
          <w:bCs/>
        </w:rPr>
      </w:pPr>
      <w:r>
        <w:rPr>
          <w:bCs/>
        </w:rPr>
        <w:t>All unvested options are forfeited.</w:t>
      </w:r>
    </w:p>
    <w:p>
      <w:pPr>
        <w:pStyle w:val="BodyText2"/>
        <w:rPr>
          <w:bCs/>
        </w:rPr>
      </w:pPr>
      <w:r>
        <w:rPr>
          <w:bCs/>
        </w:rPr>
      </w:r>
    </w:p>
    <w:p>
      <w:pPr>
        <w:pStyle w:val="BodyText2"/>
        <w:numPr>
          <w:ilvl w:val="0"/>
          <w:numId w:val="2"/>
        </w:numPr>
        <w:rPr>
          <w:b/>
        </w:rPr>
      </w:pPr>
      <w:r>
        <w:rPr>
          <w:b/>
        </w:rPr>
        <w:t>When will we receive the 5% payment in lieu of the December 2000 option grant?</w:t>
      </w:r>
    </w:p>
    <w:p>
      <w:pPr>
        <w:pStyle w:val="BodyText2"/>
        <w:rPr>
          <w:bCs/>
        </w:rPr>
      </w:pPr>
      <w:r>
        <w:rPr>
          <w:bCs/>
        </w:rPr>
        <w:t xml:space="preserve">The payment is 5% of your annual base salary (does not include performance bonus, stock options, retention payments or other compensation) and will be paid on the earlier of June 30, 2001 or the closing date.  </w:t>
      </w:r>
    </w:p>
    <w:p>
      <w:pPr>
        <w:pStyle w:val="BodyText2"/>
        <w:rPr>
          <w:bCs/>
        </w:rPr>
      </w:pPr>
      <w:r>
        <w:rPr>
          <w:bCs/>
        </w:rPr>
      </w:r>
    </w:p>
    <w:p>
      <w:pPr>
        <w:pStyle w:val="Heading5"/>
        <w:ind w:hanging="0" w:start="0"/>
        <w:rPr>
          <w:i/>
          <w:i/>
          <w:iCs/>
          <w:color w:val="3366FF"/>
        </w:rPr>
      </w:pPr>
      <w:r>
        <w:rPr>
          <w:i/>
          <w:iCs/>
          <w:color w:val="3366FF"/>
        </w:rPr>
        <w:t>TRANSITION QUESTIONS</w:t>
      </w:r>
    </w:p>
    <w:p>
      <w:pPr>
        <w:pStyle w:val="Normal"/>
        <w:widowControl/>
        <w:jc w:val="both"/>
        <w:rPr>
          <w:rFonts w:ascii="Arial" w:hAnsi="Arial" w:cs="Arial"/>
          <w:b/>
          <w:i/>
          <w:i/>
          <w:iCs/>
          <w:color w:val="3366FF"/>
          <w:sz w:val="24"/>
          <w:u w:val="single"/>
        </w:rPr>
      </w:pPr>
      <w:r>
        <w:rPr>
          <w:rFonts w:cs="Arial" w:ascii="Arial" w:hAnsi="Arial"/>
          <w:b/>
          <w:i/>
          <w:iCs/>
          <w:color w:val="3366FF"/>
          <w:sz w:val="24"/>
          <w:u w:val="single"/>
        </w:rPr>
      </w:r>
    </w:p>
    <w:p>
      <w:pPr>
        <w:pStyle w:val="Normal"/>
        <w:widowControl/>
        <w:numPr>
          <w:ilvl w:val="0"/>
          <w:numId w:val="2"/>
        </w:numPr>
        <w:jc w:val="both"/>
        <w:rPr>
          <w:rFonts w:ascii="Helv;Arial" w:hAnsi="Helv;Arial" w:cs="Helv;Arial"/>
          <w:b/>
        </w:rPr>
      </w:pPr>
      <w:r>
        <w:rPr>
          <w:rFonts w:cs="Helv;Arial" w:ascii="Helv;Arial" w:hAnsi="Helv;Arial"/>
          <w:b/>
        </w:rPr>
        <w:t>What happens once I notify AEP of my decision to transfer?</w:t>
      </w:r>
    </w:p>
    <w:p>
      <w:pPr>
        <w:pStyle w:val="BodyTextIndent2"/>
        <w:ind w:start="0" w:end="0"/>
        <w:rPr>
          <w:b w:val="false"/>
          <w:bCs/>
        </w:rPr>
      </w:pPr>
      <w:r>
        <w:rPr>
          <w:b w:val="false"/>
          <w:bCs/>
        </w:rPr>
        <w:t>AEP is working on a transfer procedure that includes sending information packets to your home regarding the details of your employment with AEP.</w:t>
      </w:r>
    </w:p>
    <w:p>
      <w:pPr>
        <w:pStyle w:val="BodyTextIndent2"/>
        <w:rPr>
          <w:b w:val="false"/>
          <w:bCs/>
        </w:rPr>
      </w:pPr>
      <w:r>
        <w:rPr>
          <w:b w:val="false"/>
          <w:bCs/>
        </w:rPr>
      </w:r>
    </w:p>
    <w:p>
      <w:pPr>
        <w:pStyle w:val="BodyTextIndent2"/>
        <w:numPr>
          <w:ilvl w:val="0"/>
          <w:numId w:val="2"/>
        </w:numPr>
        <w:rPr/>
      </w:pPr>
      <w:r>
        <w:rPr/>
        <w:t>Can I discuss the terms of my transfer with fellow HPL/Enron employees?</w:t>
      </w:r>
    </w:p>
    <w:p>
      <w:pPr>
        <w:pStyle w:val="BodyTextIndent2"/>
        <w:ind w:start="0" w:end="0"/>
        <w:rPr>
          <w:b w:val="false"/>
          <w:bCs/>
        </w:rPr>
      </w:pPr>
      <w:r>
        <w:rPr>
          <w:b w:val="false"/>
          <w:bCs/>
        </w:rPr>
        <w:t xml:space="preserve">The terms of your transfer should be kept confidential.  Additionally, while you are an employee under Enron management, you should comply with the Enron Code of Ethics, which provides that employees shall not conduct themselves in a manner that directly or indirectly would be detrimental to Enron’s best interests.  Soliciting, either directly or indirectly, any other employee to leave Enron is not in Enron’s best interests, would violate the Code of Ethics and would be grounds for immediate termination.  </w:t>
      </w:r>
    </w:p>
    <w:p>
      <w:pPr>
        <w:pStyle w:val="Normal"/>
        <w:widowControl/>
        <w:ind w:start="360" w:end="0"/>
        <w:jc w:val="both"/>
        <w:rPr>
          <w:rFonts w:ascii="Helv;Arial" w:hAnsi="Helv;Arial" w:cs="Helv;Arial"/>
          <w:b/>
          <w:bCs/>
        </w:rPr>
      </w:pPr>
      <w:r>
        <w:rPr>
          <w:rFonts w:cs="Helv;Arial" w:ascii="Helv;Arial" w:hAnsi="Helv;Arial"/>
          <w:b/>
          <w:bCs/>
        </w:rPr>
      </w:r>
    </w:p>
    <w:p>
      <w:pPr>
        <w:pStyle w:val="Normal"/>
        <w:widowControl/>
        <w:numPr>
          <w:ilvl w:val="0"/>
          <w:numId w:val="2"/>
        </w:numPr>
        <w:autoSpaceDE w:val="false"/>
        <w:spacing w:lineRule="atLeast" w:line="240"/>
        <w:rPr>
          <w:rFonts w:ascii="Helv;Arial" w:hAnsi="Helv;Arial" w:cs="Helv;Arial"/>
          <w:b/>
          <w:bCs/>
          <w:color w:val="000000"/>
        </w:rPr>
      </w:pPr>
      <w:r>
        <w:rPr>
          <w:rFonts w:cs="Helv;Arial" w:ascii="Helv;Arial" w:hAnsi="Helv;Arial"/>
          <w:b/>
          <w:bCs/>
          <w:color w:val="000000"/>
        </w:rPr>
        <w:t xml:space="preserve">If I decide not to accept the AEP transfer, when will my employment terminate?  </w:t>
      </w:r>
    </w:p>
    <w:p>
      <w:pPr>
        <w:pStyle w:val="Normal"/>
        <w:widowControl/>
        <w:autoSpaceDE w:val="false"/>
        <w:spacing w:lineRule="atLeast" w:line="240"/>
        <w:rPr>
          <w:rFonts w:ascii="Helv;Arial" w:hAnsi="Helv;Arial" w:cs="Helv;Arial"/>
          <w:bCs/>
        </w:rPr>
      </w:pPr>
      <w:r>
        <w:rPr>
          <w:rFonts w:cs="Helv;Arial" w:ascii="Helv;Arial" w:hAnsi="Helv;Arial"/>
          <w:bCs/>
        </w:rPr>
        <w:t>All HPL employees will transfer to AEP on the closing date.  Your employment under AEP will terminate within two weeks after the closing date.</w:t>
      </w:r>
    </w:p>
    <w:p>
      <w:pPr>
        <w:pStyle w:val="Normal"/>
        <w:widowContro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widowControl/>
        <w:numPr>
          <w:ilvl w:val="0"/>
          <w:numId w:val="2"/>
        </w:numPr>
        <w:autoSpaceDE w:val="false"/>
        <w:spacing w:lineRule="atLeast" w:line="240"/>
        <w:rPr>
          <w:rFonts w:ascii="Helv;Arial" w:hAnsi="Helv;Arial" w:cs="Helv;Arial"/>
          <w:b/>
          <w:bCs/>
          <w:color w:val="000000"/>
        </w:rPr>
      </w:pPr>
      <w:r>
        <w:rPr>
          <w:rFonts w:eastAsia="Helv;Arial" w:cs="Helv;Arial" w:ascii="Helv;Arial" w:hAnsi="Helv;Arial"/>
          <w:b/>
          <w:bCs/>
          <w:color w:val="000000"/>
        </w:rPr>
        <w:t xml:space="preserve"> </w:t>
      </w:r>
      <w:r>
        <w:rPr>
          <w:rFonts w:cs="Helv;Arial" w:ascii="Helv;Arial" w:hAnsi="Helv;Arial"/>
          <w:b/>
          <w:bCs/>
          <w:color w:val="000000"/>
        </w:rPr>
        <w:t>If I decline the transfer, can I post for another position within Enron?</w:t>
      </w:r>
    </w:p>
    <w:p>
      <w:pPr>
        <w:pStyle w:val="Normal"/>
        <w:widowControl/>
        <w:autoSpaceDE w:val="false"/>
        <w:spacing w:lineRule="atLeast" w:line="240"/>
        <w:rPr>
          <w:rFonts w:ascii="Helv;Arial" w:hAnsi="Helv;Arial" w:cs="Helv;Arial"/>
          <w:color w:val="000000"/>
        </w:rPr>
      </w:pPr>
      <w:r>
        <w:rPr>
          <w:rFonts w:cs="Helv;Arial" w:ascii="Helv;Arial" w:hAnsi="Helv;Arial"/>
          <w:color w:val="000000"/>
        </w:rPr>
        <w:t xml:space="preserve">You are not be eligible to post for any position within Enron..     </w:t>
      </w:r>
    </w:p>
    <w:p>
      <w:pPr>
        <w:pStyle w:val="Normal"/>
        <w:widowControl/>
        <w:autoSpaceDE w:val="false"/>
        <w:spacing w:lineRule="atLeast" w:line="240"/>
        <w:rPr>
          <w:rFonts w:ascii="Helv;Arial" w:hAnsi="Helv;Arial" w:cs="Helv;Arial"/>
          <w:color w:val="000000"/>
        </w:rPr>
      </w:pPr>
      <w:r>
        <w:rPr>
          <w:rFonts w:cs="Helv;Arial" w:ascii="Helv;Arial" w:hAnsi="Helv;Arial"/>
          <w:color w:val="000000"/>
        </w:rPr>
      </w:r>
    </w:p>
    <w:p>
      <w:pPr>
        <w:pStyle w:val="Normal"/>
        <w:widowControl/>
        <w:numPr>
          <w:ilvl w:val="0"/>
          <w:numId w:val="2"/>
        </w:numPr>
        <w:autoSpaceDE w:val="false"/>
        <w:spacing w:lineRule="atLeast" w:line="240"/>
        <w:rPr>
          <w:rFonts w:ascii="Helv;Arial" w:hAnsi="Helv;Arial" w:cs="Helv;Arial"/>
          <w:b/>
          <w:bCs/>
          <w:color w:val="000000"/>
        </w:rPr>
      </w:pPr>
      <w:r>
        <w:rPr>
          <w:rFonts w:eastAsia="Helv;Arial" w:cs="Helv;Arial" w:ascii="Helv;Arial" w:hAnsi="Helv;Arial"/>
          <w:b/>
          <w:bCs/>
          <w:color w:val="000000"/>
        </w:rPr>
        <w:t xml:space="preserve"> </w:t>
      </w:r>
      <w:r>
        <w:rPr>
          <w:rFonts w:cs="Helv;Arial" w:ascii="Helv;Arial" w:hAnsi="Helv;Arial"/>
          <w:b/>
          <w:bCs/>
          <w:color w:val="000000"/>
        </w:rPr>
        <w:t xml:space="preserve">After closing, can I be rehired by Enron?  </w:t>
      </w:r>
    </w:p>
    <w:p>
      <w:pPr>
        <w:pStyle w:val="Normal"/>
        <w:widowControl/>
        <w:autoSpaceDE w:val="false"/>
        <w:spacing w:lineRule="atLeast" w:line="240"/>
        <w:ind w:start="90" w:end="0"/>
        <w:rPr>
          <w:rFonts w:ascii="Helv;Arial" w:hAnsi="Helv;Arial" w:cs="Helv;Arial"/>
          <w:color w:val="000000"/>
        </w:rPr>
      </w:pPr>
      <w:r>
        <w:rPr>
          <w:rFonts w:cs="Helv;Arial" w:ascii="Helv;Arial" w:hAnsi="Helv;Arial"/>
          <w:color w:val="000000"/>
        </w:rPr>
        <w:t>ENA is prohibited from soliciting any employees of AEP engaged in the natural gas business in North America.  You may respond, however, to any general public advertisement regarding an open position with Enron.</w:t>
      </w:r>
    </w:p>
    <w:p>
      <w:pPr>
        <w:pStyle w:val="Normal"/>
        <w:widowControl/>
        <w:autoSpaceDE w:val="false"/>
        <w:spacing w:lineRule="atLeast" w:line="240"/>
        <w:ind w:start="90" w:end="0"/>
        <w:rPr>
          <w:rFonts w:ascii="Helv;Arial" w:hAnsi="Helv;Arial" w:cs="Helv;Arial"/>
          <w:color w:val="FF0000"/>
        </w:rPr>
      </w:pPr>
      <w:r>
        <w:rPr>
          <w:rFonts w:cs="Helv;Arial" w:ascii="Helv;Arial" w:hAnsi="Helv;Arial"/>
          <w:color w:val="FF0000"/>
        </w:rPr>
      </w:r>
    </w:p>
    <w:p>
      <w:pPr>
        <w:pStyle w:val="Normal"/>
        <w:widowControl/>
        <w:numPr>
          <w:ilvl w:val="0"/>
          <w:numId w:val="2"/>
        </w:numPr>
        <w:jc w:val="both"/>
        <w:rPr>
          <w:rFonts w:ascii="Helv;Arial" w:hAnsi="Helv;Arial" w:cs="Helv;Arial"/>
          <w:b/>
          <w:bCs/>
          <w:color w:val="000000"/>
        </w:rPr>
      </w:pPr>
      <w:r>
        <w:rPr>
          <w:rFonts w:cs="Helv;Arial" w:ascii="Helv;Arial" w:hAnsi="Helv;Arial"/>
          <w:b/>
          <w:bCs/>
          <w:color w:val="000000"/>
        </w:rPr>
        <w:t>Does AEP have to transfer me at the same total compensation level for the offer to be comparable?</w:t>
      </w:r>
    </w:p>
    <w:p>
      <w:pPr>
        <w:pStyle w:val="BodyTextIndent"/>
        <w:rPr>
          <w:b/>
          <w:bCs/>
        </w:rPr>
      </w:pPr>
      <w:r>
        <w:rPr/>
        <w:t xml:space="preserve">The purchase and sale agreement states that AEP will transfer HPL employees at a base salary no less than their current salary.  There is no stipulation regarding total compensation (i.e. benefits). </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numPr>
          <w:ilvl w:val="0"/>
          <w:numId w:val="2"/>
        </w:numPr>
        <w:tabs>
          <w:tab w:val="clear" w:pos="4320"/>
          <w:tab w:val="clear" w:pos="8640"/>
        </w:tabs>
        <w:rPr>
          <w:rFonts w:ascii="Arial" w:hAnsi="Arial" w:cs="Arial"/>
          <w:b/>
          <w:bCs/>
        </w:rPr>
      </w:pPr>
      <w:r>
        <w:rPr>
          <w:rFonts w:eastAsia="Arial" w:cs="Arial" w:ascii="Arial" w:hAnsi="Arial"/>
          <w:b/>
          <w:bCs/>
        </w:rPr>
        <w:t xml:space="preserve">  </w:t>
      </w:r>
      <w:r>
        <w:rPr>
          <w:rFonts w:cs="Arial" w:ascii="Arial" w:hAnsi="Arial"/>
          <w:b/>
          <w:bCs/>
        </w:rPr>
        <w:t>How will the retention incentive payments be handled?</w:t>
      </w:r>
    </w:p>
    <w:p>
      <w:pPr>
        <w:pStyle w:val="Header"/>
        <w:tabs>
          <w:tab w:val="clear" w:pos="4320"/>
          <w:tab w:val="clear" w:pos="8640"/>
        </w:tabs>
        <w:ind w:start="90" w:end="0"/>
        <w:rPr>
          <w:rFonts w:ascii="Arial" w:hAnsi="Arial" w:cs="Arial"/>
        </w:rPr>
      </w:pPr>
      <w:r>
        <w:rPr>
          <w:rFonts w:cs="Arial" w:ascii="Arial" w:hAnsi="Arial"/>
        </w:rPr>
        <w:t>The initial retention incentive payment will be paid on June 1, 2001.  The second payment will be paid no later than two weeks after closing.  As described in the letter to you explaining the terms and conditions of the retention incentive, you must continue to provide support to HPL to receive either payment.</w:t>
      </w:r>
    </w:p>
    <w:p>
      <w:pPr>
        <w:pStyle w:val="Header"/>
        <w:tabs>
          <w:tab w:val="clear" w:pos="4320"/>
          <w:tab w:val="clear" w:pos="8640"/>
        </w:tabs>
        <w:ind w:start="90" w:end="0"/>
        <w:rPr>
          <w:rFonts w:ascii="Arial" w:hAnsi="Arial" w:cs="Arial"/>
          <w:b/>
          <w:bCs/>
        </w:rPr>
      </w:pPr>
      <w:r>
        <w:rPr>
          <w:rFonts w:cs="Arial" w:ascii="Arial" w:hAnsi="Arial"/>
          <w:b/>
          <w:bCs/>
        </w:rPr>
      </w:r>
    </w:p>
    <w:p>
      <w:pPr>
        <w:pStyle w:val="Header"/>
        <w:numPr>
          <w:ilvl w:val="0"/>
          <w:numId w:val="2"/>
        </w:numPr>
        <w:tabs>
          <w:tab w:val="clear" w:pos="4320"/>
          <w:tab w:val="clear" w:pos="8640"/>
        </w:tabs>
        <w:rPr>
          <w:rFonts w:ascii="Arial" w:hAnsi="Arial" w:cs="Arial"/>
          <w:b/>
          <w:bCs/>
        </w:rPr>
      </w:pPr>
      <w:r>
        <w:rPr>
          <w:rFonts w:cs="Arial" w:ascii="Arial" w:hAnsi="Arial"/>
          <w:b/>
          <w:bCs/>
        </w:rPr>
        <w:t xml:space="preserve">If I have any other questions or need clarification, whom should I contact? </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Enron Contact:</w:t>
        <w:tab/>
        <w:t xml:space="preserve">Fran Mayes, (713) 853-7211 </w:t>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t>AEP Contact:    Jeff Keifer, (614) 223-2095</w:t>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BodyText3"/>
        <w:widowControl/>
        <w:rPr/>
      </w:pPr>
      <w:r>
        <w:rPr/>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i/>
          <w:i/>
          <w:color w:val="000000"/>
          <w:u w:val="single"/>
        </w:rPr>
      </w:pPr>
      <w:r>
        <w:rPr>
          <w:rFonts w:cs="Arial" w:ascii="Arial" w:hAnsi="Arial"/>
          <w:b/>
          <w:i/>
          <w:color w:val="000000"/>
          <w:u w:val="single"/>
        </w:rPr>
      </w:r>
    </w:p>
    <w:p>
      <w:pPr>
        <w:pStyle w:val="Heading3"/>
        <w:ind w:hanging="0" w:start="0"/>
        <w:rPr>
          <w:rFonts w:ascii="Arial" w:hAnsi="Arial" w:cs="Arial"/>
          <w:b w:val="false"/>
          <w:i w:val="false"/>
          <w:i w:val="false"/>
          <w:color w:val="000000"/>
          <w:u w:val="single"/>
        </w:rPr>
      </w:pPr>
      <w:r>
        <w:rPr>
          <w:rFonts w:cs="Arial"/>
          <w:b w:val="false"/>
          <w:i w:val="false"/>
          <w:color w:val="000000"/>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i/>
        <w:i/>
        <w:sz w:val="24"/>
      </w:rPr>
    </w:pPr>
    <w:r>
      <w:rPr>
        <w:b/>
        <w:i/>
        <w:sz w:val="24"/>
      </w:rPr>
      <w:t xml:space="preserve">                         </w:t>
    </w:r>
  </w:p>
  <w:p>
    <w:pPr>
      <w:pStyle w:val="Header"/>
      <w:widowControl/>
      <w:rPr>
        <w:b/>
        <w:i/>
        <w:i/>
        <w:sz w:val="24"/>
      </w:rPr>
    </w:pPr>
    <w:r>
      <w:rPr>
        <w:b/>
        <w:i/>
        <w:sz w:val="24"/>
      </w:rPr>
      <w:t xml:space="preserve">                       </w:t>
    </w:r>
  </w:p>
  <w:p>
    <w:pPr>
      <w:pStyle w:val="Header"/>
      <w:widowControl/>
      <w:rPr>
        <w:b/>
        <w:i/>
        <w:i/>
        <w:sz w:val="24"/>
      </w:rPr>
    </w:pPr>
    <w:r>
      <w:rPr>
        <w:b/>
        <w:i/>
        <w:sz w:val="24"/>
      </w:rPr>
    </w:r>
  </w:p>
  <w:p>
    <w:pPr>
      <w:pStyle w:val="Header"/>
      <w:widowControl/>
      <w:rPr>
        <w:b/>
        <w:i/>
        <w:i/>
        <w:sz w:val="24"/>
      </w:rPr>
    </w:pPr>
    <w:r>
      <w:rPr>
        <w:b/>
        <w:i/>
        <w:sz w:val="24"/>
      </w:rPr>
      <w:t xml:space="preserve">                            </w:t>
    </w:r>
    <w:r>
      <w:rPr>
        <w:b/>
        <w:i/>
        <w:sz w:val="24"/>
      </w:rPr>
      <w:t>Houston Pipe Line Divestiture Questions and Answers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outlineLvl w:val="0"/>
    </w:pPr>
    <w:rPr>
      <w:rFonts w:ascii="Arial" w:hAnsi="Arial" w:cs="Arial"/>
      <w:color w:val="000000"/>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widowControl/>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outlineLvl w:val="2"/>
    </w:pPr>
    <w:rPr>
      <w:rFonts w:ascii="Arial" w:hAnsi="Arial" w:cs="Arial"/>
      <w:b/>
      <w:i/>
      <w:color w:val="000000"/>
      <w:u w:val="single"/>
    </w:rPr>
  </w:style>
  <w:style w:type="paragraph" w:styleId="Heading4">
    <w:name w:val="heading 4"/>
    <w:basedOn w:val="Normal"/>
    <w:next w:val="Normal"/>
    <w:qFormat/>
    <w:pPr>
      <w:keepNext w:val="true"/>
      <w:widowControl/>
      <w:numPr>
        <w:ilvl w:val="3"/>
        <w:numId w:val="1"/>
      </w:numPr>
      <w:jc w:val="both"/>
      <w:outlineLvl w:val="3"/>
    </w:pPr>
    <w:rPr>
      <w:rFonts w:ascii="Arial" w:hAnsi="Arial" w:cs="Arial"/>
      <w:b/>
      <w:bCs/>
      <w:i/>
      <w:iCs/>
      <w:u w:val="single"/>
    </w:rPr>
  </w:style>
  <w:style w:type="paragraph" w:styleId="Heading5">
    <w:name w:val="heading 5"/>
    <w:basedOn w:val="Normal"/>
    <w:next w:val="Normal"/>
    <w:qFormat/>
    <w:pPr>
      <w:keepNext w:val="true"/>
      <w:widowControl/>
      <w:numPr>
        <w:ilvl w:val="4"/>
        <w:numId w:val="1"/>
      </w:numPr>
      <w:jc w:val="both"/>
      <w:outlineLvl w:val="4"/>
    </w:pPr>
    <w:rPr>
      <w:rFonts w:ascii="Arial" w:hAnsi="Arial" w:cs="Arial"/>
      <w:b/>
      <w:sz w:val="22"/>
      <w:u w:val="single"/>
    </w:rPr>
  </w:style>
  <w:style w:type="character" w:styleId="WW8Num1z0">
    <w:name w:val="WW8Num1z0"/>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hanging="0" w:start="90" w:end="0"/>
      <w:jc w:val="both"/>
    </w:pPr>
    <w:rPr>
      <w:rFonts w:ascii="Helv;Arial" w:hAnsi="Helv;Arial" w:cs="Helv;Arial"/>
      <w:color w:val="000000"/>
    </w:rPr>
  </w:style>
  <w:style w:type="paragraph" w:styleId="BodyTextIndent2">
    <w:name w:val="Body Text Indent 2"/>
    <w:basedOn w:val="Normal"/>
    <w:qFormat/>
    <w:pPr>
      <w:widowControl/>
      <w:ind w:hanging="0" w:start="360" w:end="0"/>
      <w:jc w:val="both"/>
    </w:pPr>
    <w:rPr>
      <w:rFonts w:ascii="Helv;Arial" w:hAnsi="Helv;Arial" w:cs="Helv;Arial"/>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enefits.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2001-02-28T13:11:00Z</dcterms:created>
  <dc:creator>Mackin</dc:creator>
  <dc:description/>
  <dc:language>en-CA</dc:language>
  <cp:lastModifiedBy>f</cp:lastModifiedBy>
  <cp:lastPrinted>2001-03-01T16:25:00Z</cp:lastPrinted>
  <dcterms:modified xsi:type="dcterms:W3CDTF">2001-03-08T13:11:00Z</dcterms:modified>
  <cp:revision>21</cp:revision>
  <dc:subject/>
  <dc:title>Question &amp; Answers</dc:title>
</cp:coreProperties>
</file>