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0000"/>
        </w:rPr>
      </w:pPr>
      <w:bookmarkStart w:id="0" w:name="QuickMark"/>
      <w:bookmarkEnd w:id="0"/>
      <w:r>
        <w:rPr>
          <w:b/>
          <w:color w:val="000000"/>
        </w:rPr>
        <w:t>PROJECT NO. 22816</w:t>
      </w:r>
    </w:p>
    <w:p>
      <w:pPr>
        <w:pStyle w:val="Normal"/>
        <w:jc w:val="both"/>
        <w:rPr>
          <w:b/>
          <w:color w:val="000000"/>
        </w:rPr>
      </w:pPr>
      <w:r>
        <w:rPr>
          <w:b/>
          <w:color w:val="000000"/>
        </w:rPr>
      </w:r>
    </w:p>
    <w:p>
      <w:pPr>
        <w:pStyle w:val="Normal"/>
        <w:tabs>
          <w:tab w:val="clear" w:pos="720"/>
          <w:tab w:val="left" w:pos="-1440" w:leader="none"/>
        </w:tabs>
        <w:ind w:hanging="6480" w:start="6480" w:end="0"/>
        <w:jc w:val="both"/>
        <w:rPr>
          <w:b/>
          <w:color w:val="000000"/>
        </w:rPr>
      </w:pPr>
      <w:r>
        <w:rPr>
          <w:b/>
          <w:color w:val="000000"/>
        </w:rPr>
        <w:tab/>
        <w:t>STANDARDS FOR LABELLING</w:t>
        <w:tab/>
        <w:tab/>
        <w:t>§</w:t>
        <w:tab/>
        <w:tab/>
        <w:t xml:space="preserve">BEFORE THE </w:t>
      </w:r>
    </w:p>
    <w:p>
      <w:pPr>
        <w:pStyle w:val="Normal"/>
        <w:tabs>
          <w:tab w:val="clear" w:pos="720"/>
          <w:tab w:val="left" w:pos="-1440" w:leader="none"/>
        </w:tabs>
        <w:ind w:hanging="5040" w:start="5040" w:end="0"/>
        <w:jc w:val="both"/>
        <w:rPr>
          <w:b/>
          <w:color w:val="000000"/>
        </w:rPr>
      </w:pPr>
      <w:r>
        <w:rPr>
          <w:b/>
          <w:color w:val="000000"/>
        </w:rPr>
        <w:tab/>
        <w:t xml:space="preserve">ELECTRICITY WITH RESPECT </w:t>
        <w:tab/>
        <w:t>§     PUBLIC UTILITY COMMISSION</w:t>
      </w:r>
    </w:p>
    <w:p>
      <w:pPr>
        <w:pStyle w:val="Normal"/>
        <w:tabs>
          <w:tab w:val="clear" w:pos="720"/>
          <w:tab w:val="left" w:pos="-1440" w:leader="none"/>
        </w:tabs>
        <w:ind w:hanging="6480" w:start="6480" w:end="0"/>
        <w:jc w:val="both"/>
        <w:rPr>
          <w:b/>
          <w:color w:val="000000"/>
        </w:rPr>
      </w:pPr>
      <w:r>
        <w:rPr>
          <w:b/>
          <w:color w:val="000000"/>
        </w:rPr>
        <w:tab/>
        <w:t xml:space="preserve">TO FUEL MIX AND AIR EMISSIONS </w:t>
        <w:tab/>
        <w:t>§</w:t>
        <w:tab/>
        <w:tab/>
        <w:t xml:space="preserve">  OF TEXAS</w:t>
      </w:r>
    </w:p>
    <w:p>
      <w:pPr>
        <w:pStyle w:val="Normal"/>
        <w:tabs>
          <w:tab w:val="clear" w:pos="720"/>
          <w:tab w:val="left" w:pos="-1440" w:leader="none"/>
        </w:tabs>
        <w:ind w:hanging="5040" w:start="5040" w:end="0"/>
        <w:jc w:val="both"/>
        <w:rPr>
          <w:b/>
          <w:color w:val="000000"/>
        </w:rPr>
      </w:pPr>
      <w:r>
        <w:rPr>
          <w:b/>
          <w:color w:val="000000"/>
        </w:rPr>
        <w:tab/>
        <w:tab/>
        <w:tab/>
        <w:tab/>
        <w:tab/>
        <w:tab/>
        <w:tab/>
        <w:t>§</w:t>
      </w:r>
    </w:p>
    <w:p>
      <w:pPr>
        <w:pStyle w:val="Normal"/>
        <w:jc w:val="both"/>
        <w:rPr>
          <w:b/>
          <w:color w:val="000000"/>
        </w:rPr>
      </w:pPr>
      <w:r>
        <w:rPr>
          <w:b/>
          <w:color w:val="000000"/>
        </w:rPr>
      </w:r>
    </w:p>
    <w:p>
      <w:pPr>
        <w:pStyle w:val="Normal"/>
        <w:tabs>
          <w:tab w:val="clear" w:pos="720"/>
          <w:tab w:val="center" w:pos="4680" w:leader="none"/>
        </w:tabs>
        <w:jc w:val="center"/>
        <w:rPr>
          <w:b/>
          <w:color w:val="000000"/>
        </w:rPr>
      </w:pPr>
      <w:r>
        <w:rPr>
          <w:b/>
          <w:color w:val="000000"/>
        </w:rPr>
        <w:t>JOINT COMMENTS OF</w:t>
      </w:r>
    </w:p>
    <w:p>
      <w:pPr>
        <w:pStyle w:val="Normal"/>
        <w:jc w:val="both"/>
        <w:rPr>
          <w:b/>
          <w:color w:val="000000"/>
        </w:rPr>
      </w:pPr>
      <w:r>
        <w:rPr>
          <w:b/>
          <w:color w:val="000000"/>
        </w:rPr>
      </w:r>
    </w:p>
    <w:p>
      <w:pPr>
        <w:pStyle w:val="Normal"/>
        <w:spacing w:lineRule="auto" w:line="480"/>
        <w:rPr/>
      </w:pPr>
      <w:r>
        <w:rPr/>
        <w:t>The above named companies and organizations appreciate the opportunity to submit comments on the Strawman Rule for fuel mix and emissions labeling standards (“proposal”), and applaud staffs’ compromise solution to ensure includes meaningful environmental disclosure and potential market opportunities.    The following comments explain the reasoning behind the attached redline version of the staff proposal.</w:t>
      </w:r>
    </w:p>
    <w:p>
      <w:pPr>
        <w:pStyle w:val="Normal"/>
        <w:spacing w:lineRule="auto" w:line="480"/>
        <w:rPr>
          <w:b/>
          <w:bCs/>
        </w:rPr>
      </w:pPr>
      <w:r>
        <w:rPr>
          <w:b/>
          <w:bCs/>
        </w:rPr>
        <w:t xml:space="preserve">Definitions:  </w:t>
      </w:r>
    </w:p>
    <w:p>
      <w:pPr>
        <w:pStyle w:val="Normal"/>
        <w:numPr>
          <w:ilvl w:val="0"/>
          <w:numId w:val="2"/>
        </w:numPr>
        <w:spacing w:lineRule="auto" w:line="480"/>
        <w:rPr/>
      </w:pPr>
      <w:r>
        <w:rPr>
          <w:b/>
          <w:bCs/>
        </w:rPr>
        <w:t>Bilateral Contracts</w:t>
      </w:r>
      <w:r>
        <w:rPr/>
        <w:t>:  It is important to add a definition for bilateral contracts to account for contractual arrangements, other that between a PGC and an ESP, in which the fuel and emission sources are traceable.  In contractual arrangements between power marketers and ESPs, the power marketers can provide the fuel source and emissions information to electric service providers through their direct contracts with PGCs.  By defining bilateral contracts as only those direct arrangements between a generator and an ESP, this discounts the service that power marketers supply to electric service providers by directly supplying this reporting information on fuel mix and emissions.</w:t>
      </w:r>
    </w:p>
    <w:p>
      <w:pPr>
        <w:pStyle w:val="Normal"/>
        <w:numPr>
          <w:ilvl w:val="0"/>
          <w:numId w:val="2"/>
        </w:numPr>
        <w:spacing w:lineRule="auto" w:line="480"/>
        <w:rPr/>
      </w:pPr>
      <w:r>
        <w:rPr>
          <w:b/>
          <w:bCs/>
        </w:rPr>
        <w:t>Certificate of Generation</w:t>
      </w:r>
      <w:r>
        <w:rPr/>
        <w:t>:  It is imperative to explicitly note that a certificate of generation represents the generation attributes, including the fuel type and emissions.  This ensures the ability of the attributes to trade separately from the energy.</w:t>
      </w:r>
    </w:p>
    <w:p>
      <w:pPr>
        <w:pStyle w:val="Normal"/>
        <w:numPr>
          <w:ilvl w:val="0"/>
          <w:numId w:val="2"/>
        </w:numPr>
        <w:spacing w:lineRule="auto" w:line="480"/>
        <w:rPr/>
      </w:pPr>
      <w:r>
        <w:rPr>
          <w:b/>
          <w:bCs/>
        </w:rPr>
        <w:t>Default Scorecard</w:t>
      </w:r>
      <w:r>
        <w:rPr/>
        <w:t xml:space="preserve">:  It is important to clarify that the default scorecard represents the power that is not otherwise accounted for by RECs and voluntary certificates. </w:t>
      </w:r>
    </w:p>
    <w:p>
      <w:pPr>
        <w:pStyle w:val="Normal"/>
        <w:numPr>
          <w:ilvl w:val="0"/>
          <w:numId w:val="2"/>
        </w:numPr>
        <w:spacing w:lineRule="auto" w:line="480"/>
        <w:rPr/>
      </w:pPr>
      <w:r>
        <w:rPr>
          <w:b/>
          <w:bCs/>
        </w:rPr>
        <w:t>Fuel Mix</w:t>
      </w:r>
      <w:r>
        <w:rPr/>
        <w:t>:  We recommend that this definition follow PURA by including geothermal energy and “other renewable technologies as approved by the Commission” (i.e. fuel cells, wave and tidal power, etc.) as renewable energy resources.</w:t>
      </w:r>
    </w:p>
    <w:p>
      <w:pPr>
        <w:pStyle w:val="Normal"/>
        <w:numPr>
          <w:ilvl w:val="0"/>
          <w:numId w:val="2"/>
        </w:numPr>
        <w:spacing w:lineRule="auto" w:line="480"/>
        <w:rPr/>
      </w:pPr>
      <w:r>
        <w:rPr>
          <w:b/>
          <w:bCs/>
        </w:rPr>
        <w:t>New Products</w:t>
      </w:r>
      <w:r>
        <w:rPr/>
        <w:t>:  It is important to specify that a new product will only be considered “new” during the first reporting year in which it is marketed or offered to customers.  Otherwise, it could be interpreted that the product is new each time that it is first marketed in a given reporting year.</w:t>
      </w:r>
    </w:p>
    <w:p>
      <w:pPr>
        <w:pStyle w:val="Normal"/>
        <w:numPr>
          <w:ilvl w:val="0"/>
          <w:numId w:val="2"/>
        </w:numPr>
        <w:spacing w:lineRule="auto" w:line="480"/>
        <w:rPr/>
      </w:pPr>
      <w:r>
        <w:rPr>
          <w:b/>
          <w:bCs/>
        </w:rPr>
        <w:t>Other generation</w:t>
      </w:r>
      <w:r>
        <w:rPr/>
        <w:t>:  We recommend that the “other” generation category be inclusive of “unknown” resources, and the unknown resources category be struck.  This category is duplicative and will likely confuse customers.  We suggest that the “other” category represent any power that is not accounted for by bilateral contractual agreements (as defined above), RECs, voluntary certificates and the aggregation of all PGCs, power marketers, independent system operators and other entities that together account for no more that 5% of an electric service provider’s sources of purchased electricity.  The other category shall be assigned the default scorecard if RECs or certificates of generation are not purchased to serve as attributes for this load.</w:t>
      </w:r>
    </w:p>
    <w:p>
      <w:pPr>
        <w:pStyle w:val="Normal"/>
        <w:numPr>
          <w:ilvl w:val="0"/>
          <w:numId w:val="2"/>
        </w:numPr>
        <w:spacing w:lineRule="auto" w:line="480"/>
        <w:rPr/>
      </w:pPr>
      <w:r>
        <w:rPr>
          <w:b/>
          <w:bCs/>
        </w:rPr>
        <w:t>Renewable Energy Credit</w:t>
      </w:r>
      <w:r>
        <w:rPr/>
        <w:t>:  The word “attributes” needs to be added after the word “generation” for consistency with the ERCOT renewable protocol, section 14.4.2.  The Protocol clearly states that the generation attributes can trade separately from the energy.  While we believe this is staffs’ intention in this proposal, it is important to add the word “attribute” for clarification.</w:t>
      </w:r>
    </w:p>
    <w:p>
      <w:pPr>
        <w:pStyle w:val="Normal"/>
        <w:numPr>
          <w:ilvl w:val="0"/>
          <w:numId w:val="2"/>
        </w:numPr>
        <w:spacing w:lineRule="auto" w:line="480"/>
        <w:rPr/>
      </w:pPr>
      <w:r>
        <w:rPr>
          <w:b/>
          <w:bCs/>
        </w:rPr>
        <w:t>Unknown generation</w:t>
      </w:r>
      <w:r>
        <w:rPr/>
        <w:t>:  We recommend striking this category due to the overlap with the “other” category.  Please see the definition above for “other” generation.</w:t>
      </w:r>
    </w:p>
    <w:p>
      <w:pPr>
        <w:pStyle w:val="Normal"/>
        <w:spacing w:lineRule="auto" w:line="480"/>
        <w:rPr>
          <w:b/>
          <w:bCs/>
        </w:rPr>
      </w:pPr>
      <w:r>
        <w:rPr>
          <w:b/>
          <w:bCs/>
        </w:rPr>
        <w:t>Compilation of the Scorecard:</w:t>
      </w:r>
    </w:p>
    <w:p>
      <w:pPr>
        <w:pStyle w:val="Normal"/>
        <w:numPr>
          <w:ilvl w:val="2"/>
          <w:numId w:val="2"/>
        </w:numPr>
        <w:spacing w:lineRule="auto" w:line="480"/>
        <w:rPr/>
      </w:pPr>
      <w:r>
        <w:rPr/>
        <w:t xml:space="preserve">As discussed in the staff workshop on November 14, 2000, the above parties favor generation from outside of Texas to be included in the voluntary certificates program.  Staff requested that participants make suggestions on how the Commission should determine the PGC scorecard for those companies with participating out-of-state generation.  We recommend that those companies with out-of-state generating units participating in the voluntary certificates market, that these participating units be part of their company-wide scorecard. </w:t>
      </w:r>
    </w:p>
    <w:p>
      <w:pPr>
        <w:pStyle w:val="Normal"/>
        <w:numPr>
          <w:ilvl w:val="2"/>
          <w:numId w:val="2"/>
        </w:numPr>
        <w:spacing w:lineRule="auto" w:line="480"/>
        <w:rPr/>
      </w:pPr>
      <w:r>
        <w:rPr/>
        <w:t>It is important to note that spot market purchases can be matched with RECs or Certificates of Generation.  As such, the default scorecard should represent electricity not obtained under bilateral contractual agreement or purchase of RECs or certificate of generation.</w:t>
      </w:r>
    </w:p>
    <w:p>
      <w:pPr>
        <w:pStyle w:val="Normal"/>
        <w:spacing w:lineRule="auto" w:line="480"/>
        <w:rPr>
          <w:b/>
          <w:bCs/>
        </w:rPr>
      </w:pPr>
      <w:r>
        <w:rPr>
          <w:b/>
          <w:bCs/>
        </w:rPr>
        <w:t xml:space="preserve">Certificates of Generation: </w:t>
      </w:r>
    </w:p>
    <w:p>
      <w:pPr>
        <w:pStyle w:val="Normal"/>
        <w:numPr>
          <w:ilvl w:val="0"/>
          <w:numId w:val="4"/>
        </w:numPr>
        <w:spacing w:lineRule="auto" w:line="480"/>
        <w:rPr/>
      </w:pPr>
      <w:r>
        <w:rPr/>
        <w:t>In order to make section d (1) consistent with d (6), we recommend that the Commission allow certificates of generation created for electricity generated in the month of December to be sold within 30 days following the end of the calendar year.  This will allow those certificates that might not be registered by PGCs until February 1</w:t>
      </w:r>
      <w:r>
        <w:rPr>
          <w:vertAlign w:val="superscript"/>
        </w:rPr>
        <w:t>st</w:t>
      </w:r>
      <w:r>
        <w:rPr/>
        <w:t xml:space="preserve"> of the following calendar year, to be valid for the month of January following the calendar year in which they were created.</w:t>
      </w:r>
    </w:p>
    <w:p>
      <w:pPr>
        <w:pStyle w:val="Normal"/>
        <w:spacing w:lineRule="auto" w:line="480"/>
        <w:rPr>
          <w:b/>
          <w:bCs/>
        </w:rPr>
      </w:pPr>
      <w:r>
        <w:rPr>
          <w:b/>
          <w:bCs/>
        </w:rPr>
        <w:t xml:space="preserve">Sources of power generation disclosures: </w:t>
      </w:r>
    </w:p>
    <w:p>
      <w:pPr>
        <w:pStyle w:val="Normal"/>
        <w:numPr>
          <w:ilvl w:val="0"/>
          <w:numId w:val="3"/>
        </w:numPr>
        <w:spacing w:lineRule="auto" w:line="480"/>
        <w:rPr/>
      </w:pPr>
      <w:r>
        <w:rPr/>
        <w:t>While it is wholly appropriate to for the Commission to ascertain that the products and load served are a match, providing the Commission with number of customers per product is proprietary and confidential information.  It is possible for the Commission to ensure the accuracy of the above information by requiring ESPs to submit load served in MWhs compared to the MWhs or credits purchased.  This is consistent with the requirements in California for those ESPs making environmental claims with regards to their electric products.</w:t>
      </w:r>
    </w:p>
    <w:p>
      <w:pPr>
        <w:pStyle w:val="Normal"/>
        <w:numPr>
          <w:ilvl w:val="0"/>
          <w:numId w:val="3"/>
        </w:numPr>
        <w:spacing w:lineRule="auto" w:line="480"/>
        <w:rPr/>
      </w:pPr>
      <w:r>
        <w:rPr/>
        <w:t>Pertaining to the projections for new products, we recommend that ESPs making reasonable estimations of new product’s fuel mix and emissions should have a leeway of 10% margin of error.  If the ESP’s projection is greater than 10%, the ESP should be required to show the actual mix compared to the projection in an extra column in the electricity facts label.  This will let customers know what the ESP originally anticipated would be included in the product, and what was actually delivered to the grid on the customer’s behalf.  This is consistent with California requirements with one exception. California only allows a 5% margin of error.  This is a bit restrictive and we would recommend allowing a 10% margin of error.  Finally, the Commission should consider taking recourse against any ESP that egregiously markets a projected fuel mix with little intention of meeting the projection.  Finally, since ESPs are generally reliant upon published emissions information, we agree with the staff’s recommendation of no projection going over 50% margin of error.</w:t>
      </w:r>
    </w:p>
    <w:p>
      <w:pPr>
        <w:pStyle w:val="Normal"/>
        <w:spacing w:lineRule="auto" w:line="480"/>
        <w:rPr/>
      </w:pPr>
      <w:r>
        <w:rPr/>
        <w:t>Further Recommendations:</w:t>
      </w:r>
    </w:p>
    <w:p>
      <w:pPr>
        <w:pStyle w:val="Normal"/>
        <w:numPr>
          <w:ilvl w:val="0"/>
          <w:numId w:val="1"/>
        </w:numPr>
        <w:spacing w:lineRule="auto" w:line="480"/>
        <w:rPr/>
      </w:pPr>
      <w:r>
        <w:rPr>
          <w:b/>
          <w:bCs/>
        </w:rPr>
        <w:t xml:space="preserve">Interaction with REC Program:  </w:t>
      </w:r>
      <w:r>
        <w:rPr/>
        <w:t xml:space="preserve">We recommend that the voluntary certificates program be a part of the REC program.  This solution seems to make the most sense, and would be the most cost effective solution – in lieu of developing an entirely separate database.  Those market stakeholders that choose to participate in this market would then bear part of the administrative cost of administering the program.  </w:t>
      </w:r>
    </w:p>
    <w:p>
      <w:pPr>
        <w:pStyle w:val="Normal"/>
        <w:numPr>
          <w:ilvl w:val="0"/>
          <w:numId w:val="1"/>
        </w:numPr>
        <w:spacing w:lineRule="auto" w:line="480"/>
        <w:rPr/>
      </w:pPr>
      <w:r>
        <w:rPr>
          <w:b/>
          <w:bCs/>
        </w:rPr>
        <w:t>Interaction with Consumer Protection Rulemaking:</w:t>
      </w:r>
      <w:r>
        <w:rPr/>
        <w:t xml:space="preserve">  The Consumer Protection Proposed Rule is being released on December 1.   At this point, it is unclear what the label will look like, what components are included, and the number of times per year that it will be submitted to customers.  Further, we do not know what emissions will be included or how the fuel types are to be listed.  This is imperative to keep in mind when developing the label calculation.  We recommend coordinating closely with this rulemaking on these overlapping issues.  Our comments are obviously contingent on what the consumer protection rule decides with regard to the logistics of the electricity facts label.</w:t>
      </w:r>
    </w:p>
    <w:p>
      <w:pPr>
        <w:pStyle w:val="Normal"/>
        <w:numPr>
          <w:ilvl w:val="0"/>
          <w:numId w:val="3"/>
        </w:numPr>
        <w:spacing w:lineRule="auto" w:line="480"/>
        <w:rPr/>
      </w:pPr>
      <w:r>
        <w:rPr>
          <w:b/>
          <w:bCs/>
        </w:rPr>
        <w:t>Market Efficiency</w:t>
      </w:r>
      <w:r>
        <w:rPr/>
        <w:t xml:space="preserve">:  We would like to caution the Commission with regard to the impact that the voluntary certificates might have on the market.  First, it is unknown how the voluntary certificates will impact the REC program.  In Texas, natural gas is considered a “green” resource.  This is potentially problematic because customers could be easily confused between green energy and renewable energy.  If customers presume they are buying renewable energy because it is called “green” this could have a negative impact on the development of the renewable energy market.  </w:t>
      </w:r>
    </w:p>
    <w:p>
      <w:pPr>
        <w:pStyle w:val="Normal"/>
        <w:spacing w:lineRule="auto" w:line="480"/>
        <w:ind w:start="1080" w:end="0"/>
        <w:rPr/>
      </w:pPr>
      <w:r>
        <w:rPr/>
      </w:r>
    </w:p>
    <w:p>
      <w:pPr>
        <w:pStyle w:val="Normal"/>
        <w:spacing w:lineRule="auto" w:line="480"/>
        <w:ind w:start="1080" w:end="0"/>
        <w:rPr/>
      </w:pPr>
      <w:r>
        <w:rPr/>
        <w:t>While we view certificates as favorable in that they are flexible trading instruments and serve as verification for electric products, it is important that the voluntary certificates market not impede the growth of the renewable market or the overall retail market by introducing complexity into the market.  Administering the voluntary certificates market through the REC program, and educating consumers on the differences between a “green” product and a “renewable” product are important factors in reducing unecessary complexity or confusion.</w:t>
      </w:r>
    </w:p>
    <w:p>
      <w:pPr>
        <w:pStyle w:val="Normal"/>
        <w:spacing w:lineRule="auto" w:line="480"/>
        <w:rPr/>
      </w:pPr>
      <w:r>
        <w:rPr/>
      </w:r>
    </w:p>
    <w:p>
      <w:pPr>
        <w:pStyle w:val="Normal"/>
        <w:spacing w:lineRule="auto" w:line="360"/>
        <w:ind w:firstLine="720" w:end="0"/>
        <w:jc w:val="both"/>
        <w:rPr>
          <w:color w:val="000000"/>
        </w:rPr>
      </w:pPr>
      <w:r>
        <w:rPr>
          <w:color w:val="000000"/>
        </w:rPr>
        <w:tab/>
        <w:tab/>
        <w:tab/>
        <w:tab/>
        <w:tab/>
        <w:tab/>
        <w:t>Respectfully submitted,</w:t>
      </w:r>
    </w:p>
    <w:p>
      <w:pPr>
        <w:pStyle w:val="Normal"/>
        <w:spacing w:lineRule="auto" w:line="360"/>
        <w:ind w:firstLine="720" w:end="0"/>
        <w:jc w:val="both"/>
        <w:rPr>
          <w:color w:val="000000"/>
        </w:rPr>
      </w:pPr>
      <w:r>
        <w:rPr>
          <w:color w:val="000000"/>
        </w:rPr>
      </w:r>
    </w:p>
    <w:p>
      <w:pPr>
        <w:pStyle w:val="Normal"/>
        <w:ind w:firstLine="720" w:end="0"/>
        <w:jc w:val="both"/>
        <w:rPr/>
      </w:pPr>
      <w:r>
        <w:rPr/>
        <w:tab/>
        <w:tab/>
        <w:tab/>
        <w:tab/>
        <w:tab/>
        <w:tab/>
        <w:tab/>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7</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7</w:t>
                    </w:r>
                    <w:r>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2160"/>
        </w:tabs>
        <w:ind w:start="2160" w:hanging="1440"/>
      </w:pPr>
      <w:rPr>
        <w:b/>
      </w:rPr>
    </w:lvl>
  </w:abstractNum>
  <w:abstractNum w:abstractNumId="2">
    <w:lvl w:ilvl="0">
      <w:start w:val="1"/>
      <w:numFmt w:val="decimal"/>
      <w:lvlText w:val="(%1)"/>
      <w:lvlJc w:val="start"/>
      <w:pPr>
        <w:tabs>
          <w:tab w:val="num" w:pos="1770"/>
        </w:tabs>
        <w:ind w:start="1770" w:hanging="1050"/>
      </w:pPr>
      <w:rPr/>
    </w:lvl>
    <w:lvl w:ilvl="1">
      <w:start w:val="1"/>
      <w:numFmt w:val="lowerLetter"/>
      <w:lvlText w:val="%2."/>
      <w:lvlJc w:val="start"/>
      <w:pPr>
        <w:tabs>
          <w:tab w:val="num" w:pos="1800"/>
        </w:tabs>
        <w:ind w:start="1800" w:hanging="360"/>
      </w:pPr>
    </w:lvl>
    <w:lvl w:ilvl="2">
      <w:start w:val="1"/>
      <w:numFmt w:val="decimal"/>
      <w:lvlText w:val="%3."/>
      <w:lvlJc w:val="start"/>
      <w:pPr>
        <w:tabs>
          <w:tab w:val="num" w:pos="2700"/>
        </w:tabs>
        <w:ind w:start="2700" w:hanging="360"/>
      </w:pPr>
      <w:r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decimal"/>
      <w:lvlText w:val="%1."/>
      <w:lvlJc w:val="start"/>
      <w:pPr>
        <w:tabs>
          <w:tab w:val="num" w:pos="1080"/>
        </w:tabs>
        <w:ind w:start="1080" w:hanging="36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2z0">
    <w:name w:val="WW8Num2z0"/>
    <w:qFormat/>
    <w:rPr>
      <w:b/>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ind w:firstLine="720" w:start="0" w:end="0"/>
    </w:pPr>
    <w:rPr/>
  </w:style>
  <w:style w:type="paragraph" w:styleId="BodyText2">
    <w:name w:val="Body Text 2"/>
    <w:basedOn w:val="Normal"/>
    <w:qFormat/>
    <w:pPr>
      <w:widowControl/>
    </w:pPr>
    <w:rPr/>
  </w:style>
  <w:style w:type="paragraph" w:styleId="BodyTextIndent2">
    <w:name w:val="Body Text Indent 2"/>
    <w:basedOn w:val="Normal"/>
    <w:qFormat/>
    <w:pPr>
      <w:spacing w:lineRule="auto" w:line="480"/>
      <w:ind w:firstLine="720" w:start="0" w:end="0"/>
      <w:jc w:val="both"/>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2000-11-27T17:13:00Z</dcterms:created>
  <dc:creator>Gillan.Taddune</dc:creator>
  <dc:description/>
  <dc:language>en-CA</dc:language>
  <cp:lastModifiedBy>sbolton</cp:lastModifiedBy>
  <cp:lastPrinted>2000-11-27T18:07:00Z</cp:lastPrinted>
  <dcterms:modified xsi:type="dcterms:W3CDTF">2000-11-27T22:26:00Z</dcterms:modified>
  <cp:revision>8</cp:revision>
  <dc:subject/>
  <dc:title>PROJECT NO</dc:title>
</cp:coreProperties>
</file>