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er"/>
        <w:tabs>
          <w:tab w:val="clear" w:pos="4320"/>
          <w:tab w:val="clear" w:pos="8640"/>
        </w:tabs>
        <w:rPr/>
      </w:pPr>
      <w:r>
        <w:rPr/>
      </w:r>
    </w:p>
    <w:p>
      <w:pPr>
        <w:pStyle w:val="Normal"/>
        <w:rPr>
          <w:color w:val="000000"/>
        </w:rPr>
      </w:pPr>
      <w:r>
        <w:rPr>
          <w:color w:val="000000"/>
        </w:rPr>
        <w:t>November 22, 2000</w:t>
      </w:r>
    </w:p>
    <w:p>
      <w:pPr>
        <w:pStyle w:val="Header"/>
        <w:tabs>
          <w:tab w:val="clear" w:pos="4320"/>
          <w:tab w:val="clear" w:pos="8640"/>
        </w:tabs>
        <w:rPr>
          <w:color w:val="000000"/>
        </w:rPr>
      </w:pPr>
      <w:r>
        <w:rPr>
          <w:color w:val="000000"/>
        </w:rPr>
      </w:r>
    </w:p>
    <w:p>
      <w:pPr>
        <w:pStyle w:val="Normal"/>
        <w:rPr/>
      </w:pPr>
      <w:r>
        <w:rPr>
          <w:b/>
        </w:rPr>
        <w:t xml:space="preserve">Advice </w:t>
      </w:r>
      <w:r>
        <w:rPr>
          <w:b/>
          <w:color w:val="000000"/>
        </w:rPr>
        <w:t>2278-G</w:t>
      </w:r>
    </w:p>
    <w:p>
      <w:pPr>
        <w:pStyle w:val="Normal"/>
        <w:rPr>
          <w:color w:val="000000"/>
          <w:sz w:val="22"/>
        </w:rPr>
      </w:pPr>
      <w:r>
        <w:rPr>
          <w:color w:val="000000"/>
          <w:sz w:val="22"/>
        </w:rPr>
        <w:t>(Pacific Gas and Electric Company ID U39G)</w:t>
      </w:r>
    </w:p>
    <w:p>
      <w:pPr>
        <w:pStyle w:val="Normal"/>
        <w:rPr>
          <w:color w:val="000000"/>
          <w:sz w:val="22"/>
        </w:rPr>
      </w:pPr>
      <w:r>
        <w:rPr>
          <w:color w:val="000000"/>
          <w:sz w:val="22"/>
        </w:rPr>
      </w:r>
    </w:p>
    <w:p>
      <w:pPr>
        <w:pStyle w:val="Normal"/>
        <w:rPr>
          <w:color w:val="000000"/>
        </w:rPr>
      </w:pPr>
      <w:r>
        <w:rPr>
          <w:color w:val="000000"/>
        </w:rPr>
      </w:r>
    </w:p>
    <w:p>
      <w:pPr>
        <w:pStyle w:val="Normal"/>
        <w:rPr>
          <w:color w:val="000000"/>
        </w:rPr>
      </w:pPr>
      <w:r>
        <w:rPr>
          <w:color w:val="000000"/>
        </w:rPr>
        <w:t>Public Utilities Commission of the State of California</w:t>
      </w:r>
    </w:p>
    <w:p>
      <w:pPr>
        <w:pStyle w:val="Normal"/>
        <w:rPr>
          <w:color w:val="000000"/>
        </w:rPr>
      </w:pPr>
      <w:r>
        <w:rPr>
          <w:color w:val="000000"/>
        </w:rPr>
      </w:r>
    </w:p>
    <w:p>
      <w:pPr>
        <w:pStyle w:val="Normal"/>
        <w:ind w:hanging="1080" w:start="1080" w:end="0"/>
        <w:rPr/>
      </w:pPr>
      <w:r>
        <w:rPr>
          <w:b/>
          <w:color w:val="000000"/>
          <w:u w:val="single"/>
        </w:rPr>
        <w:t>Subject</w:t>
      </w:r>
      <w:r>
        <w:rPr>
          <w:b/>
          <w:color w:val="000000"/>
        </w:rPr>
        <w:t>:</w:t>
        <w:tab/>
        <w:t>December 2000 Core Procurement and Transportation Rate Changes</w:t>
      </w:r>
    </w:p>
    <w:p>
      <w:pPr>
        <w:pStyle w:val="Normal"/>
        <w:rPr>
          <w:b/>
          <w:color w:val="000000"/>
        </w:rPr>
      </w:pPr>
      <w:r>
        <w:rPr>
          <w:b/>
          <w:color w:val="000000"/>
        </w:rPr>
      </w:r>
    </w:p>
    <w:p>
      <w:pPr>
        <w:pStyle w:val="BodyText"/>
        <w:rPr/>
      </w:pPr>
      <w:r>
        <w:rPr>
          <w:color w:val="000000"/>
        </w:rPr>
        <w:t>Pacific Gas and Electric Company (the Company) hereby submits</w:t>
      </w:r>
      <w:r>
        <w:rPr/>
        <w:t xml:space="preserve"> for filing revisions to its gas tariffs.  The affected tariff sheets are listed on the enclosed Attachment I.</w:t>
      </w:r>
    </w:p>
    <w:p>
      <w:pPr>
        <w:pStyle w:val="Header"/>
        <w:tabs>
          <w:tab w:val="clear" w:pos="4320"/>
          <w:tab w:val="clear" w:pos="8640"/>
        </w:tabs>
        <w:rPr/>
      </w:pPr>
      <w:r>
        <w:rPr/>
      </w:r>
    </w:p>
    <w:p>
      <w:pPr>
        <w:pStyle w:val="Heading1"/>
        <w:ind w:hanging="0" w:start="0"/>
        <w:rPr/>
      </w:pPr>
      <w:r>
        <w:rPr/>
        <w:t>Purpose</w:t>
      </w:r>
    </w:p>
    <w:p>
      <w:pPr>
        <w:pStyle w:val="Header"/>
        <w:tabs>
          <w:tab w:val="clear" w:pos="4320"/>
          <w:tab w:val="clear" w:pos="8640"/>
        </w:tabs>
        <w:rPr/>
      </w:pPr>
      <w:r>
        <w:rPr/>
      </w:r>
    </w:p>
    <w:p>
      <w:pPr>
        <w:pStyle w:val="Normal"/>
        <w:jc w:val="both"/>
        <w:rPr/>
      </w:pPr>
      <w:r>
        <w:rPr>
          <w:color w:val="000000"/>
        </w:rPr>
        <w:t xml:space="preserve">The purpose of this filing is to submit changes to core end-use customer gas rates effective </w:t>
      </w:r>
      <w:r>
        <w:rPr>
          <w:b/>
          <w:color w:val="000000"/>
        </w:rPr>
        <w:t>December 1, 2000</w:t>
      </w:r>
      <w:r>
        <w:rPr>
          <w:color w:val="000000"/>
        </w:rPr>
        <w:t xml:space="preserve">. This filing is submitted in compliance with Decision (D.) 97-10-065, which approved monthly price changes for core gas procurement rates, and also incorporates changes to core rates pursuant to Gas Accord D. 97-08-055 and Biennial Cost Allocation Proceeding (BCAP) D. 98-06-073.  </w:t>
      </w:r>
    </w:p>
    <w:p>
      <w:pPr>
        <w:pStyle w:val="Normal"/>
        <w:jc w:val="both"/>
        <w:rPr>
          <w:color w:val="000000"/>
        </w:rPr>
      </w:pPr>
      <w:r>
        <w:rPr>
          <w:color w:val="000000"/>
        </w:rPr>
      </w:r>
    </w:p>
    <w:p>
      <w:pPr>
        <w:pStyle w:val="Normal"/>
        <w:jc w:val="both"/>
        <w:rPr>
          <w:color w:val="000000"/>
        </w:rPr>
      </w:pPr>
      <w:r>
        <w:rPr>
          <w:color w:val="000000"/>
        </w:rPr>
        <w:t xml:space="preserve">In accordance with D. 97-10-065, core gas procurement rates generally change on the 5th business day of the month.  However, D. 98-07-025 allows the Company to change its core procurement rates on the first day of the month when transportation rates change on the first of the month.  This filing implements gas procurement and transportation rate changes authorized in D. 00-05-049 to unbundled core storage costs from transportation rates effective December 1, 2000.  </w:t>
      </w:r>
    </w:p>
    <w:p>
      <w:pPr>
        <w:pStyle w:val="Normal"/>
        <w:rPr>
          <w:color w:val="000000"/>
        </w:rPr>
      </w:pPr>
      <w:r>
        <w:rPr>
          <w:color w:val="000000"/>
        </w:rPr>
      </w:r>
    </w:p>
    <w:p>
      <w:pPr>
        <w:pStyle w:val="Heading1"/>
        <w:ind w:hanging="0" w:start="0"/>
        <w:rPr/>
      </w:pPr>
      <w:r>
        <w:rPr/>
        <w:t>Unbundling of Core Storage Costs</w:t>
      </w:r>
    </w:p>
    <w:p>
      <w:pPr>
        <w:pStyle w:val="Normal"/>
        <w:rPr/>
      </w:pPr>
      <w:r>
        <w:rPr/>
      </w:r>
    </w:p>
    <w:p>
      <w:pPr>
        <w:pStyle w:val="Normal"/>
        <w:jc w:val="both"/>
        <w:rPr>
          <w:color w:val="000000"/>
        </w:rPr>
      </w:pPr>
      <w:r>
        <w:rPr>
          <w:color w:val="000000"/>
        </w:rPr>
        <w:t xml:space="preserve">This filing implements core gas transportation and procurement rate changes to unbundle core storage costs as authorized by the Commission in D. 00-05-049, dated May 18, 2000, and in Advice 2250-G.  The unbundling of core storage costs was part of the Joint Motion For Approval of Comprehensive PG&amp;E Settlement Agreement filed on January 28, 2000, in connection with Commission Investigation (I.) 99-07-003.  Core storage costs have, until now, been a component of the Company’s transportation revenue requirement.  As authorized in D. 00-05-049, core storage costs allocated to the Company’s core procurement service will be recovered as part of core procurement rates effective December 1, 2000.  In accordance with Advice 2250-G, the gas procurement rates in this filing now include a core storage rate component which has been removed from core transportation rates.  The core storage rate component is approximately 2 percent of the procurement rates filed herein. </w:t>
      </w:r>
    </w:p>
    <w:p>
      <w:pPr>
        <w:pStyle w:val="Heading3"/>
        <w:keepNext w:val="false"/>
        <w:ind w:hanging="0" w:start="0"/>
        <w:rPr>
          <w:color w:val="000000"/>
        </w:rPr>
      </w:pPr>
      <w:r>
        <w:rPr>
          <w:color w:val="000000"/>
          <w:rPrChange w:id="0" w:author="Unknown" w:date="0-00-00T00:00:00Z"/>
        </w:rPr>
        <w:rPrChange w:id="0" w:author="Unknown" w:date="0-00-00T00:00:00Z"/>
      </w:r>
    </w:p>
    <w:p>
      <w:pPr>
        <w:pStyle w:val="Heading3"/>
        <w:ind w:hanging="0" w:start="0"/>
        <w:rPr>
          <w:u w:val="single"/>
        </w:rPr>
      </w:pPr>
      <w:r>
        <w:rPr>
          <w:u w:val="single"/>
          <w:rPrChange w:id="0" w:author="Unknown" w:date="0-00-00T00:00:00Z"/>
        </w:rPr>
        <w:t>December Procurement Rates</w:t>
      </w:r>
    </w:p>
    <w:p>
      <w:pPr>
        <w:pStyle w:val="Normal"/>
        <w:jc w:val="both"/>
        <w:rPr>
          <w:color w:val="000000"/>
          <w:u w:val="single"/>
        </w:rPr>
      </w:pPr>
      <w:r>
        <w:rPr>
          <w:color w:val="000000"/>
          <w:u w:val="single"/>
        </w:rPr>
      </w:r>
    </w:p>
    <w:p>
      <w:pPr>
        <w:pStyle w:val="Normal"/>
        <w:jc w:val="both"/>
        <w:rPr/>
      </w:pPr>
      <w:r>
        <w:rPr>
          <w:color w:val="000000"/>
        </w:rPr>
        <w:t>The Company is revising the gas procurement charges shown on core end-use customer Schedules G-1, GM, GS, GT, GL-1, GML, GSL, GTL, G-NR1, G-NR2, G-NGV1, G-NGV2 and G-CP--</w:t>
      </w:r>
      <w:r>
        <w:rPr>
          <w:i/>
          <w:color w:val="000000"/>
        </w:rPr>
        <w:t>Gas Procurement Service to Core End-Use Customers</w:t>
      </w:r>
      <w:r>
        <w:rPr>
          <w:color w:val="000000"/>
        </w:rPr>
        <w:t>. The procurement charges shown on Schedule G-CP are for illustrative purposes only and are the same as those shown on the end-use customer schedules. The gas procurement rate varies by rate schedule due to the allocation of capacity charges to the core customer classes.</w:t>
      </w:r>
    </w:p>
    <w:p>
      <w:pPr>
        <w:pStyle w:val="Normal"/>
        <w:jc w:val="both"/>
        <w:rPr>
          <w:color w:val="000000"/>
        </w:rPr>
      </w:pPr>
      <w:r>
        <w:rPr>
          <w:color w:val="000000"/>
        </w:rPr>
      </w:r>
    </w:p>
    <w:p>
      <w:pPr>
        <w:pStyle w:val="Normal"/>
        <w:jc w:val="both"/>
        <w:rPr>
          <w:color w:val="000000"/>
        </w:rPr>
      </w:pPr>
      <w:r>
        <w:rPr>
          <w:color w:val="000000"/>
        </w:rPr>
        <w:t>Schedule G-CP procurement charges proposed in this filing are shown below:</w:t>
      </w:r>
    </w:p>
    <w:p>
      <w:pPr>
        <w:pStyle w:val="Normal"/>
        <w:jc w:val="both"/>
        <w:rPr>
          <w:color w:val="000000"/>
        </w:rPr>
      </w:pPr>
      <w:r>
        <w:rPr>
          <w:color w:val="000000"/>
        </w:rPr>
      </w:r>
    </w:p>
    <w:tbl>
      <w:tblPr>
        <w:tblW w:w="8748" w:type="dxa"/>
        <w:jc w:val="start"/>
        <w:tblInd w:w="0" w:type="dxa"/>
        <w:tblLayout w:type="fixed"/>
        <w:tblCellMar>
          <w:top w:w="0" w:type="dxa"/>
          <w:start w:w="108" w:type="dxa"/>
          <w:bottom w:w="0" w:type="dxa"/>
          <w:end w:w="108" w:type="dxa"/>
        </w:tblCellMar>
      </w:tblPr>
      <w:tblGrid>
        <w:gridCol w:w="1800"/>
        <w:gridCol w:w="1728"/>
        <w:gridCol w:w="1710"/>
        <w:gridCol w:w="1710"/>
        <w:gridCol w:w="180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snapToGrid w:val="false"/>
              <w:jc w:val="both"/>
              <w:rPr>
                <w:color w:val="000000"/>
                <w:sz w:val="20"/>
              </w:rPr>
            </w:pPr>
            <w:r>
              <w:rPr>
                <w:color w:val="000000"/>
                <w:sz w:val="20"/>
              </w:rPr>
            </w:r>
          </w:p>
        </w:tc>
        <w:tc>
          <w:tcPr>
            <w:tcW w:w="1728" w:type="dxa"/>
            <w:tcBorders>
              <w:top w:val="single" w:sz="12" w:space="0" w:color="000000"/>
              <w:start w:val="single" w:sz="6" w:space="0" w:color="000000"/>
              <w:bottom w:val="single" w:sz="6" w:space="0" w:color="000000"/>
              <w:end w:val="single" w:sz="6" w:space="0" w:color="000000"/>
            </w:tcBorders>
          </w:tcPr>
          <w:p>
            <w:pPr>
              <w:pStyle w:val="Normal"/>
              <w:jc w:val="center"/>
              <w:rPr>
                <w:color w:val="000000"/>
                <w:sz w:val="20"/>
              </w:rPr>
            </w:pPr>
            <w:r>
              <w:rPr>
                <w:color w:val="000000"/>
                <w:sz w:val="20"/>
              </w:rPr>
              <w:t>Residential</w:t>
            </w:r>
          </w:p>
          <w:p>
            <w:pPr>
              <w:pStyle w:val="Normal"/>
              <w:jc w:val="center"/>
              <w:rPr>
                <w:color w:val="000000"/>
                <w:sz w:val="20"/>
              </w:rPr>
            </w:pPr>
            <w:r>
              <w:rPr>
                <w:color w:val="000000"/>
                <w:sz w:val="20"/>
              </w:rPr>
              <w:t>(All schedules)</w:t>
            </w:r>
          </w:p>
        </w:tc>
        <w:tc>
          <w:tcPr>
            <w:tcW w:w="1710" w:type="dxa"/>
            <w:tcBorders>
              <w:top w:val="single" w:sz="12" w:space="0" w:color="000000"/>
              <w:start w:val="single" w:sz="6" w:space="0" w:color="000000"/>
              <w:bottom w:val="single" w:sz="6" w:space="0" w:color="000000"/>
              <w:end w:val="single" w:sz="6" w:space="0" w:color="000000"/>
            </w:tcBorders>
          </w:tcPr>
          <w:p>
            <w:pPr>
              <w:pStyle w:val="Normal"/>
              <w:jc w:val="center"/>
              <w:rPr>
                <w:color w:val="000000"/>
                <w:sz w:val="20"/>
              </w:rPr>
            </w:pPr>
            <w:r>
              <w:rPr>
                <w:color w:val="000000"/>
                <w:sz w:val="20"/>
              </w:rPr>
              <w:t>Small Commercial</w:t>
            </w:r>
          </w:p>
          <w:p>
            <w:pPr>
              <w:pStyle w:val="Normal"/>
              <w:jc w:val="center"/>
              <w:rPr>
                <w:color w:val="000000"/>
                <w:sz w:val="20"/>
              </w:rPr>
            </w:pPr>
            <w:r>
              <w:rPr>
                <w:color w:val="000000"/>
                <w:sz w:val="20"/>
              </w:rPr>
              <w:t>(G-NR1)</w:t>
            </w:r>
          </w:p>
        </w:tc>
        <w:tc>
          <w:tcPr>
            <w:tcW w:w="1710" w:type="dxa"/>
            <w:tcBorders>
              <w:top w:val="single" w:sz="12" w:space="0" w:color="000000"/>
              <w:start w:val="single" w:sz="6" w:space="0" w:color="000000"/>
              <w:bottom w:val="single" w:sz="6" w:space="0" w:color="000000"/>
              <w:end w:val="single" w:sz="6" w:space="0" w:color="000000"/>
            </w:tcBorders>
          </w:tcPr>
          <w:p>
            <w:pPr>
              <w:pStyle w:val="Normal"/>
              <w:jc w:val="center"/>
              <w:rPr>
                <w:color w:val="000000"/>
                <w:sz w:val="20"/>
              </w:rPr>
            </w:pPr>
            <w:r>
              <w:rPr>
                <w:color w:val="000000"/>
                <w:sz w:val="20"/>
              </w:rPr>
              <w:t>Large Commercial</w:t>
            </w:r>
          </w:p>
          <w:p>
            <w:pPr>
              <w:pStyle w:val="Normal"/>
              <w:jc w:val="center"/>
              <w:rPr>
                <w:color w:val="000000"/>
                <w:sz w:val="20"/>
              </w:rPr>
            </w:pPr>
            <w:r>
              <w:rPr>
                <w:color w:val="000000"/>
                <w:sz w:val="20"/>
              </w:rPr>
              <w:t>(G-NR2)</w:t>
            </w:r>
          </w:p>
        </w:tc>
        <w:tc>
          <w:tcPr>
            <w:tcW w:w="1800" w:type="dxa"/>
            <w:tcBorders>
              <w:top w:val="single" w:sz="12" w:space="0" w:color="000000"/>
              <w:start w:val="single" w:sz="6" w:space="0" w:color="000000"/>
              <w:bottom w:val="single" w:sz="6" w:space="0" w:color="000000"/>
              <w:end w:val="single" w:sz="12" w:space="0" w:color="000000"/>
            </w:tcBorders>
          </w:tcPr>
          <w:p>
            <w:pPr>
              <w:pStyle w:val="Normal"/>
              <w:jc w:val="center"/>
              <w:rPr>
                <w:color w:val="000000"/>
                <w:sz w:val="20"/>
              </w:rPr>
            </w:pPr>
            <w:r>
              <w:rPr>
                <w:color w:val="000000"/>
                <w:sz w:val="20"/>
              </w:rPr>
              <w:t>Natural Gas Vehicles</w:t>
            </w:r>
          </w:p>
          <w:p>
            <w:pPr>
              <w:pStyle w:val="Normal"/>
              <w:jc w:val="center"/>
              <w:rPr>
                <w:color w:val="000000"/>
                <w:sz w:val="20"/>
              </w:rPr>
            </w:pPr>
            <w:r>
              <w:rPr>
                <w:color w:val="000000"/>
                <w:sz w:val="20"/>
              </w:rPr>
              <w:t>(G-NGV1/2)</w:t>
            </w:r>
          </w:p>
        </w:tc>
      </w:tr>
      <w:tr>
        <w:trPr/>
        <w:tc>
          <w:tcPr>
            <w:tcW w:w="1800" w:type="dxa"/>
            <w:tcBorders>
              <w:top w:val="single" w:sz="6" w:space="0" w:color="000000"/>
              <w:start w:val="single" w:sz="12" w:space="0" w:color="000000"/>
              <w:bottom w:val="single" w:sz="12" w:space="0" w:color="000000"/>
              <w:end w:val="single" w:sz="6" w:space="0" w:color="000000"/>
            </w:tcBorders>
          </w:tcPr>
          <w:p>
            <w:pPr>
              <w:pStyle w:val="Normal"/>
              <w:rPr>
                <w:color w:val="000000"/>
                <w:sz w:val="20"/>
              </w:rPr>
            </w:pPr>
            <w:r>
              <w:rPr>
                <w:color w:val="000000"/>
                <w:sz w:val="20"/>
              </w:rPr>
              <w:t>Schedule G-CP Procurement Charge ($/therm)</w:t>
            </w:r>
          </w:p>
        </w:tc>
        <w:tc>
          <w:tcPr>
            <w:tcW w:w="1728"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b/>
                <w:color w:val="000000"/>
                <w:sz w:val="20"/>
              </w:rPr>
              <w:t>$0.75047</w:t>
            </w:r>
          </w:p>
        </w:tc>
        <w:tc>
          <w:tcPr>
            <w:tcW w:w="171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b/>
                <w:color w:val="000000"/>
                <w:sz w:val="20"/>
              </w:rPr>
              <w:t>$0.75251</w:t>
            </w:r>
          </w:p>
        </w:tc>
        <w:tc>
          <w:tcPr>
            <w:tcW w:w="171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b/>
                <w:color w:val="000000"/>
                <w:sz w:val="20"/>
              </w:rPr>
              <w:t>$0.73576</w:t>
            </w:r>
          </w:p>
        </w:tc>
        <w:tc>
          <w:tcPr>
            <w:tcW w:w="1800" w:type="dxa"/>
            <w:tcBorders>
              <w:top w:val="single" w:sz="6" w:space="0" w:color="000000"/>
              <w:start w:val="single" w:sz="6" w:space="0" w:color="000000"/>
              <w:bottom w:val="single" w:sz="12" w:space="0" w:color="000000"/>
              <w:end w:val="single" w:sz="12" w:space="0" w:color="000000"/>
            </w:tcBorders>
          </w:tcPr>
          <w:p>
            <w:pPr>
              <w:pStyle w:val="Normal"/>
              <w:snapToGrid w:val="false"/>
              <w:jc w:val="center"/>
              <w:rPr>
                <w:color w:val="000000"/>
                <w:sz w:val="20"/>
              </w:rPr>
            </w:pPr>
            <w:r>
              <w:rPr>
                <w:color w:val="000000"/>
                <w:sz w:val="20"/>
              </w:rPr>
            </w:r>
          </w:p>
          <w:p>
            <w:pPr>
              <w:pStyle w:val="Normal"/>
              <w:jc w:val="center"/>
              <w:rPr>
                <w:color w:val="000000"/>
                <w:sz w:val="20"/>
              </w:rPr>
            </w:pPr>
            <w:r>
              <w:rPr>
                <w:b/>
                <w:color w:val="000000"/>
                <w:sz w:val="20"/>
              </w:rPr>
              <w:t>$0.74585</w:t>
            </w:r>
          </w:p>
        </w:tc>
      </w:tr>
    </w:tbl>
    <w:p>
      <w:pPr>
        <w:pStyle w:val="Normal"/>
        <w:jc w:val="both"/>
        <w:rPr>
          <w:color w:val="000000"/>
        </w:rPr>
      </w:pPr>
      <w:r>
        <w:rPr>
          <w:color w:val="000000"/>
        </w:rPr>
      </w:r>
    </w:p>
    <w:p>
      <w:pPr>
        <w:pStyle w:val="Normal"/>
        <w:jc w:val="both"/>
        <w:rPr/>
      </w:pPr>
      <w:r>
        <w:rPr>
          <w:color w:val="000000"/>
        </w:rPr>
        <w:t xml:space="preserve">The Schedule G-CP rates effective </w:t>
      </w:r>
      <w:r>
        <w:rPr>
          <w:b/>
          <w:color w:val="000000"/>
        </w:rPr>
        <w:t>December 1, 2000</w:t>
      </w:r>
      <w:r>
        <w:rPr>
          <w:color w:val="000000"/>
        </w:rPr>
        <w:t>, include:</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A monthly core commodity charge of </w:t>
      </w:r>
      <w:r>
        <w:rPr>
          <w:b/>
          <w:color w:val="000000"/>
        </w:rPr>
        <w:t>$0.63200</w:t>
      </w:r>
      <w:r>
        <w:rPr>
          <w:color w:val="000000"/>
        </w:rPr>
        <w:t xml:space="preserve"> per therm, compared to last month’s commodity charge of </w:t>
      </w:r>
      <w:r>
        <w:rPr>
          <w:b/>
          <w:color w:val="000000"/>
        </w:rPr>
        <w:t>$0.50887</w:t>
      </w:r>
      <w:r>
        <w:rPr>
          <w:color w:val="000000"/>
        </w:rPr>
        <w:t xml:space="preserve"> per therm. The commodity charge includes backbone transportation charges to the citygate.</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An adjustment of </w:t>
      </w:r>
      <w:r>
        <w:rPr>
          <w:b/>
          <w:color w:val="000000"/>
        </w:rPr>
        <w:t>$0.01668</w:t>
      </w:r>
      <w:r>
        <w:rPr>
          <w:color w:val="000000"/>
        </w:rPr>
        <w:t xml:space="preserve"> per therm, which amortizes a $20.8 million undercollection in the core sales subaccount of the PGA over three months.</w:t>
      </w:r>
    </w:p>
    <w:p>
      <w:pPr>
        <w:pStyle w:val="Normal"/>
        <w:jc w:val="both"/>
        <w:rPr>
          <w:color w:val="000000"/>
        </w:rPr>
      </w:pPr>
      <w:r>
        <w:rPr>
          <w:color w:val="000000"/>
        </w:rPr>
      </w:r>
    </w:p>
    <w:p>
      <w:pPr>
        <w:pStyle w:val="Normal"/>
        <w:numPr>
          <w:ilvl w:val="0"/>
          <w:numId w:val="2"/>
        </w:numPr>
        <w:jc w:val="both"/>
        <w:rPr>
          <w:color w:val="000000"/>
        </w:rPr>
      </w:pPr>
      <w:r>
        <w:rPr>
          <w:color w:val="000000"/>
        </w:rPr>
        <w:t>An adjustment to the interstate and backbone capacity charges to account for the monthly election of backbone and interstate capacity by Core Transport Agents.</w:t>
      </w:r>
    </w:p>
    <w:p>
      <w:pPr>
        <w:pStyle w:val="Normal"/>
        <w:jc w:val="both"/>
        <w:rPr>
          <w:color w:val="000000"/>
        </w:rPr>
      </w:pPr>
      <w:r>
        <w:rPr>
          <w:color w:val="000000"/>
        </w:rPr>
      </w:r>
    </w:p>
    <w:p>
      <w:pPr>
        <w:pStyle w:val="Normal"/>
        <w:numPr>
          <w:ilvl w:val="0"/>
          <w:numId w:val="2"/>
        </w:numPr>
        <w:jc w:val="both"/>
        <w:rPr>
          <w:color w:val="000000"/>
        </w:rPr>
      </w:pPr>
      <w:r>
        <w:rPr>
          <w:color w:val="000000"/>
        </w:rPr>
        <w:t>An adjustment to core firm storage capacity charges to account for elections of core firm storage capacity by Core Transport Agents.</w:t>
      </w:r>
    </w:p>
    <w:p>
      <w:pPr>
        <w:pStyle w:val="Normal"/>
        <w:tabs>
          <w:tab w:val="clear" w:pos="720"/>
          <w:tab w:val="left" w:pos="360" w:leader="none"/>
        </w:tabs>
        <w:jc w:val="both"/>
        <w:rPr>
          <w:color w:val="000000"/>
        </w:rPr>
      </w:pPr>
      <w:r>
        <w:rPr>
          <w:color w:val="000000"/>
        </w:rPr>
      </w:r>
    </w:p>
    <w:p>
      <w:pPr>
        <w:pStyle w:val="Normal"/>
        <w:jc w:val="both"/>
        <w:rPr/>
      </w:pPr>
      <w:r>
        <w:rPr>
          <w:color w:val="000000"/>
        </w:rPr>
        <w:t>Preliminary Statement, Part B–</w:t>
      </w:r>
      <w:r>
        <w:rPr>
          <w:i/>
          <w:color w:val="000000"/>
        </w:rPr>
        <w:t>Default Tariff Rate Components,</w:t>
      </w:r>
      <w:r>
        <w:rPr>
          <w:color w:val="000000"/>
        </w:rPr>
        <w:t xml:space="preserve"> reflects changes to the core procurement components.  Workpapers showing the derivation of rates and components in this advice filing can be obtained by writing to the address shown below.</w:t>
      </w:r>
    </w:p>
    <w:p>
      <w:pPr>
        <w:pStyle w:val="Normal"/>
        <w:jc w:val="both"/>
        <w:rPr>
          <w:color w:val="000000"/>
        </w:rPr>
      </w:pPr>
      <w:r>
        <w:rPr>
          <w:color w:val="000000"/>
        </w:rPr>
      </w:r>
    </w:p>
    <w:p>
      <w:pPr>
        <w:pStyle w:val="Normal"/>
        <w:jc w:val="both"/>
        <w:rPr>
          <w:color w:val="000000"/>
        </w:rPr>
      </w:pPr>
      <w:r>
        <w:rPr>
          <w:color w:val="000000"/>
        </w:rPr>
        <w:t>The prices in this filing shall remain in effect until the Company’s next such filing with the CPUC.  The current core procurement rates may be obtained by calling the Company’s core gas hotline at (415) 973-0461 or at the Company’s World Wide Web site at:</w:t>
      </w:r>
    </w:p>
    <w:p>
      <w:pPr>
        <w:pStyle w:val="Normal"/>
        <w:jc w:val="both"/>
        <w:rPr>
          <w:color w:val="000000"/>
        </w:rPr>
      </w:pPr>
      <w:r>
        <w:rPr>
          <w:color w:val="000000"/>
        </w:rPr>
      </w:r>
    </w:p>
    <w:p>
      <w:pPr>
        <w:pStyle w:val="Normal"/>
        <w:jc w:val="center"/>
        <w:rPr>
          <w:sz w:val="22"/>
        </w:rPr>
      </w:pPr>
      <w:r>
        <w:rPr>
          <w:color w:val="000000"/>
        </w:rPr>
        <w:t>http://www.pge.com/customer_service/business/tariffs</w:t>
      </w:r>
    </w:p>
    <w:p>
      <w:pPr>
        <w:pStyle w:val="Normal"/>
        <w:rPr>
          <w:color w:val="000000"/>
          <w:sz w:val="22"/>
        </w:rPr>
      </w:pPr>
      <w:r>
        <w:rPr>
          <w:color w:val="000000"/>
          <w:sz w:val="22"/>
        </w:rPr>
      </w:r>
    </w:p>
    <w:p>
      <w:pPr>
        <w:pStyle w:val="Heading1"/>
        <w:ind w:hanging="0" w:start="0"/>
        <w:rPr/>
      </w:pPr>
      <w:r>
        <w:rPr/>
        <w:t>Protests</w:t>
      </w:r>
    </w:p>
    <w:p>
      <w:pPr>
        <w:pStyle w:val="Normal"/>
        <w:rPr/>
      </w:pPr>
      <w:r>
        <w:rPr/>
      </w:r>
    </w:p>
    <w:p>
      <w:pPr>
        <w:pStyle w:val="BodyText"/>
        <w:rPr/>
      </w:pPr>
      <w:r>
        <w:rPr/>
        <w:t>Anyone wishing to protest this filing may do so by sending a letter within 20 days of the date of this filing.  The protest must state the grounds upon which it is based, including such items as financial and service impact, and should be submitted expeditiously.  Protests should be sent by U.S. mail and via facsimile to:</w:t>
      </w:r>
    </w:p>
    <w:p>
      <w:pPr>
        <w:pStyle w:val="Normal"/>
        <w:rPr/>
      </w:pPr>
      <w:r>
        <w:rPr/>
      </w:r>
    </w:p>
    <w:p>
      <w:pPr>
        <w:pStyle w:val="Normal"/>
        <w:ind w:start="2700" w:end="0"/>
        <w:rPr>
          <w:sz w:val="22"/>
        </w:rPr>
      </w:pPr>
      <w:r>
        <w:rPr>
          <w:sz w:val="22"/>
        </w:rPr>
        <w:t>IMC Branch Chief</w:t>
      </w:r>
    </w:p>
    <w:p>
      <w:pPr>
        <w:pStyle w:val="Normal"/>
        <w:ind w:start="2700" w:end="0"/>
        <w:rPr>
          <w:sz w:val="22"/>
        </w:rPr>
      </w:pPr>
      <w:r>
        <w:rPr>
          <w:sz w:val="22"/>
        </w:rPr>
        <w:t>Energy Division</w:t>
      </w:r>
    </w:p>
    <w:p>
      <w:pPr>
        <w:pStyle w:val="Normal"/>
        <w:ind w:start="2700" w:end="0"/>
        <w:rPr>
          <w:sz w:val="22"/>
        </w:rPr>
      </w:pPr>
      <w:r>
        <w:rPr>
          <w:sz w:val="22"/>
        </w:rPr>
        <w:t>California Public Utilities Commission</w:t>
      </w:r>
    </w:p>
    <w:p>
      <w:pPr>
        <w:pStyle w:val="Normal"/>
        <w:ind w:start="2700" w:end="0"/>
        <w:rPr>
          <w:sz w:val="22"/>
        </w:rPr>
      </w:pPr>
      <w:r>
        <w:rPr>
          <w:sz w:val="22"/>
        </w:rPr>
        <w:t>505 Van Ness Avenue, Room 4002</w:t>
      </w:r>
    </w:p>
    <w:p>
      <w:pPr>
        <w:pStyle w:val="Normal"/>
        <w:ind w:start="2700" w:end="0"/>
        <w:rPr>
          <w:sz w:val="22"/>
        </w:rPr>
      </w:pPr>
      <w:r>
        <w:rPr>
          <w:sz w:val="22"/>
        </w:rPr>
        <w:t>San Francisco, CA  94102</w:t>
      </w:r>
    </w:p>
    <w:p>
      <w:pPr>
        <w:pStyle w:val="Normal"/>
        <w:ind w:start="2700" w:end="0"/>
        <w:rPr>
          <w:sz w:val="22"/>
        </w:rPr>
      </w:pPr>
      <w:r>
        <w:rPr>
          <w:sz w:val="22"/>
        </w:rPr>
        <w:t>Facsimile:  (415) 703-2200</w:t>
      </w:r>
    </w:p>
    <w:p>
      <w:pPr>
        <w:pStyle w:val="Normal"/>
        <w:rPr/>
      </w:pPr>
      <w:r>
        <w:rPr/>
      </w:r>
    </w:p>
    <w:p>
      <w:pPr>
        <w:pStyle w:val="Normal"/>
        <w:jc w:val="both"/>
        <w:rPr/>
      </w:pPr>
      <w:r>
        <w:rPr/>
        <w:t xml:space="preserve">Copies should also be mailed to the attention of the Director, Energy Division, Room 4005 and Jerry Royer, at the address shown above.  It is also requested that a copy of the protest be sent via postal mail </w:t>
      </w:r>
      <w:r>
        <w:rPr>
          <w:u w:val="single"/>
        </w:rPr>
        <w:t>and</w:t>
      </w:r>
      <w:r>
        <w:rPr/>
        <w:t xml:space="preserve"> facsimile to Pacific Gas and Electric Company on the same date it is mailed or delivered to the Commission (at the address shown below).</w:t>
      </w:r>
    </w:p>
    <w:p>
      <w:pPr>
        <w:pStyle w:val="Normal"/>
        <w:rPr/>
      </w:pPr>
      <w:r>
        <w:rPr/>
      </w:r>
    </w:p>
    <w:p>
      <w:pPr>
        <w:pStyle w:val="Normal"/>
        <w:ind w:start="2700" w:end="0"/>
        <w:rPr>
          <w:sz w:val="22"/>
        </w:rPr>
      </w:pPr>
      <w:r>
        <w:rPr>
          <w:sz w:val="22"/>
        </w:rPr>
        <w:t>Pacific Gas and Electric Company</w:t>
      </w:r>
    </w:p>
    <w:p>
      <w:pPr>
        <w:pStyle w:val="Normal"/>
        <w:ind w:start="2700" w:end="0"/>
        <w:rPr>
          <w:sz w:val="22"/>
        </w:rPr>
      </w:pPr>
      <w:r>
        <w:rPr>
          <w:sz w:val="22"/>
        </w:rPr>
        <w:t>Attn: Les Guliasi</w:t>
      </w:r>
    </w:p>
    <w:p>
      <w:pPr>
        <w:pStyle w:val="Normal"/>
        <w:ind w:start="2700" w:end="0"/>
        <w:rPr>
          <w:sz w:val="22"/>
        </w:rPr>
      </w:pPr>
      <w:r>
        <w:rPr>
          <w:sz w:val="22"/>
        </w:rPr>
        <w:t>Director, Regulatory Relations</w:t>
      </w:r>
    </w:p>
    <w:p>
      <w:pPr>
        <w:pStyle w:val="Normal"/>
        <w:ind w:start="2700" w:end="0"/>
        <w:rPr>
          <w:sz w:val="22"/>
        </w:rPr>
      </w:pPr>
      <w:r>
        <w:rPr>
          <w:sz w:val="22"/>
        </w:rPr>
        <w:t>77 Beale Street, Mailcode B10C</w:t>
      </w:r>
    </w:p>
    <w:p>
      <w:pPr>
        <w:pStyle w:val="Normal"/>
        <w:ind w:start="2700" w:end="0"/>
        <w:rPr>
          <w:sz w:val="22"/>
        </w:rPr>
      </w:pPr>
      <w:r>
        <w:rPr>
          <w:sz w:val="22"/>
        </w:rPr>
        <w:t>P.O. Box 770000</w:t>
      </w:r>
    </w:p>
    <w:p>
      <w:pPr>
        <w:pStyle w:val="Normal"/>
        <w:ind w:start="2700" w:end="0"/>
        <w:rPr>
          <w:sz w:val="22"/>
        </w:rPr>
      </w:pPr>
      <w:r>
        <w:rPr>
          <w:sz w:val="22"/>
        </w:rPr>
        <w:t>San Francisco, CA  94177</w:t>
      </w:r>
    </w:p>
    <w:p>
      <w:pPr>
        <w:pStyle w:val="Normal"/>
        <w:ind w:start="2700" w:end="0"/>
        <w:rPr>
          <w:sz w:val="22"/>
        </w:rPr>
      </w:pPr>
      <w:r>
        <w:rPr>
          <w:sz w:val="22"/>
        </w:rPr>
        <w:t>Facsimile:  (415) 973-7226</w:t>
      </w:r>
    </w:p>
    <w:p>
      <w:pPr>
        <w:pStyle w:val="Normal"/>
        <w:ind w:start="2700" w:end="0"/>
        <w:rPr/>
      </w:pPr>
      <w:r>
        <w:rPr/>
      </w:r>
    </w:p>
    <w:p>
      <w:pPr>
        <w:pStyle w:val="Heading2"/>
        <w:ind w:hanging="0" w:start="0"/>
        <w:rPr>
          <w:u w:val="single"/>
        </w:rPr>
      </w:pPr>
      <w:r>
        <w:rPr>
          <w:u w:val="single"/>
        </w:rPr>
        <w:t>Notice</w:t>
      </w:r>
    </w:p>
    <w:p>
      <w:pPr>
        <w:pStyle w:val="Normal"/>
        <w:rPr>
          <w:u w:val="single"/>
        </w:rPr>
      </w:pPr>
      <w:r>
        <w:rPr>
          <w:u w:val="single"/>
        </w:rPr>
      </w:r>
    </w:p>
    <w:p>
      <w:pPr>
        <w:pStyle w:val="Normal"/>
        <w:jc w:val="both"/>
        <w:rPr/>
      </w:pPr>
      <w:r>
        <w:rPr/>
        <w:t>In accordance with Section III, Paragraph G, of General Order 96-A, a copy of this advice letter is being sent electronically and via U.S. Mail to parties shown on the attached list and the service list for the Gas OII I. 99-07-003.  Address changes should be directed to Nelia Avendano at (415) 973-3529.</w:t>
      </w:r>
    </w:p>
    <w:p>
      <w:pPr>
        <w:pStyle w:val="Normal"/>
        <w:rPr/>
      </w:pPr>
      <w:r>
        <w:rPr/>
      </w:r>
    </w:p>
    <w:p>
      <w:pPr>
        <w:pStyle w:val="Normal"/>
        <w:rPr/>
      </w:pPr>
      <w:r>
        <w:rPr/>
      </w:r>
    </w:p>
    <w:p>
      <w:pPr>
        <w:pStyle w:val="Normal"/>
        <w:rPr/>
      </w:pPr>
      <w:r>
        <w:rPr/>
      </w:r>
    </w:p>
    <w:p>
      <w:pPr>
        <w:pStyle w:val="Normal"/>
        <w:rPr/>
      </w:pPr>
      <w:r>
        <w:rPr/>
      </w:r>
    </w:p>
    <w:p>
      <w:pPr>
        <w:pStyle w:val="Normal"/>
        <w:rPr/>
      </w:pPr>
      <w:r>
        <w:rPr/>
        <w:t>Vice President - Regulatory Relations</w:t>
      </w:r>
    </w:p>
    <w:p>
      <w:pPr>
        <w:pStyle w:val="Normal"/>
        <w:rPr/>
      </w:pPr>
      <w:r>
        <w:rPr/>
      </w:r>
    </w:p>
    <w:p>
      <w:pPr>
        <w:pStyle w:val="Normal"/>
        <w:rPr/>
      </w:pPr>
      <w:r>
        <w:rPr/>
      </w:r>
    </w:p>
    <w:p>
      <w:pPr>
        <w:pStyle w:val="Normal"/>
        <w:rPr/>
      </w:pPr>
      <w:r>
        <w:rPr/>
        <w:t>Attachments</w:t>
      </w:r>
    </w:p>
    <w:p>
      <w:pPr>
        <w:pStyle w:val="Normal"/>
        <w:rPr/>
      </w:pPr>
      <w:r>
        <w:rPr/>
      </w:r>
    </w:p>
    <w:p>
      <w:pPr>
        <w:pStyle w:val="Normal"/>
        <w:rPr/>
      </w:pPr>
      <w:r>
        <w:rPr/>
        <w:t xml:space="preserve">cc: </w:t>
        <w:tab/>
        <w:t>Service List - OII 99-07-003</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Header"/>
            <w:rPr/>
          </w:pPr>
          <w:r>
            <w:rPr/>
            <w:t>Advice No. 2278-G</w:t>
          </w:r>
        </w:p>
      </w:tc>
      <w:tc>
        <w:tcPr>
          <w:tcW w:w="2952" w:type="dxa"/>
          <w:tcBorders/>
        </w:tcPr>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tc>
      <w:tc>
        <w:tcPr>
          <w:tcW w:w="2952" w:type="dxa"/>
          <w:tcBorders/>
        </w:tcPr>
        <w:p>
          <w:pPr>
            <w:pStyle w:val="Header"/>
            <w:jc w:val="end"/>
            <w:rPr/>
          </w:pPr>
          <w:r>
            <w:rPr/>
            <w:t>December 1, 2000</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both"/>
      <w:outlineLvl w:val="2"/>
    </w:pPr>
    <w:rPr>
      <w:b/>
      <w:bCs/>
      <w:color w:val="000000"/>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60" w:leader="none"/>
      </w:tabs>
      <w:ind w:hanging="360" w:start="360" w:end="0"/>
      <w:jc w:val="both"/>
    </w:pPr>
    <w:rPr>
      <w:b/>
      <w:bCs/>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2000-11-27T19:36:00Z</dcterms:created>
  <dc:creator>Jason D. Kwan</dc:creator>
  <dc:description/>
  <dc:language>en-CA</dc:language>
  <cp:lastModifiedBy>Nel Avendano</cp:lastModifiedBy>
  <cp:lastPrinted>2000-11-22T12:23:00Z</cp:lastPrinted>
  <dcterms:modified xsi:type="dcterms:W3CDTF">2000-11-27T19:36:00Z</dcterms:modified>
  <cp:revision>2</cp:revision>
  <dc:subject/>
  <dc:title>Date</dc:title>
</cp:coreProperties>
</file>