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04/12/2001</w:t>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ING BARINGS (U.S.) CAPITAL MARKETS LLC, a limited liability company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Party B is a limited liability company (that is treated as a partnership for federal income tax purposes) organized under the laws of the State of  ______.</w:t>
      </w:r>
      <w:r>
        <w:rPr>
          <w:color w:val="FF0000"/>
          <w:sz w:val="22"/>
          <w:szCs w:val="22"/>
        </w:rPr>
        <w:t xml:space="preserve"> </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ING Barings (U.S.) Capital Markets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ING Bank N.V.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ING Bank N.V.</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keepNext w:val="true"/>
        <w:spacing w:lineRule="exact" w:line="240" w:before="240" w:after="0"/>
        <w:ind w:firstLine="720" w:end="0"/>
        <w:jc w:val="both"/>
        <w:rPr>
          <w:sz w:val="22"/>
          <w:szCs w:val="22"/>
        </w:rPr>
      </w:pPr>
      <w:r>
        <w:rPr>
          <w:sz w:val="22"/>
          <w:szCs w:val="22"/>
        </w:rPr>
      </w:r>
    </w:p>
    <w:p>
      <w:pPr>
        <w:pStyle w:val="Normal"/>
        <w:keepNext w:val="true"/>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ING Bank N.V.,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keepNext w:val="true"/>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jc w:val="both"/>
        <w:rPr>
          <w:b/>
          <w:bCs/>
          <w:color w:val="FF0000"/>
          <w:sz w:val="22"/>
          <w:szCs w:val="22"/>
        </w:rPr>
      </w:pPr>
      <w:r>
        <w:rPr>
          <w:b/>
          <w:bCs/>
          <w:color w:val="FF0000"/>
          <w:sz w:val="22"/>
          <w:szCs w:val="22"/>
        </w:rPr>
      </w:r>
    </w:p>
    <w:p>
      <w:pPr>
        <w:pStyle w:val="Normal"/>
        <w:jc w:val="both"/>
        <w:rPr>
          <w:b/>
          <w:bCs/>
          <w:color w:val="FF0000"/>
          <w:sz w:val="22"/>
          <w:szCs w:val="22"/>
        </w:rPr>
      </w:pPr>
      <w:r>
        <w:rPr>
          <w:b/>
          <w:bCs/>
          <w:color w:val="FF0000"/>
          <w:sz w:val="22"/>
          <w:szCs w:val="22"/>
        </w:rPr>
      </w:r>
    </w:p>
    <w:p>
      <w:pPr>
        <w:pStyle w:val="Normal"/>
        <w:keepNext w:val="true"/>
        <w:jc w:val="both"/>
        <w:rPr>
          <w:sz w:val="22"/>
          <w:szCs w:val="22"/>
        </w:rPr>
      </w:pPr>
      <w:r>
        <w:rPr>
          <w:b/>
          <w:bCs/>
          <w:sz w:val="22"/>
          <w:szCs w:val="22"/>
        </w:rPr>
        <w:t>Part 6.  Additional Terms for FX Transactions and Currency Option Transactions.</w:t>
      </w:r>
    </w:p>
    <w:p>
      <w:pPr>
        <w:pStyle w:val="Normal"/>
        <w:keepNext w:val="true"/>
        <w:tabs>
          <w:tab w:val="clear" w:pos="720"/>
          <w:tab w:val="left" w:pos="1350" w:leader="none"/>
        </w:tabs>
        <w:ind w:firstLine="720" w:end="0"/>
        <w:jc w:val="both"/>
        <w:rPr>
          <w:sz w:val="22"/>
          <w:szCs w:val="22"/>
        </w:rPr>
      </w:pPr>
      <w:r>
        <w:rPr>
          <w:sz w:val="22"/>
          <w:szCs w:val="22"/>
        </w:rPr>
      </w:r>
    </w:p>
    <w:p>
      <w:pPr>
        <w:pStyle w:val="Normal"/>
        <w:keepNext w:val="true"/>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(together with the Emerging Markets Traders Association and The Foreign Exchange Committee)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ING BARINGS (U.S.) CAPITAL MARKETS LLC</w:t>
            </w:r>
          </w:p>
          <w:p>
            <w:pPr>
              <w:pStyle w:val="Normal"/>
              <w:keepNext w:val="true"/>
              <w:spacing w:lineRule="exact" w:line="240"/>
              <w:jc w:val="both"/>
              <w:rPr>
                <w:sz w:val="22"/>
                <w:szCs w:val="22"/>
              </w:rPr>
            </w:pPr>
            <w:r>
              <w:rPr>
                <w:sz w:val="22"/>
                <w:szCs w:val="22"/>
              </w:rPr>
              <w:t>By: ____________________________, its Managing Member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ING BARINGS (U.S.) CAPITAL MARKETS LLC, a limited liability company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color w:val="FF0000"/>
          <w:sz w:val="22"/>
          <w:szCs w:val="22"/>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in the case of Party B, ING Bank, N.V. and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Normal"/>
              <w:keepNext w:val="true"/>
              <w:ind w:start="-18" w:end="0"/>
              <w:rPr>
                <w:sz w:val="22"/>
                <w:szCs w:val="22"/>
              </w:rPr>
            </w:pPr>
            <w:r>
              <w:rPr>
                <w:b/>
                <w:bCs/>
                <w:sz w:val="22"/>
                <w:u w:val="single"/>
              </w:rPr>
              <w:t>S&amp;P CREDIT RATING</w:t>
            </w:r>
          </w:p>
        </w:tc>
      </w:tr>
      <w:tr>
        <w:trPr/>
        <w:tc>
          <w:tcPr>
            <w:tcW w:w="2520" w:type="dxa"/>
            <w:tcBorders/>
          </w:tcPr>
          <w:p>
            <w:pPr>
              <w:pStyle w:val="Normal"/>
              <w:keepNext w:val="true"/>
              <w:rPr>
                <w:sz w:val="22"/>
                <w:szCs w:val="22"/>
              </w:rPr>
            </w:pPr>
            <w:r>
              <w:rPr>
                <w:sz w:val="22"/>
                <w:szCs w:val="22"/>
              </w:rPr>
              <w:t>U.S. $20,000,000</w:t>
            </w:r>
          </w:p>
        </w:tc>
        <w:tc>
          <w:tcPr>
            <w:tcW w:w="2381" w:type="dxa"/>
            <w:tcBorders/>
          </w:tcPr>
          <w:p>
            <w:pPr>
              <w:pStyle w:val="Normal"/>
              <w:keepNext w:val="true"/>
              <w:ind w:start="-18" w:end="0"/>
              <w:rPr>
                <w:sz w:val="22"/>
                <w:szCs w:val="22"/>
              </w:rPr>
            </w:pPr>
            <w:r>
              <w:rPr>
                <w:sz w:val="22"/>
                <w:szCs w:val="22"/>
              </w:rPr>
              <w:t>AA- and above</w:t>
            </w:r>
          </w:p>
        </w:tc>
      </w:tr>
      <w:tr>
        <w:trPr/>
        <w:tc>
          <w:tcPr>
            <w:tcW w:w="2520" w:type="dxa"/>
            <w:tcBorders/>
          </w:tcPr>
          <w:p>
            <w:pPr>
              <w:pStyle w:val="Normal"/>
              <w:keepNext w:val="true"/>
              <w:rPr>
                <w:sz w:val="22"/>
                <w:szCs w:val="22"/>
              </w:rPr>
            </w:pPr>
            <w:r>
              <w:rPr>
                <w:sz w:val="22"/>
                <w:szCs w:val="22"/>
              </w:rPr>
              <w:t>U.S. $15,000,000</w:t>
            </w:r>
          </w:p>
        </w:tc>
        <w:tc>
          <w:tcPr>
            <w:tcW w:w="2381" w:type="dxa"/>
            <w:tcBorders/>
          </w:tcPr>
          <w:p>
            <w:pPr>
              <w:pStyle w:val="Normal"/>
              <w:keepNext w:val="true"/>
              <w:ind w:start="-18" w:end="0"/>
              <w:rPr>
                <w:sz w:val="22"/>
                <w:szCs w:val="22"/>
              </w:rPr>
            </w:pPr>
            <w:r>
              <w:rPr>
                <w:sz w:val="22"/>
                <w:szCs w:val="22"/>
              </w:rPr>
              <w:t>A+ to A-</w:t>
            </w:r>
          </w:p>
        </w:tc>
      </w:tr>
      <w:tr>
        <w:trPr/>
        <w:tc>
          <w:tcPr>
            <w:tcW w:w="2520" w:type="dxa"/>
            <w:tcBorders/>
          </w:tcPr>
          <w:p>
            <w:pPr>
              <w:pStyle w:val="Normal"/>
              <w:keepNext w:val="true"/>
              <w:rPr>
                <w:sz w:val="22"/>
                <w:szCs w:val="22"/>
              </w:rPr>
            </w:pPr>
            <w:r>
              <w:rPr>
                <w:sz w:val="22"/>
                <w:szCs w:val="22"/>
              </w:rPr>
              <w:t>U.S. $10,000,000</w:t>
            </w:r>
          </w:p>
        </w:tc>
        <w:tc>
          <w:tcPr>
            <w:tcW w:w="2381" w:type="dxa"/>
            <w:tcBorders/>
          </w:tcPr>
          <w:p>
            <w:pPr>
              <w:pStyle w:val="Normal"/>
              <w:keepNext w:val="true"/>
              <w:ind w:start="-18" w:end="0"/>
              <w:rPr>
                <w:sz w:val="22"/>
                <w:szCs w:val="22"/>
              </w:rPr>
            </w:pPr>
            <w:r>
              <w:rPr>
                <w:sz w:val="22"/>
                <w:szCs w:val="22"/>
              </w:rPr>
              <w:t>BBB+ and BBB</w:t>
            </w:r>
          </w:p>
        </w:tc>
      </w:tr>
      <w:tr>
        <w:trPr/>
        <w:tc>
          <w:tcPr>
            <w:tcW w:w="2520" w:type="dxa"/>
            <w:tcBorders/>
          </w:tcPr>
          <w:p>
            <w:pPr>
              <w:pStyle w:val="Normal"/>
              <w:keepNext w:val="true"/>
              <w:rPr>
                <w:sz w:val="22"/>
                <w:szCs w:val="22"/>
              </w:rPr>
            </w:pPr>
            <w:r>
              <w:rPr>
                <w:sz w:val="22"/>
                <w:szCs w:val="22"/>
              </w:rPr>
              <w:t>U.S. $5,000,000</w:t>
            </w:r>
          </w:p>
        </w:tc>
        <w:tc>
          <w:tcPr>
            <w:tcW w:w="2381"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its Credit Support Provider has a Credit Rating</w:t>
      </w:r>
      <w:r>
        <w:rPr>
          <w:color w:val="000000"/>
          <w:sz w:val="22"/>
          <w:szCs w:val="22"/>
        </w:rPr>
        <w:t xml:space="preserve"> from S&amp;P</w:t>
      </w:r>
      <w:r>
        <w:rPr>
          <w:sz w:val="22"/>
          <w:szCs w:val="22"/>
        </w:rPr>
        <w:t xml:space="preserve"> and the lowest Credit Rating for its Credit Support Provider is “BBB-” or higher by S&amp;P.</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ING BARINGS (U.S.) CAPITAL MARKETS LLC, a </w:t>
      </w:r>
      <w:r>
        <w:rPr>
          <w:sz w:val="22"/>
          <w:szCs w:val="22"/>
          <w:u w:val="single"/>
        </w:rPr>
        <w:tab/>
        <w:tab/>
        <w:tab/>
      </w:r>
      <w:r>
        <w:rPr>
          <w:sz w:val="22"/>
          <w:szCs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ING Barings (U.S.) Capital Markets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ING BANK N.V.</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2001 (the “Effective Date”), is made and entered into by ING BANK N.V., a Netherlands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ING BARINGS (U.S.) CAPITAL MARKETS LLC</w:t>
      </w:r>
      <w:r>
        <w:rPr>
          <w:sz w:val="22"/>
          <w:szCs w:val="22"/>
          <w:u w:val="single"/>
        </w:rPr>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Netherlands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Enron North America Corp.</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BodyText"/>
              <w:keepNext w:val="true"/>
              <w:keepLines/>
              <w:widowControl/>
              <w:tabs>
                <w:tab w:val="clear" w:pos="720"/>
                <w:tab w:val="right" w:pos="2988" w:leader="none"/>
              </w:tabs>
              <w:spacing w:lineRule="atLeast" w:line="240"/>
              <w:rPr>
                <w:u w:val="single"/>
              </w:rPr>
            </w:pPr>
            <w:r>
              <w:rPr/>
              <w:t>ING Bank N.V.</w:t>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ING BANK N.V.</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spacing w:lineRule="exact" w:line="240" w:before="240" w:after="0"/>
        <w:ind w:start="900" w:end="0"/>
        <w:jc w:val="both"/>
        <w:rPr>
          <w:sz w:val="22"/>
          <w:szCs w:val="22"/>
        </w:rPr>
      </w:pPr>
      <w:r>
        <w:rPr>
          <w:sz w:val="22"/>
          <w:szCs w:val="22"/>
        </w:rPr>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before="240" w:after="0"/>
        <w:jc w:val="both"/>
        <w:rPr>
          <w:color w:val="FF0000"/>
          <w:sz w:val="22"/>
          <w:szCs w:val="22"/>
        </w:rPr>
      </w:pPr>
      <w:r>
        <w:rPr>
          <w:color w:val="FF0000"/>
          <w:sz w:val="22"/>
          <w:szCs w:val="22"/>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/mnt/main-storage/datasets/enron-docs/doc/225ctr_ing_barings_cap_mkt_.doc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/mnt/main-storage/datasets/enron-docs/doc/225ctr_ing_barings_cap_mkt_.doc</w:t>
    </w:r>
    <w:r>
      <w:rPr>
        <w:rStyle w:val="PageNumber"/>
        <w:sz w:val="16"/>
        <w:szCs w:val="16"/>
      </w:rPr>
      <w:fldChar w:fldCharType="end"/>
    </w:r>
  </w:p>
  <w:p>
    <w:pPr>
      <w:pStyle w:val="Footer"/>
      <w:widowControl/>
      <w:jc w:val="center"/>
      <w:rPr>
        <w:sz w:val="20"/>
      </w:rPr>
    </w:pPr>
    <w:r>
      <w:rPr>
        <w:sz w:val="20"/>
      </w:rPr>
      <w:t>Exhibit B</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/mnt/main-storage/datasets/enron-docs/doc/225ctr_ing_barings_cap_mkt_.doc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/mnt/main-storage/datasets/enron-docs/doc/225ctr_ing_barings_cap_mkt_.doc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/mnt/main-storage/datasets/enron-docs/doc/225ctr_ing_barings_cap_mkt_.doc</w:t>
    </w:r>
    <w:r>
      <w:rPr>
        <w:rStyle w:val="PageNumber"/>
        <w:sz w:val="16"/>
        <w:szCs w:val="16"/>
      </w:rPr>
      <w:fldChar w:fldCharType="end"/>
    </w:r>
  </w:p>
  <w:p>
    <w:pPr>
      <w:pStyle w:val="Footer"/>
      <w:jc w:val="center"/>
      <w:rPr/>
    </w:pPr>
    <w:r>
      <w:rPr>
        <w:rStyle w:val="PageNumber"/>
        <w:sz w:val="20"/>
        <w:szCs w:val="16"/>
      </w:rPr>
      <w:t>Schedule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/mnt/main-storage/datasets/enron-docs/doc/225ctr_ing_barings_cap_mkt_.doc</w:t>
    </w:r>
    <w:r>
      <w:rPr>
        <w:rStyle w:val="PageNumber"/>
        <w:sz w:val="16"/>
        <w:szCs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2001-04-12T14:10:00Z</dcterms:created>
  <dc:creator>mheard</dc:creator>
  <dc:description/>
  <dc:language>en-CA</dc:language>
  <cp:lastModifiedBy>sbaile2</cp:lastModifiedBy>
  <cp:lastPrinted>2001-04-20T10:43:00Z</cp:lastPrinted>
  <dcterms:modified xsi:type="dcterms:W3CDTF">2001-04-20T13:14:00Z</dcterms:modified>
  <cp:revision>9</cp:revision>
  <dc:subject/>
  <dc:title>ISDA Multicurrency Agreement</dc:title>
</cp:coreProperties>
</file>