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360" w:leader="none"/>
        </w:tabs>
        <w:jc w:val="both"/>
        <w:rPr>
          <w:rFonts w:ascii="Arial" w:hAnsi="Arial" w:eastAsia="Arial" w:cs="Arial"/>
          <w:b/>
          <w:bCs/>
          <w:smallCaps/>
        </w:rPr>
      </w:pPr>
      <w:r>
        <w:rPr>
          <w:rFonts w:eastAsia="Arial" w:cs="Arial" w:ascii="Arial" w:hAnsi="Arial"/>
          <w:b/>
          <w:bCs/>
          <w:smallCaps/>
        </w:rPr>
      </w:r>
    </w:p>
    <w:tbl>
      <w:tblPr>
        <w:tblW w:w="9738" w:type="dxa"/>
        <w:jc w:val="start"/>
        <w:tblInd w:w="0" w:type="dxa"/>
        <w:tblLayout w:type="fixed"/>
        <w:tblCellMar>
          <w:top w:w="0" w:type="dxa"/>
          <w:start w:w="108" w:type="dxa"/>
          <w:bottom w:w="0" w:type="dxa"/>
          <w:end w:w="108" w:type="dxa"/>
        </w:tblCellMar>
      </w:tblPr>
      <w:tblGrid>
        <w:gridCol w:w="1028"/>
        <w:gridCol w:w="5020"/>
        <w:gridCol w:w="1530"/>
        <w:gridCol w:w="2160"/>
      </w:tblGrid>
      <w:tr>
        <w:trPr/>
        <w:tc>
          <w:tcPr>
            <w:tcW w:w="1028" w:type="dxa"/>
            <w:tcBorders/>
          </w:tcPr>
          <w:p>
            <w:pPr>
              <w:pStyle w:val="Normal"/>
              <w:widowControl/>
              <w:jc w:val="both"/>
              <w:rPr/>
            </w:pPr>
            <w:r>
              <w:rPr/>
              <w:drawing>
                <wp:inline distT="0" distB="0" distL="0" distR="0">
                  <wp:extent cx="488315" cy="6457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72" t="0" r="0" b="0"/>
                          <a:stretch>
                            <a:fillRect/>
                          </a:stretch>
                        </pic:blipFill>
                        <pic:spPr bwMode="auto">
                          <a:xfrm>
                            <a:off x="0" y="0"/>
                            <a:ext cx="488315" cy="645795"/>
                          </a:xfrm>
                          <a:prstGeom prst="rect">
                            <a:avLst/>
                          </a:prstGeom>
                          <a:noFill/>
                        </pic:spPr>
                      </pic:pic>
                    </a:graphicData>
                  </a:graphic>
                </wp:inline>
              </w:drawing>
            </w:r>
          </w:p>
        </w:tc>
        <w:tc>
          <w:tcPr>
            <w:tcW w:w="5020" w:type="dxa"/>
            <w:tcBorders/>
          </w:tcPr>
          <w:p>
            <w:pPr>
              <w:pStyle w:val="Normal"/>
              <w:widowControl/>
              <w:snapToGrid w:val="false"/>
              <w:jc w:val="both"/>
              <w:rPr>
                <w:rFonts w:ascii="Arial Narrow" w:hAnsi="Arial Narrow" w:eastAsia="Arial Narrow" w:cs="Arial Narrow"/>
                <w:b/>
                <w:bCs/>
              </w:rPr>
            </w:pPr>
            <w:r>
              <w:rPr>
                <w:rFonts w:eastAsia="Arial Narrow" w:cs="Arial Narrow" w:ascii="Arial Narrow" w:hAnsi="Arial Narrow"/>
                <w:b/>
                <w:bCs/>
              </w:rPr>
            </w:r>
          </w:p>
          <w:p>
            <w:pPr>
              <w:pStyle w:val="Normal"/>
              <w:widowControl/>
              <w:jc w:val="both"/>
              <w:rPr>
                <w:rFonts w:ascii="Arial Narrow" w:hAnsi="Arial Narrow" w:eastAsia="Arial Narrow" w:cs="Arial Narrow"/>
                <w:b/>
                <w:bCs/>
              </w:rPr>
            </w:pPr>
            <w:r>
              <w:rPr>
                <w:rFonts w:eastAsia="Arial Narrow" w:cs="Arial Narrow" w:ascii="Arial Narrow" w:hAnsi="Arial Narrow"/>
                <w:b/>
                <w:bCs/>
              </w:rPr>
              <w:t>Pacific Gas and Electric Company</w:t>
            </w:r>
          </w:p>
          <w:p>
            <w:pPr>
              <w:pStyle w:val="Normal"/>
              <w:widowControl/>
              <w:jc w:val="both"/>
              <w:rPr>
                <w:rFonts w:ascii="Arial Narrow" w:hAnsi="Arial Narrow" w:eastAsia="Arial Narrow" w:cs="Arial Narrow"/>
                <w:b/>
                <w:bCs/>
                <w:caps/>
              </w:rPr>
            </w:pPr>
            <w:r>
              <w:rPr>
                <w:rFonts w:eastAsia="Arial Narrow" w:cs="Arial Narrow" w:ascii="Arial Narrow" w:hAnsi="Arial Narrow"/>
                <w:b/>
                <w:bCs/>
                <w:caps/>
              </w:rPr>
              <w:t>gas METER customer-owned add-on</w:t>
            </w:r>
          </w:p>
          <w:p>
            <w:pPr>
              <w:pStyle w:val="Normal"/>
              <w:widowControl/>
              <w:tabs>
                <w:tab w:val="clear" w:pos="720"/>
                <w:tab w:val="left" w:pos="0" w:leader="none"/>
              </w:tabs>
              <w:jc w:val="both"/>
              <w:rPr>
                <w:rFonts w:ascii="Arial Narrow" w:hAnsi="Arial Narrow" w:eastAsia="Arial Narrow" w:cs="Arial Narrow"/>
                <w:b/>
                <w:bCs/>
                <w:caps/>
              </w:rPr>
            </w:pPr>
            <w:r>
              <w:rPr>
                <w:rFonts w:eastAsia="Arial Narrow" w:cs="Arial Narrow" w:ascii="Arial Narrow" w:hAnsi="Arial Narrow"/>
                <w:b/>
                <w:bCs/>
                <w:caps/>
              </w:rPr>
              <w:t>devices pilot Agreement</w:t>
            </w:r>
          </w:p>
        </w:tc>
        <w:tc>
          <w:tcPr>
            <w:tcW w:w="1530" w:type="dxa"/>
            <w:tcBorders/>
          </w:tcPr>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Distribution</w:t>
            </w:r>
          </w:p>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 xml:space="preserve">Customer </w:t>
            </w:r>
          </w:p>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Customer Billing</w:t>
            </w:r>
          </w:p>
          <w:p>
            <w:pPr>
              <w:pStyle w:val="Normal"/>
              <w:widowControl/>
              <w:jc w:val="both"/>
              <w:rPr>
                <w:rFonts w:ascii="Arial Narrow" w:hAnsi="Arial Narrow" w:eastAsia="Arial Narrow" w:cs="Arial Narrow"/>
              </w:rPr>
            </w:pPr>
            <w:r>
              <w:rPr>
                <w:rFonts w:eastAsia="Arial Narrow" w:cs="Arial Narrow" w:ascii="Arial Narrow" w:hAnsi="Arial Narrow"/>
                <w:sz w:val="16"/>
                <w:szCs w:val="16"/>
              </w:rPr>
              <w:t>Division</w:t>
            </w:r>
          </w:p>
        </w:tc>
        <w:tc>
          <w:tcPr>
            <w:tcW w:w="2160" w:type="dxa"/>
            <w:tcBorders/>
          </w:tcPr>
          <w:p>
            <w:pPr>
              <w:pStyle w:val="Normal"/>
              <w:widowControl/>
              <w:ind w:end="32"/>
              <w:jc w:val="both"/>
              <w:rPr>
                <w:rFonts w:ascii="Arial Narrow" w:hAnsi="Arial Narrow" w:eastAsia="Arial Narrow" w:cs="Arial Narrow"/>
                <w:sz w:val="16"/>
                <w:szCs w:val="16"/>
              </w:rPr>
            </w:pPr>
            <w:r>
              <w:rPr>
                <w:rFonts w:eastAsia="Arial Narrow" w:cs="Arial Narrow" w:ascii="Arial Narrow" w:hAnsi="Arial Narrow"/>
                <w:sz w:val="16"/>
                <w:szCs w:val="16"/>
              </w:rPr>
              <w:t>Reference:</w:t>
            </w:r>
          </w:p>
          <w:p>
            <w:pPr>
              <w:pStyle w:val="Normal"/>
              <w:widowControl/>
              <w:ind w:end="32"/>
              <w:jc w:val="both"/>
              <w:rPr>
                <w:rFonts w:ascii="Arial Narrow" w:hAnsi="Arial Narrow" w:eastAsia="Arial Narrow" w:cs="Arial Narrow"/>
              </w:rPr>
            </w:pPr>
            <w:r>
              <w:rPr>
                <w:rFonts w:eastAsia="Arial Narrow" w:cs="Arial Narrow" w:ascii="Arial Narrow" w:hAnsi="Arial Narrow"/>
                <w:sz w:val="16"/>
                <w:szCs w:val="16"/>
              </w:rPr>
              <w:t>D &amp; C #:</w:t>
            </w:r>
          </w:p>
        </w:tc>
      </w:tr>
    </w:tbl>
    <w:p>
      <w:pPr>
        <w:pStyle w:val="Normal"/>
        <w:widowControl/>
        <w:tabs>
          <w:tab w:val="clear" w:pos="720"/>
          <w:tab w:val="left" w:pos="360" w:leader="none"/>
        </w:tabs>
        <w:jc w:val="both"/>
        <w:rPr>
          <w:rFonts w:ascii="Arial" w:hAnsi="Arial" w:eastAsia="Arial" w:cs="Arial"/>
          <w:b/>
          <w:bCs/>
          <w:smallCaps/>
        </w:rPr>
      </w:pPr>
      <w:r>
        <w:rPr>
          <w:rFonts w:eastAsia="Arial" w:cs="Arial" w:ascii="Arial" w:hAnsi="Arial"/>
          <w:b/>
          <w:bCs/>
          <w:smallCaps/>
        </w:rPr>
      </w:r>
    </w:p>
    <w:p>
      <w:pPr>
        <w:pStyle w:val="Normal"/>
        <w:widowControl/>
        <w:tabs>
          <w:tab w:val="clear" w:pos="720"/>
          <w:tab w:val="left" w:pos="0" w:leader="none"/>
        </w:tabs>
        <w:jc w:val="both"/>
        <w:rPr>
          <w:rFonts w:ascii="Arial" w:hAnsi="Arial" w:eastAsia="Arial" w:cs="Arial"/>
          <w:b/>
          <w:bCs/>
          <w:smallCaps/>
        </w:rPr>
      </w:pPr>
      <w:r>
        <w:rPr>
          <w:rFonts w:eastAsia="Arial" w:cs="Arial" w:ascii="Arial" w:hAnsi="Arial"/>
          <w:b/>
          <w:bCs/>
          <w:smallCaps/>
        </w:rPr>
      </w:r>
    </w:p>
    <w:p>
      <w:pPr>
        <w:pStyle w:val="Normal"/>
        <w:widowControl/>
        <w:tabs>
          <w:tab w:val="clear" w:pos="720"/>
          <w:tab w:val="left" w:pos="0" w:leader="none"/>
        </w:tabs>
        <w:rPr>
          <w:rFonts w:ascii="Arial" w:hAnsi="Arial" w:eastAsia="Arial" w:cs="Arial"/>
        </w:rPr>
      </w:pPr>
      <w:r>
        <w:rPr>
          <w:rFonts w:eastAsia="Arial" w:cs="Arial" w:ascii="Arial" w:hAnsi="Arial"/>
        </w:rPr>
        <w:t>At the request of ___________________________________________________(Customer), in order to accommodate the installation of a Customer-Owned Add-on Device to its gas meter, as defined below, for its load located at___________________________________________________(service address) in ___________________ County, State of California (Site), Pacific Gas and Electric Company (PG&amp;E) hereby agrees, as an accommodation, to install at the Customer’s expense within a reasonable period of time, an Add-on Device with the following conditions:</w:t>
      </w:r>
    </w:p>
    <w:p>
      <w:pPr>
        <w:pStyle w:val="Normal"/>
        <w:widowControl/>
        <w:tabs>
          <w:tab w:val="clear" w:pos="720"/>
          <w:tab w:val="left" w:pos="0" w:leader="none"/>
        </w:tabs>
        <w:jc w:val="both"/>
        <w:rPr>
          <w:rFonts w:ascii="Arial" w:hAnsi="Arial" w:eastAsia="Arial" w:cs="Arial"/>
        </w:rPr>
      </w:pPr>
      <w:r>
        <w:rPr>
          <w:rFonts w:eastAsia="Arial" w:cs="Arial" w:ascii="Arial" w:hAnsi="Arial"/>
        </w:rPr>
        <w:t xml:space="preserve"> </w:t>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b/>
          <w:bCs/>
        </w:rPr>
        <w:t>1.</w:t>
        <w:tab/>
        <w:tab/>
        <w:t>Eligibility</w:t>
      </w:r>
    </w:p>
    <w:p>
      <w:pPr>
        <w:pStyle w:val="BodyText2"/>
        <w:widowControl/>
        <w:ind w:hanging="540" w:start="540" w:end="0"/>
        <w:rPr/>
      </w:pPr>
      <w:r>
        <w:rPr/>
        <w:t>1.1</w:t>
        <w:tab/>
        <w:t>The pilot program is limited to one thousand (1000) Customer-Owned Add-on Devices per twelve-month period commencing and closing on the date the tariffs implementing this Agreement are made effective by the Commission.  However, only those customers that have signed this Agreement and have paid the applicable Advance (as provided for in this Agreement) by November 30, 2002 shall be eligible for this pilot program.  PG&amp;E may increase the size of the program at its sole discretion.</w:t>
      </w:r>
    </w:p>
    <w:p>
      <w:pPr>
        <w:pStyle w:val="BodyText2"/>
        <w:widowControl/>
        <w:ind w:hanging="540" w:start="540" w:end="0"/>
        <w:rPr/>
      </w:pPr>
      <w:r>
        <w:rPr/>
      </w:r>
    </w:p>
    <w:p>
      <w:pPr>
        <w:pStyle w:val="BodyText2"/>
        <w:widowControl/>
        <w:ind w:hanging="540" w:start="540" w:end="0"/>
        <w:rPr/>
      </w:pPr>
      <w:r>
        <w:rPr/>
        <w:t>1.2</w:t>
        <w:tab/>
        <w:t>All customers are eligible for this pilot program.</w:t>
      </w:r>
    </w:p>
    <w:p>
      <w:pPr>
        <w:pStyle w:val="Normal"/>
        <w:widowControl/>
        <w:tabs>
          <w:tab w:val="clear" w:pos="720"/>
          <w:tab w:val="left" w:pos="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b/>
          <w:bCs/>
        </w:rPr>
        <w:t>2.</w:t>
      </w:r>
      <w:r>
        <w:rPr>
          <w:rFonts w:eastAsia="Arial" w:cs="Arial" w:ascii="Arial" w:hAnsi="Arial"/>
        </w:rPr>
        <w:tab/>
        <w:tab/>
      </w:r>
      <w:r>
        <w:rPr>
          <w:rFonts w:eastAsia="Arial" w:cs="Arial" w:ascii="Arial" w:hAnsi="Arial"/>
          <w:b/>
          <w:bCs/>
        </w:rPr>
        <w:t>Add-on Devices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 xml:space="preserve">2.1 </w:t>
        <w:tab/>
        <w:t xml:space="preserve">As used in this agreement, the term Add-on Device is defined as the equipment that may be directly attached to a PG&amp;E-owned meter or a Customer-owned Gas Meter installed in accordance with the Gas Meter Ownership Pilot Agreement (PG&amp;E Form 79-970), to generate pulses or other signals and the associated wiring, protective devices, and other equipment necessary to provide an interface to the Customer's equipment that would allow the Customer to access meter data at time intervals needed for its purposes or for providing such data to another party.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 xml:space="preserve">2.2 </w:t>
        <w:tab/>
        <w:t>Add-on Devices shall not adversely affect the safety, reliability or accuracy of PG&amp;E’s gas meter, nor PG&amp;E’s ability to obtain any metering data.  Customer ownership of an Add-on Device will not prevent or interfere with PG&amp;E’s ability to read, replace or reconfigure the meter.</w:t>
      </w:r>
    </w:p>
    <w:p>
      <w:pPr>
        <w:pStyle w:val="Normal"/>
        <w:widowControl/>
        <w:tabs>
          <w:tab w:val="clear" w:pos="720"/>
          <w:tab w:val="left" w:pos="0" w:leader="none"/>
        </w:tabs>
        <w:ind w:hanging="540" w:start="540" w:end="0"/>
        <w:jc w:val="both"/>
        <w:rPr>
          <w:rFonts w:ascii="Arial" w:hAnsi="Arial" w:eastAsia="Arial" w:cs="Arial"/>
          <w:b/>
          <w:bCs/>
        </w:rPr>
      </w:pPr>
      <w:r>
        <w:rPr>
          <w:rFonts w:eastAsia="Arial" w:cs="Arial" w:ascii="Arial" w:hAnsi="Arial"/>
          <w:b/>
          <w:bCs/>
        </w:rPr>
      </w:r>
    </w:p>
    <w:p>
      <w:pPr>
        <w:pStyle w:val="Normal"/>
        <w:widowControl/>
        <w:tabs>
          <w:tab w:val="clear" w:pos="720"/>
          <w:tab w:val="left" w:pos="0" w:leader="none"/>
        </w:tabs>
        <w:ind w:hanging="540" w:start="540" w:end="0"/>
        <w:jc w:val="both"/>
        <w:rPr>
          <w:rFonts w:ascii="Arial" w:hAnsi="Arial" w:eastAsia="Arial" w:cs="Arial"/>
          <w:b/>
          <w:bCs/>
        </w:rPr>
      </w:pPr>
      <w:r>
        <w:rPr>
          <w:rFonts w:eastAsia="Arial" w:cs="Arial" w:ascii="Arial" w:hAnsi="Arial"/>
          <w:b/>
          <w:bCs/>
        </w:rPr>
        <w:t>3.</w:t>
        <w:tab/>
        <w:t>General Responsibilities of Customer</w:t>
      </w:r>
    </w:p>
    <w:p>
      <w:pPr>
        <w:pStyle w:val="Normal"/>
        <w:widowContro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3.1</w:t>
        <w:tab/>
        <w:tab/>
        <w:t xml:space="preserve">Customer shall furnish and own the Add-on Devices.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BodyText2"/>
        <w:widowControl/>
        <w:numPr>
          <w:ilvl w:val="0"/>
          <w:numId w:val="2"/>
        </w:numPr>
        <w:ind w:hanging="360" w:start="900" w:end="0"/>
        <w:rPr/>
      </w:pPr>
      <w:r>
        <w:rPr/>
        <w:t xml:space="preserve">Customer shall pay PG&amp;E for the installation, maintenance, repair and removal of the Add-on Device.  </w:t>
      </w:r>
    </w:p>
    <w:p>
      <w:pPr>
        <w:pStyle w:val="BodyText2"/>
        <w:widowControl/>
        <w:tabs>
          <w:tab w:val="left" w:pos="0" w:leader="none"/>
          <w:tab w:val="left" w:pos="72" w:leader="none"/>
        </w:tabs>
        <w:ind w:hanging="540" w:start="540" w:end="0"/>
        <w:rPr/>
      </w:pPr>
      <w:r>
        <w:rPr/>
      </w:r>
    </w:p>
    <w:p>
      <w:pPr>
        <w:pStyle w:val="BodyText2"/>
        <w:widowControl/>
        <w:ind w:hanging="540" w:start="540" w:end="0"/>
        <w:rPr/>
      </w:pPr>
      <w:r>
        <w:rPr/>
        <w:t>3.3</w:t>
        <w:tab/>
        <w:t>Unless the Add-on Device and associated equipment conform to a standard design that has been previously approved by PG&amp;E, Customer shall provide PG&amp;E with drawings, instructions, and the materials required for the safe installation, and certification of the safe operation of the Add-on Device and the equipment (other than temporarily installed test equipment) which is to be connected to the Add-on Device.  Such certification may include UL certification or test results, as required by PG&amp;E in its sole discretion.  The Customer’s proposed installation must meet safety requirements as determined by PG&amp;E’s Metering Service Department.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numPr>
          <w:ilvl w:val="0"/>
          <w:numId w:val="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Customer shall not perform any maintenance, or repair of the installed Add-on Device.  Customer shall only connect equipment (including test equipment) to the Add-on Device at the demarcation point identified as such in the drawings provided to, and approved by, PG&amp;E.  Customer shall not replace equipment connected to the Add-on Device, except with identical equipment, without prior PG&amp;E approval.</w:t>
      </w:r>
    </w:p>
    <w:p>
      <w:pPr>
        <w:pStyle w:val="Normal"/>
        <w:widowControl/>
        <w:jc w:val="center"/>
        <w:rPr>
          <w:rFonts w:ascii="Arial Narrow" w:hAnsi="Arial Narrow" w:eastAsia="Arial Narrow" w:cs="Arial Narrow"/>
          <w:b/>
          <w:bCs/>
          <w:caps/>
        </w:rPr>
      </w:pPr>
      <w:r>
        <w:rPr>
          <w:rFonts w:eastAsia="Arial Narrow" w:cs="Arial Narrow" w:ascii="Arial Narrow" w:hAnsi="Arial Narrow"/>
          <w:b/>
          <w:bCs/>
          <w:caps/>
        </w:rPr>
        <w:t>gas METER customer-owned add-on</w:t>
      </w:r>
    </w:p>
    <w:p>
      <w:pPr>
        <w:pStyle w:val="Heading1"/>
        <w:rPr>
          <w:rFonts w:ascii="Arial" w:hAnsi="Arial" w:eastAsia="Arial" w:cs="Arial"/>
        </w:rPr>
      </w:pPr>
      <w:r>
        <w:rPr/>
        <w:t>devices pilot Agreement (Continued)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3.5</w:t>
        <w:tab/>
        <w:t>Customer shall deliver the Add-on Device to a location specified by PG&amp;E.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3.6</w:t>
        <w:tab/>
        <w:t>This agreement in no way relieves Customer from performing, nor obligates PG&amp;E to perform, construction and operation of Customer’s communication network; negotiations or performance of any terms of any agreement between Customer and third party regarding the frequency and accuracy of any interval usage data to be provided; communication of problems with such data delivery to Customer, or provisions of back-up and emergency methods of data delivery to Customer in the event Customer’s communication network fails.</w:t>
      </w:r>
      <w:r>
        <w:rPr>
          <w:rFonts w:eastAsia="Arial" w:cs="Arial" w:ascii="Arial" w:hAnsi="Arial"/>
          <w:b/>
          <w:bCs/>
        </w:rPr>
        <w:t xml:space="preserve">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b/>
          <w:bCs/>
        </w:rPr>
      </w:pPr>
      <w:r>
        <w:rPr>
          <w:rFonts w:eastAsia="Arial" w:cs="Arial" w:ascii="Arial" w:hAnsi="Arial"/>
          <w:b/>
          <w:bCs/>
        </w:rPr>
        <w:t>4.</w:t>
        <w:tab/>
        <w:t>General Responsibilities of PG&amp;E</w:t>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rPr>
        <w:t xml:space="preserve">4.1 </w:t>
        <w:tab/>
        <w:tab/>
        <w:t>PG&amp;E shall install, maintain, and, if necessary, test, remove or replace the Add-on Device at the Customer's request and expense.</w:t>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540" w:start="540" w:end="0"/>
        <w:jc w:val="both"/>
        <w:rPr>
          <w:rFonts w:ascii="Arial" w:hAnsi="Arial" w:eastAsia="Arial" w:cs="Arial"/>
        </w:rPr>
      </w:pPr>
      <w:r>
        <w:rPr>
          <w:rFonts w:eastAsia="Arial" w:cs="Arial" w:ascii="Arial" w:hAnsi="Arial"/>
        </w:rPr>
        <w:t xml:space="preserve">4.2 </w:t>
        <w:tab/>
        <w:t>PG&amp;E shall continue to furnish, install, and own the gas meter and any associated piping, valves, pressure regulation devices and other equipment necessary to complete the metering station.</w:t>
      </w:r>
    </w:p>
    <w:p>
      <w:pPr>
        <w:pStyle w:val="Normal"/>
        <w:widowControl/>
        <w:tabs>
          <w:tab w:val="clear" w:pos="720"/>
          <w:tab w:val="left" w:pos="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rPr>
        <w:t>4.3</w:t>
        <w:tab/>
        <w:tab/>
        <w:t>PG&amp;E shall make a reasonable attempt to provide the services described herein in a timely and expeditious manner.  However, PG&amp;E shall not be responsible for any delay in completion of its work resulting from any cause or condition beyond the control of PG&amp;E.</w:t>
      </w:r>
    </w:p>
    <w:p>
      <w:pPr>
        <w:pStyle w:val="Normal"/>
        <w:widowControl/>
        <w:tabs>
          <w:tab w:val="clear" w:pos="720"/>
          <w:tab w:val="left" w:pos="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rPr>
        <w:t xml:space="preserve">4.4 </w:t>
        <w:tab/>
        <w:tab/>
        <w:t>PG&amp;E shall review Customer’s proposed design for the installation of an Add-on Device and approve such installation if it meets the requirements of this agreement.</w:t>
      </w:r>
    </w:p>
    <w:p>
      <w:pPr>
        <w:pStyle w:val="Normal"/>
        <w:widowControl/>
        <w:tabs>
          <w:tab w:val="clear" w:pos="720"/>
          <w:tab w:val="left" w:pos="0" w:leader="none"/>
        </w:tabs>
        <w:ind w:hanging="540" w:start="540" w:end="0"/>
        <w:jc w:val="both"/>
        <w:rPr>
          <w:rFonts w:ascii="Arial" w:hAnsi="Arial" w:eastAsia="Arial" w:cs="Arial"/>
          <w:b/>
          <w:bCs/>
        </w:rPr>
      </w:pPr>
      <w:r>
        <w:rPr>
          <w:rFonts w:eastAsia="Arial" w:cs="Arial" w:ascii="Arial" w:hAnsi="Arial"/>
          <w:b/>
          <w:bCs/>
        </w:rPr>
      </w:r>
    </w:p>
    <w:p>
      <w:pPr>
        <w:pStyle w:val="Normal"/>
        <w:widowControl/>
        <w:ind w:hanging="540" w:start="540" w:end="0"/>
        <w:jc w:val="both"/>
        <w:rPr>
          <w:rFonts w:ascii="Arial" w:hAnsi="Arial" w:eastAsia="Arial" w:cs="Arial"/>
          <w:b/>
          <w:bCs/>
        </w:rPr>
      </w:pPr>
      <w:r>
        <w:rPr>
          <w:rFonts w:eastAsia="Arial" w:cs="Arial" w:ascii="Arial" w:hAnsi="Arial"/>
          <w:b/>
          <w:bCs/>
        </w:rPr>
        <w:t>5.</w:t>
        <w:tab/>
        <w:t>PG&amp;E Meter Tests and Maintenance Procedures</w:t>
      </w:r>
    </w:p>
    <w:p>
      <w:pPr>
        <w:pStyle w:val="Normal"/>
        <w:widowControl/>
        <w:ind w:start="540" w:end="0"/>
        <w:jc w:val="both"/>
        <w:rPr>
          <w:rFonts w:ascii="Arial" w:hAnsi="Arial" w:eastAsia="Arial" w:cs="Arial"/>
        </w:rPr>
      </w:pPr>
      <w:r>
        <w:rPr>
          <w:rFonts w:eastAsia="Arial" w:cs="Arial" w:ascii="Arial" w:hAnsi="Arial"/>
        </w:rPr>
        <w:t>PG&amp;E shall have the right to interrupt the supply of data from the Add-on Device to perform meter tests or maintenance procedures.  In performing such tests or procedures, PG&amp;E assumes no responsibility for the effects on Customer’s operation or on the Add-on Device.  PG&amp;E will not be responsible to notify Customer prior to any interruption of data for ordinary maintenance, emergency repair or for any other reason.</w:t>
      </w:r>
    </w:p>
    <w:p>
      <w:pPr>
        <w:pStyle w:val="Normal"/>
        <w:widowControl/>
        <w:ind w:hanging="540" w:start="540" w:end="0"/>
        <w:jc w:val="both"/>
        <w:rPr>
          <w:rFonts w:ascii="Arial" w:hAnsi="Arial" w:eastAsia="Arial" w:cs="Arial"/>
        </w:rPr>
      </w:pPr>
      <w:r>
        <w:rPr>
          <w:rFonts w:eastAsia="Arial" w:cs="Arial" w:ascii="Arial" w:hAnsi="Arial"/>
        </w:rPr>
      </w:r>
    </w:p>
    <w:p>
      <w:pPr>
        <w:pStyle w:val="Normal"/>
        <w:widowControl/>
        <w:ind w:hanging="540" w:start="540" w:end="0"/>
        <w:jc w:val="both"/>
        <w:rPr>
          <w:rFonts w:ascii="Arial" w:hAnsi="Arial" w:eastAsia="Arial" w:cs="Arial"/>
        </w:rPr>
      </w:pPr>
      <w:r>
        <w:rPr>
          <w:rFonts w:eastAsia="Arial" w:cs="Arial" w:ascii="Arial" w:hAnsi="Arial"/>
          <w:b/>
          <w:bCs/>
        </w:rPr>
        <w:t>6.</w:t>
        <w:tab/>
        <w:t>Right of Removal</w:t>
      </w:r>
    </w:p>
    <w:p>
      <w:pPr>
        <w:pStyle w:val="Normal"/>
        <w:widowControl/>
        <w:ind w:start="540" w:end="0"/>
        <w:jc w:val="both"/>
        <w:rPr>
          <w:rFonts w:ascii="Arial" w:hAnsi="Arial" w:eastAsia="Arial" w:cs="Arial"/>
        </w:rPr>
      </w:pPr>
      <w:r>
        <w:rPr>
          <w:rFonts w:eastAsia="Arial" w:cs="Arial" w:ascii="Arial" w:hAnsi="Arial"/>
        </w:rPr>
        <w:t>PG&amp;E shall have the right to remove the Add-on Device from the meter immediately and without advance notice or liability to Customer if, in PG&amp;E’s sole judgment, the Add-on Device becomes unsafe or detrimental to reliable metering or to PG&amp;E’s metering practices.</w:t>
      </w:r>
    </w:p>
    <w:p>
      <w:pPr>
        <w:pStyle w:val="Normal"/>
        <w:widowControl/>
        <w:ind w:hanging="540" w:start="540" w:end="0"/>
        <w:jc w:val="both"/>
        <w:rPr>
          <w:rFonts w:ascii="Arial" w:hAnsi="Arial" w:eastAsia="Arial" w:cs="Arial"/>
        </w:rPr>
      </w:pPr>
      <w:r>
        <w:rPr>
          <w:rFonts w:eastAsia="Arial" w:cs="Arial" w:ascii="Arial" w:hAnsi="Arial"/>
        </w:rPr>
      </w:r>
    </w:p>
    <w:p>
      <w:pPr>
        <w:pStyle w:val="Normal"/>
        <w:widowControl/>
        <w:numPr>
          <w:ilvl w:val="0"/>
          <w:numId w:val="4"/>
        </w:numPr>
        <w:tabs>
          <w:tab w:val="clear" w:pos="720"/>
          <w:tab w:val="left" w:pos="0" w:leader="none"/>
        </w:tabs>
        <w:ind w:hanging="900" w:start="900" w:end="0"/>
        <w:jc w:val="both"/>
        <w:rPr>
          <w:rFonts w:ascii="Arial" w:hAnsi="Arial" w:eastAsia="Arial" w:cs="Arial"/>
          <w:b/>
          <w:bCs/>
        </w:rPr>
      </w:pPr>
      <w:r>
        <w:rPr>
          <w:rFonts w:eastAsia="Arial" w:cs="Arial" w:ascii="Arial" w:hAnsi="Arial"/>
          <w:b/>
          <w:bCs/>
        </w:rPr>
        <w:t>Removal and Replacement of Add-on Devices</w:t>
      </w:r>
    </w:p>
    <w:p>
      <w:pPr>
        <w:pStyle w:val="Normal"/>
        <w:widowControl/>
        <w:ind w:start="540" w:end="0"/>
        <w:jc w:val="both"/>
        <w:rPr>
          <w:rFonts w:ascii="Arial" w:hAnsi="Arial" w:eastAsia="Arial" w:cs="Arial"/>
        </w:rPr>
      </w:pPr>
      <w:r>
        <w:rPr>
          <w:rFonts w:eastAsia="Arial" w:cs="Arial" w:ascii="Arial" w:hAnsi="Arial"/>
        </w:rPr>
        <w:t>PG&amp;E shall, at the Customer request and expense, remove the Add-on Device for subsequent replacement.  However, installation of an Add-on Device following its removal, must meet the safety, reliability and accuracy requirements of this agreement.</w:t>
      </w:r>
    </w:p>
    <w:p>
      <w:pPr>
        <w:pStyle w:val="BodyTextIndent2"/>
        <w:widowControl/>
        <w:ind w:hanging="540" w:start="540" w:end="0"/>
        <w:rPr>
          <w:rFonts w:ascii="Arial" w:hAnsi="Arial" w:eastAsia="Arial" w:cs="Arial"/>
          <w:b w:val="false"/>
          <w:bCs w:val="false"/>
        </w:rPr>
      </w:pPr>
      <w:r>
        <w:rPr>
          <w:rFonts w:eastAsia="Arial" w:cs="Arial"/>
          <w:b w:val="false"/>
          <w:bCs w:val="false"/>
        </w:rPr>
      </w:r>
    </w:p>
    <w:p>
      <w:pPr>
        <w:pStyle w:val="Normal"/>
        <w:widowControl/>
        <w:tabs>
          <w:tab w:val="clear" w:pos="720"/>
          <w:tab w:val="left" w:pos="0" w:leader="none"/>
        </w:tabs>
        <w:ind w:hanging="540" w:start="540" w:end="0"/>
        <w:jc w:val="both"/>
        <w:rPr>
          <w:rFonts w:ascii="Arial" w:hAnsi="Arial" w:eastAsia="Arial" w:cs="Arial"/>
          <w:b/>
          <w:bCs/>
        </w:rPr>
      </w:pPr>
      <w:r>
        <w:rPr>
          <w:rFonts w:eastAsia="Arial" w:cs="Arial" w:ascii="Arial" w:hAnsi="Arial"/>
          <w:b/>
          <w:bCs/>
        </w:rPr>
        <w:t>8.</w:t>
        <w:tab/>
        <w:t>Payments</w:t>
      </w:r>
    </w:p>
    <w:p>
      <w:pPr>
        <w:pStyle w:val="WW-BodyText21"/>
        <w:rPr/>
      </w:pPr>
      <w:r>
        <w:rPr/>
        <w:t>8.1</w:t>
        <w:tab/>
        <w:tab/>
        <w:t xml:space="preserve">Advance:  Customer shall pay an Advance to PG&amp;E prior to installation of the Add-on Device and no later than ninety (90) calendar days from the effective date of this agreement.  This Advance shall be paid in addition to the cost of standard facilities for service and metering that PG&amp;E would normally provide in accordance with its tariffs on file with and authorized by the California Public Utilities Commission (Commission). </w:t>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360" w:leader="none"/>
        </w:tabs>
        <w:ind w:hanging="540" w:start="540" w:end="0"/>
        <w:jc w:val="both"/>
        <w:rPr/>
      </w:pPr>
      <w:r>
        <w:rPr>
          <w:rFonts w:eastAsia="Arial" w:cs="Arial" w:ascii="Arial" w:hAnsi="Arial"/>
        </w:rPr>
        <w:tab/>
        <w:tab/>
        <w:t xml:space="preserve">if Customer's Add-on Device and associated equipment </w:t>
      </w:r>
      <w:r>
        <w:rPr>
          <w:rFonts w:eastAsia="Arial" w:cs="Arial" w:ascii="Arial" w:hAnsi="Arial"/>
          <w:u w:val="single"/>
        </w:rPr>
        <w:t>do not</w:t>
      </w:r>
      <w:r>
        <w:rPr>
          <w:rFonts w:eastAsia="Arial" w:cs="Arial" w:ascii="Arial" w:hAnsi="Arial"/>
        </w:rPr>
        <w:t xml:space="preserve"> conform to a standard design that has been previously approved by PG&amp;E, Customer's Advance shall include PG&amp;E’s actual cost for reviewing and approving the proposed installation, the estimated cost for installing the Add-on Device and administrative costs of $ 41 to record and track the Add-on Device.</w:t>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rPr>
      </w:r>
    </w:p>
    <w:p>
      <w:pPr>
        <w:pStyle w:val="Normal"/>
        <w:widowControl/>
        <w:jc w:val="center"/>
        <w:rPr>
          <w:rFonts w:ascii="Arial Narrow" w:hAnsi="Arial Narrow" w:eastAsia="Arial Narrow" w:cs="Arial Narrow"/>
          <w:b/>
          <w:bCs/>
          <w:caps/>
        </w:rPr>
      </w:pPr>
      <w:r>
        <w:rPr>
          <w:rFonts w:eastAsia="Arial Narrow" w:cs="Arial Narrow" w:ascii="Arial Narrow" w:hAnsi="Arial Narrow"/>
          <w:b/>
          <w:bCs/>
          <w:caps/>
        </w:rPr>
        <w:t>gas METER customer-owned add-on</w:t>
      </w:r>
    </w:p>
    <w:p>
      <w:pPr>
        <w:pStyle w:val="Normal"/>
        <w:widowControl/>
        <w:tabs>
          <w:tab w:val="clear" w:pos="720"/>
          <w:tab w:val="left" w:pos="360" w:leader="none"/>
        </w:tabs>
        <w:ind w:hanging="540" w:start="540" w:end="0"/>
        <w:jc w:val="center"/>
        <w:rPr>
          <w:rFonts w:ascii="Arial" w:hAnsi="Arial" w:eastAsia="Arial" w:cs="Arial"/>
        </w:rPr>
      </w:pPr>
      <w:r>
        <w:rPr>
          <w:rFonts w:eastAsia="Arial Narrow" w:cs="Arial Narrow" w:ascii="Arial Narrow" w:hAnsi="Arial Narrow"/>
          <w:b/>
          <w:bCs/>
          <w:caps/>
        </w:rPr>
        <w:t>devices pilot Agreement (Continued)</w:t>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360" w:leader="none"/>
        </w:tabs>
        <w:ind w:hanging="540" w:start="540" w:end="0"/>
        <w:jc w:val="both"/>
        <w:rPr/>
      </w:pPr>
      <w:r>
        <w:rPr>
          <w:rFonts w:eastAsia="Arial" w:cs="Arial" w:ascii="Arial" w:hAnsi="Arial"/>
        </w:rPr>
        <w:tab/>
        <w:tab/>
        <w:t xml:space="preserve">If Customer's Add-on Device and associated equipment </w:t>
      </w:r>
      <w:r>
        <w:rPr>
          <w:rFonts w:eastAsia="Arial" w:cs="Arial" w:ascii="Arial" w:hAnsi="Arial"/>
          <w:u w:val="single"/>
        </w:rPr>
        <w:t>do</w:t>
      </w:r>
      <w:r>
        <w:rPr>
          <w:rFonts w:eastAsia="Arial" w:cs="Arial" w:ascii="Arial" w:hAnsi="Arial"/>
        </w:rPr>
        <w:t xml:space="preserve"> conform to a standard design that has been previously approved by PG&amp;E, Customer's Advance shall include a fixed cost of installation, estimated costs for travel time, and administrative costs of $41 to record and track the Add-on Device.</w:t>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360" w:leader="none"/>
        </w:tabs>
        <w:ind w:hanging="540" w:start="540" w:end="0"/>
        <w:jc w:val="both"/>
        <w:rPr/>
      </w:pPr>
      <w:r>
        <w:rPr>
          <w:rFonts w:eastAsia="Arial" w:cs="Arial" w:ascii="Arial" w:hAnsi="Arial"/>
        </w:rPr>
        <w:t>8.2</w:t>
        <w:tab/>
        <w:tab/>
        <w:t xml:space="preserve">Maintenance and Operating Costs: Customer shall pay PG&amp;E for maintenance, repair and removal and/or replacement of the Customer-Owned Add-on Device.  This charge shall be PG&amp;E’s costs, including labor and materials.  Labor shall be charged at the hourly rate of $ 68 per hour. These costs shall be collected through an </w:t>
      </w:r>
      <w:r>
        <w:rPr>
          <w:rFonts w:eastAsia="Arial" w:cs="Arial" w:ascii="Arial" w:hAnsi="Arial"/>
          <w:u w:val="single"/>
        </w:rPr>
        <w:t>Agreement to Perform Tariff Scheduled Related Work</w:t>
      </w:r>
      <w:r>
        <w:rPr>
          <w:rFonts w:eastAsia="Arial" w:cs="Arial" w:ascii="Arial" w:hAnsi="Arial"/>
        </w:rPr>
        <w:t xml:space="preserve"> (Form 62-4527.)</w:t>
      </w:r>
    </w:p>
    <w:p>
      <w:pPr>
        <w:pStyle w:val="Normal"/>
        <w:widowControl/>
        <w:tabs>
          <w:tab w:val="clear" w:pos="720"/>
          <w:tab w:val="left" w:pos="0" w:leader="none"/>
        </w:tabs>
        <w:ind w:hanging="540" w:start="540" w:end="0"/>
        <w:jc w:val="both"/>
        <w:rPr>
          <w:rFonts w:ascii="Arial" w:hAnsi="Arial" w:eastAsia="Arial" w:cs="Arial"/>
        </w:rPr>
      </w:pPr>
      <w:r>
        <w:rPr>
          <w:rFonts w:eastAsia="Arial" w:cs="Arial" w:ascii="Arial" w:hAnsi="Arial"/>
        </w:rPr>
      </w:r>
    </w:p>
    <w:p>
      <w:pPr>
        <w:pStyle w:val="Normal"/>
        <w:widowControl/>
        <w:ind w:hanging="540" w:start="540" w:end="0"/>
        <w:jc w:val="both"/>
        <w:rPr>
          <w:rFonts w:ascii="Arial" w:hAnsi="Arial" w:eastAsia="Arial" w:cs="Arial"/>
          <w:b/>
          <w:bCs/>
        </w:rPr>
      </w:pPr>
      <w:r>
        <w:rPr>
          <w:rFonts w:eastAsia="Arial" w:cs="Arial" w:ascii="Arial" w:hAnsi="Arial"/>
          <w:b/>
          <w:bCs/>
        </w:rPr>
        <w:t>9.</w:t>
        <w:tab/>
        <w:t>Changes in Load or Service Requirements</w:t>
      </w:r>
    </w:p>
    <w:p>
      <w:pPr>
        <w:pStyle w:val="Normal"/>
        <w:widowControl/>
        <w:tabs>
          <w:tab w:val="clear" w:pos="720"/>
          <w:tab w:val="left" w:pos="0" w:leader="none"/>
        </w:tabs>
        <w:ind w:hanging="540" w:start="540" w:end="0"/>
        <w:jc w:val="both"/>
        <w:rPr>
          <w:rFonts w:ascii="Arial" w:hAnsi="Arial" w:eastAsia="Arial" w:cs="Arial"/>
        </w:rPr>
      </w:pPr>
      <w:r>
        <w:rPr>
          <w:rFonts w:eastAsia="Arial" w:cs="Arial" w:ascii="Arial" w:hAnsi="Arial"/>
        </w:rPr>
        <w:tab/>
        <w:t>If Customer’s load or service requirements change to the extent that PG&amp;E’s metering facilities must be changed, any additional installation costs necessary to remove and/or reinstall the Add-on Device shall be paid to PG&amp;E by Customer in advance of any work.</w:t>
      </w:r>
    </w:p>
    <w:p>
      <w:pPr>
        <w:pStyle w:val="Normal"/>
        <w:widowControl/>
        <w:tabs>
          <w:tab w:val="left" w:pos="0" w:leader="none"/>
          <w:tab w:val="left" w:pos="720" w:leader="none"/>
        </w:tabs>
        <w:ind w:hanging="540" w:start="540" w:end="0"/>
        <w:jc w:val="both"/>
        <w:rPr>
          <w:rFonts w:ascii="Arial" w:hAnsi="Arial" w:eastAsia="Arial" w:cs="Arial"/>
          <w:b/>
          <w:bCs/>
        </w:rPr>
      </w:pPr>
      <w:r>
        <w:rPr>
          <w:rFonts w:eastAsia="Arial" w:cs="Arial" w:ascii="Arial" w:hAnsi="Arial"/>
          <w:b/>
          <w:bCs/>
        </w:rPr>
      </w:r>
    </w:p>
    <w:p>
      <w:pPr>
        <w:pStyle w:val="Normal"/>
        <w:widowControl/>
        <w:tabs>
          <w:tab w:val="clear" w:pos="720"/>
          <w:tab w:val="left" w:pos="0" w:leader="none"/>
        </w:tabs>
        <w:ind w:hanging="540" w:start="540" w:end="0"/>
        <w:jc w:val="both"/>
        <w:rPr>
          <w:rFonts w:ascii="Arial" w:hAnsi="Arial" w:eastAsia="Arial" w:cs="Arial"/>
          <w:b/>
          <w:bCs/>
        </w:rPr>
      </w:pPr>
      <w:r>
        <w:rPr>
          <w:rFonts w:eastAsia="Arial" w:cs="Arial" w:ascii="Arial" w:hAnsi="Arial"/>
          <w:b/>
          <w:bCs/>
        </w:rPr>
        <w:t>10.</w:t>
        <w:tab/>
        <w:t>Warranty</w:t>
      </w:r>
    </w:p>
    <w:p>
      <w:pPr>
        <w:pStyle w:val="Normal"/>
        <w:widowControl/>
        <w:ind w:start="540" w:end="0"/>
        <w:jc w:val="both"/>
        <w:rPr>
          <w:rFonts w:ascii="Arial" w:hAnsi="Arial" w:eastAsia="Arial" w:cs="Arial"/>
        </w:rPr>
      </w:pPr>
      <w:r>
        <w:rPr>
          <w:rFonts w:eastAsia="Arial" w:cs="Arial" w:ascii="Arial" w:hAnsi="Arial"/>
        </w:rPr>
        <w:t>PG&amp;E provides this service as an accommodation and no warranty of merchantability or fitness for a particular use may be implied by the agreement.  Specifically, the installation of Customer-Owned Add-on Device by PG&amp;E shall not be construed as confirming or endorsing the design or effectiveness of the Customer-Owned Add-on Device or the Customer’s plan for use of the Add-on Device for actually reducing gas demand or usage thereof, or as any warranty of the safety, durability or reliability of the Add-on Device or the plan for their use.</w:t>
      </w:r>
    </w:p>
    <w:p>
      <w:pPr>
        <w:pStyle w:val="Normal"/>
        <w:widowControl/>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540" w:start="540" w:end="0"/>
        <w:jc w:val="both"/>
        <w:rPr>
          <w:rFonts w:ascii="Arial" w:hAnsi="Arial" w:eastAsia="Arial" w:cs="Arial"/>
          <w:b/>
          <w:bCs/>
        </w:rPr>
      </w:pPr>
      <w:r>
        <w:rPr>
          <w:rFonts w:eastAsia="Arial" w:cs="Arial" w:ascii="Arial" w:hAnsi="Arial"/>
          <w:b/>
          <w:bCs/>
        </w:rPr>
        <w:t>11.</w:t>
        <w:tab/>
        <w:t>Failure of Customer’s Add-on Device</w:t>
      </w:r>
    </w:p>
    <w:p>
      <w:pPr>
        <w:pStyle w:val="Normal"/>
        <w:widowControl/>
        <w:ind w:hanging="540" w:start="540" w:end="0"/>
        <w:jc w:val="both"/>
        <w:rPr>
          <w:rFonts w:ascii="Arial" w:hAnsi="Arial" w:eastAsia="Arial" w:cs="Arial"/>
        </w:rPr>
      </w:pPr>
      <w:r>
        <w:rPr>
          <w:rFonts w:eastAsia="Arial" w:cs="Arial" w:ascii="Arial" w:hAnsi="Arial"/>
        </w:rPr>
        <w:t xml:space="preserve">11.1 </w:t>
        <w:tab/>
        <w:t xml:space="preserve">The interruption of the operation of the Customer-Owned Add-on Device for any reason, or the failure or malfunction of the Customer-Owned Add-on Device shall in no way nullify the validity of PG&amp;E’s meter readings or recordings for billing purposes. </w:t>
      </w:r>
    </w:p>
    <w:p>
      <w:pPr>
        <w:pStyle w:val="Normal"/>
        <w:widowControl/>
        <w:ind w:hanging="540" w:start="540" w:end="0"/>
        <w:jc w:val="both"/>
        <w:rPr>
          <w:rFonts w:ascii="Arial" w:hAnsi="Arial" w:eastAsia="Arial" w:cs="Arial"/>
        </w:rPr>
      </w:pPr>
      <w:r>
        <w:rPr>
          <w:rFonts w:eastAsia="Arial" w:cs="Arial" w:ascii="Arial" w:hAnsi="Arial"/>
        </w:rPr>
      </w:r>
    </w:p>
    <w:p>
      <w:pPr>
        <w:pStyle w:val="Normal"/>
        <w:widowControl/>
        <w:ind w:hanging="540" w:start="540" w:end="0"/>
        <w:jc w:val="both"/>
        <w:rPr>
          <w:rFonts w:ascii="Arial" w:hAnsi="Arial" w:eastAsia="Arial" w:cs="Arial"/>
          <w:b/>
          <w:bCs/>
        </w:rPr>
      </w:pPr>
      <w:r>
        <w:rPr>
          <w:rFonts w:eastAsia="Arial" w:cs="Arial" w:ascii="Arial" w:hAnsi="Arial"/>
        </w:rPr>
        <w:t xml:space="preserve">11.2 </w:t>
        <w:tab/>
        <w:t>PG&amp;E’s liability for the interruption of the operation of, or damage to, the Add-on Device due to a malfunction of PG&amp;E equipment shall be limited to the repair or replacement of the PG&amp;E equipment in a timely manner.  Nothing in this Section 11.2 is intended to affect PG&amp;E's responsibilities to the Customer, if any, for damage to the Add-on Device caused by PG&amp;E's negligence.</w:t>
      </w:r>
    </w:p>
    <w:p>
      <w:pPr>
        <w:pStyle w:val="Normal"/>
        <w:widowControl/>
        <w:tabs>
          <w:tab w:val="clear" w:pos="720"/>
          <w:tab w:val="left" w:pos="0" w:leader="none"/>
        </w:tabs>
        <w:ind w:hanging="540" w:start="540" w:end="0"/>
        <w:jc w:val="both"/>
        <w:rPr>
          <w:rFonts w:ascii="Arial" w:hAnsi="Arial" w:eastAsia="Arial" w:cs="Arial"/>
          <w:b/>
          <w:bCs/>
        </w:rPr>
      </w:pPr>
      <w:r>
        <w:rPr>
          <w:rFonts w:eastAsia="Arial" w:cs="Arial" w:ascii="Arial" w:hAnsi="Arial"/>
          <w:b/>
          <w:bCs/>
        </w:rPr>
      </w:r>
    </w:p>
    <w:p>
      <w:pPr>
        <w:pStyle w:val="Normal"/>
        <w:widowControl/>
        <w:ind w:hanging="540" w:start="540" w:end="0"/>
        <w:jc w:val="both"/>
        <w:rPr>
          <w:rFonts w:ascii="Arial" w:hAnsi="Arial" w:eastAsia="Arial" w:cs="Arial"/>
          <w:b/>
          <w:bCs/>
        </w:rPr>
      </w:pPr>
      <w:r>
        <w:rPr>
          <w:rFonts w:eastAsia="Arial" w:cs="Arial" w:ascii="Arial" w:hAnsi="Arial"/>
          <w:b/>
          <w:bCs/>
        </w:rPr>
        <w:t>12.</w:t>
        <w:tab/>
        <w:t>Assignment of Agreement</w:t>
      </w:r>
    </w:p>
    <w:p>
      <w:pPr>
        <w:pStyle w:val="Normal"/>
        <w:widowControl/>
        <w:ind w:start="540" w:end="0"/>
        <w:jc w:val="both"/>
        <w:rPr>
          <w:rFonts w:ascii="Arial" w:hAnsi="Arial" w:eastAsia="Arial" w:cs="Arial"/>
        </w:rPr>
      </w:pPr>
      <w:r>
        <w:rPr>
          <w:rFonts w:eastAsia="Arial" w:cs="Arial" w:ascii="Arial" w:hAnsi="Arial"/>
        </w:rPr>
        <w:t>Customer may assign this agreement, only if PG&amp;E consents in writing and the party to whom the agreement is assigned (Assignee) agrees in writing, to perform the obligations of Customer hereunder. PG&amp;E's consent will not be unreasonably withheld.  Such assignment shall be made using PG&amp;E’s Assignment Agreement.  Except as provided below in this Section 12, assignment of this agreement shall not release Customer from any of the obligations under this agreement and shall be deemed to include Customer’s right to any refunds then unpaid or which may thereafter become payable.  If the Assignee meets PG&amp;E's creditworthiness requirements specified in PG&amp;E's Gas Rule 25, Customer shall be released from any of the financial obligations under this agreement.</w:t>
      </w:r>
    </w:p>
    <w:p>
      <w:pPr>
        <w:pStyle w:val="Normal"/>
        <w:widowControl/>
        <w:ind w:hanging="540" w:start="540" w:end="0"/>
        <w:jc w:val="both"/>
        <w:rPr>
          <w:rFonts w:ascii="Arial" w:hAnsi="Arial" w:eastAsia="Arial" w:cs="Arial"/>
        </w:rPr>
      </w:pPr>
      <w:r>
        <w:rPr>
          <w:rFonts w:eastAsia="Arial" w:cs="Arial" w:ascii="Arial" w:hAnsi="Arial"/>
        </w:rPr>
      </w:r>
    </w:p>
    <w:p>
      <w:pPr>
        <w:pStyle w:val="1"/>
        <w:widowControl/>
        <w:tabs>
          <w:tab w:val="clear" w:pos="720"/>
        </w:tabs>
        <w:ind w:hanging="540" w:start="540" w:end="0"/>
        <w:jc w:val="both"/>
        <w:rPr>
          <w:b/>
          <w:bCs/>
          <w:sz w:val="20"/>
          <w:szCs w:val="20"/>
        </w:rPr>
      </w:pPr>
      <w:r>
        <w:rPr>
          <w:b/>
          <w:bCs/>
          <w:sz w:val="20"/>
          <w:szCs w:val="20"/>
        </w:rPr>
        <w:t>13.</w:t>
        <w:tab/>
        <w:t>Indemnification</w:t>
      </w:r>
    </w:p>
    <w:p>
      <w:pPr>
        <w:pStyle w:val="Normal"/>
        <w:numPr>
          <w:ilvl w:val="1"/>
          <w:numId w:val="5"/>
        </w:numPr>
        <w:tabs>
          <w:tab w:val="clear" w:pos="720"/>
          <w:tab w:val="left" w:pos="0" w:leader="none"/>
        </w:tabs>
        <w:ind w:hanging="720" w:start="720" w:end="0"/>
        <w:jc w:val="both"/>
        <w:rPr>
          <w:rFonts w:ascii="Arial" w:hAnsi="Arial" w:eastAsia="Arial" w:cs="Arial"/>
          <w:spacing w:val="-3"/>
        </w:rPr>
      </w:pPr>
      <w:r>
        <w:rPr>
          <w:rFonts w:eastAsia="Arial" w:cs="Arial" w:ascii="Arial" w:hAnsi="Arial"/>
          <w:spacing w:val="-3"/>
        </w:rPr>
        <w:t xml:space="preserve">To the fullest extent permitted by law, each Party (the “Indemnifying Party”) shall indemnify and hold harmless the other Party, and its current and future direct and indirect parent companies, affiliates and their shareholders, officers, directors, employees, agents, servants, and assigns (collectively, the “Indemnified Party”) and at the Indemnified Party's option, the Indemnifying Party shall defend the Indemnified Party from and against any and all claims and/or liabilities for losses, expenses, damage to property, injury to or death of any person, including, but not limited to, the Indemnified Party’s employees and its affiliates’ employees, subcontractors and subcontractors’ </w:t>
      </w:r>
    </w:p>
    <w:p>
      <w:pPr>
        <w:pStyle w:val="Normal"/>
        <w:widowControl/>
        <w:jc w:val="center"/>
        <w:rPr>
          <w:rFonts w:ascii="Arial Narrow" w:hAnsi="Arial Narrow" w:eastAsia="Arial Narrow" w:cs="Arial Narrow"/>
          <w:b/>
          <w:bCs/>
          <w:caps/>
        </w:rPr>
      </w:pPr>
      <w:r>
        <w:rPr>
          <w:rFonts w:eastAsia="Arial Narrow" w:cs="Arial Narrow" w:ascii="Arial Narrow" w:hAnsi="Arial Narrow"/>
          <w:b/>
          <w:bCs/>
          <w:caps/>
        </w:rPr>
        <w:t>gas METER customer-owned add-on</w:t>
      </w:r>
    </w:p>
    <w:p>
      <w:pPr>
        <w:pStyle w:val="Normal"/>
        <w:jc w:val="center"/>
        <w:rPr>
          <w:rFonts w:ascii="Arial" w:hAnsi="Arial" w:eastAsia="Arial" w:cs="Arial"/>
          <w:spacing w:val="-3"/>
        </w:rPr>
      </w:pPr>
      <w:r>
        <w:rPr>
          <w:rFonts w:eastAsia="Arial Narrow" w:cs="Arial Narrow" w:ascii="Arial Narrow" w:hAnsi="Arial Narrow"/>
          <w:b/>
          <w:bCs/>
          <w:caps/>
        </w:rPr>
        <w:t>devices pilot Agreement (Continued)</w:t>
      </w:r>
    </w:p>
    <w:p>
      <w:pPr>
        <w:pStyle w:val="Normal"/>
        <w:jc w:val="center"/>
        <w:rPr>
          <w:rFonts w:ascii="Arial" w:hAnsi="Arial" w:eastAsia="Arial" w:cs="Arial"/>
          <w:spacing w:val="-3"/>
        </w:rPr>
      </w:pPr>
      <w:r>
        <w:rPr>
          <w:rFonts w:eastAsia="Arial" w:cs="Arial" w:ascii="Arial" w:hAnsi="Arial"/>
          <w:spacing w:val="-3"/>
        </w:rPr>
      </w:r>
    </w:p>
    <w:p>
      <w:pPr>
        <w:pStyle w:val="Normal"/>
        <w:jc w:val="both"/>
        <w:rPr>
          <w:rFonts w:ascii="Arial" w:hAnsi="Arial" w:eastAsia="Arial" w:cs="Arial"/>
          <w:spacing w:val="-3"/>
        </w:rPr>
      </w:pPr>
      <w:r>
        <w:rPr>
          <w:rFonts w:eastAsia="Arial" w:cs="Arial" w:ascii="Arial" w:hAnsi="Arial"/>
          <w:spacing w:val="-3"/>
        </w:rPr>
      </w:r>
    </w:p>
    <w:p>
      <w:pPr>
        <w:pStyle w:val="BodyTextIndent3"/>
        <w:ind w:hanging="0" w:end="0"/>
        <w:rPr/>
      </w:pPr>
      <w:r>
        <w:rPr/>
        <w:t xml:space="preserve">employees, or any other liability incurred by the Indemnified Party, including reasonable expenses, legal and otherwise, which shall include reasonable attorneys’ fees, caused wholly or in part by any negligent, grossly negligent, or willful act or omission by the Indemnifying Party, its officers, directors, employees, agents, or assigns arising out of this Agreement, except to the extent caused wholly or in part by any negligent, grossly negligent, or willful act or omission of the Indemnified Party. </w:t>
      </w:r>
    </w:p>
    <w:p>
      <w:pPr>
        <w:pStyle w:val="Normal"/>
        <w:ind w:hanging="540" w:start="540" w:end="0"/>
        <w:jc w:val="both"/>
        <w:rPr>
          <w:rFonts w:ascii="Arial" w:hAnsi="Arial" w:eastAsia="Arial" w:cs="Arial"/>
          <w:spacing w:val="-3"/>
        </w:rPr>
      </w:pPr>
      <w:r>
        <w:rPr>
          <w:rFonts w:eastAsia="Arial" w:cs="Arial" w:ascii="Arial" w:hAnsi="Arial"/>
          <w:spacing w:val="-3"/>
        </w:rPr>
      </w:r>
    </w:p>
    <w:p>
      <w:pPr>
        <w:pStyle w:val="Normal"/>
        <w:ind w:hanging="540" w:start="540" w:end="0"/>
        <w:jc w:val="both"/>
        <w:rPr>
          <w:rFonts w:ascii="Arial" w:hAnsi="Arial" w:eastAsia="Arial" w:cs="Arial"/>
          <w:spacing w:val="-3"/>
        </w:rPr>
      </w:pPr>
      <w:r>
        <w:rPr>
          <w:rFonts w:eastAsia="Arial" w:cs="Arial" w:ascii="Arial" w:hAnsi="Arial"/>
          <w:spacing w:val="-3"/>
        </w:rPr>
        <w:t>13.2</w:t>
        <w:tab/>
      </w:r>
      <w:r>
        <w:rPr>
          <w:rFonts w:eastAsia="Arial" w:cs="Arial" w:ascii="Arial" w:hAnsi="Arial"/>
        </w:rPr>
        <w:t>If any claim covered by Section 13.1 is brought against the Indemnified Party, then the Indemnifying Party shall be entitled to participate in, and unless in the opinion of counsel for the Indemnified Party a conflict of interest between the Parties may exist with respect to such claim, assume the defense of such claim, with counsel reasonably acceptable to the Indemnified Party.  If the Indemnifying Party does not assume the defense of the Indemnified Party, or if a conflict precludes the Indemnifying Party from assuming the defense, then the Indemnifying Party shall reimburse the Indemnified Party on a monthly basis for the Indemnified Party</w:t>
      </w:r>
      <w:r>
        <w:rPr>
          <w:rFonts w:eastAsia="Arial" w:cs="Arial" w:ascii="Arial" w:hAnsi="Arial"/>
          <w:vertAlign w:val="superscript"/>
        </w:rPr>
        <w:t>’</w:t>
      </w:r>
      <w:r>
        <w:rPr>
          <w:rFonts w:eastAsia="Arial" w:cs="Arial" w:ascii="Arial" w:hAnsi="Arial"/>
        </w:rPr>
        <w:t xml:space="preserve">s defense through separate counsel of the Indemnified Party's choice.  Even if the Indemnifying Party assumes the defense of the Indemnified Party with acceptable counsel, the Indemnified Party, at its sole option, may participate in the defense, at its own expense, with counsel of its own choice without relieving the Indemnifying Party of any of its obligations hereunder. </w:t>
      </w:r>
    </w:p>
    <w:p>
      <w:pPr>
        <w:pStyle w:val="Normal"/>
        <w:ind w:hanging="540" w:start="540" w:end="0"/>
        <w:jc w:val="both"/>
        <w:rPr>
          <w:rFonts w:ascii="Arial" w:hAnsi="Arial" w:eastAsia="Arial" w:cs="Arial"/>
          <w:spacing w:val="-3"/>
        </w:rPr>
      </w:pPr>
      <w:r>
        <w:rPr>
          <w:rFonts w:eastAsia="Arial" w:cs="Arial" w:ascii="Arial" w:hAnsi="Arial"/>
          <w:spacing w:val="-3"/>
        </w:rPr>
      </w:r>
    </w:p>
    <w:p>
      <w:pPr>
        <w:pStyle w:val="111"/>
        <w:widowControl/>
        <w:tabs>
          <w:tab w:val="clear" w:pos="2160"/>
          <w:tab w:val="left" w:pos="0" w:leader="none"/>
        </w:tabs>
        <w:ind w:hanging="540" w:start="540" w:end="0"/>
        <w:jc w:val="both"/>
        <w:rPr/>
      </w:pPr>
      <w:r>
        <w:rPr>
          <w:spacing w:val="-3"/>
          <w:sz w:val="20"/>
          <w:szCs w:val="20"/>
        </w:rPr>
        <w:t>13.3</w:t>
        <w:tab/>
      </w:r>
      <w:r>
        <w:rPr>
          <w:sz w:val="20"/>
          <w:szCs w:val="20"/>
        </w:rPr>
        <w:t>The Indemnifying Party's obligation to indemnify under this Section 13 shall survive termination of this Agreement, and shall not be limited in any way by any limitation on the amount or type of damages, compensation or benefits payable by or for the Indemnifying Party under any statutory scheme, including, without limitation, under any Worker</w:t>
      </w:r>
      <w:r>
        <w:rPr>
          <w:sz w:val="20"/>
          <w:szCs w:val="20"/>
          <w:vertAlign w:val="superscript"/>
        </w:rPr>
        <w:t>’</w:t>
      </w:r>
      <w:r>
        <w:rPr>
          <w:sz w:val="20"/>
          <w:szCs w:val="20"/>
        </w:rPr>
        <w:t>s Compensation Acts, Disability Benefit Acts or other Employee Benefit Acts.</w:t>
      </w:r>
    </w:p>
    <w:p>
      <w:pPr>
        <w:pStyle w:val="111"/>
        <w:widowControl/>
        <w:tabs>
          <w:tab w:val="clear" w:pos="2160"/>
          <w:tab w:val="left" w:pos="0" w:leader="none"/>
          <w:tab w:val="left" w:pos="720" w:leader="none"/>
        </w:tabs>
        <w:ind w:hanging="540" w:start="540" w:end="0"/>
        <w:jc w:val="both"/>
        <w:rPr>
          <w:sz w:val="20"/>
          <w:szCs w:val="20"/>
        </w:rPr>
      </w:pPr>
      <w:r>
        <w:rPr>
          <w:sz w:val="20"/>
          <w:szCs w:val="20"/>
        </w:rPr>
      </w:r>
    </w:p>
    <w:p>
      <w:pPr>
        <w:pStyle w:val="111"/>
        <w:widowControl/>
        <w:tabs>
          <w:tab w:val="clear" w:pos="2160"/>
          <w:tab w:val="left" w:pos="0" w:leader="none"/>
          <w:tab w:val="left" w:pos="720" w:leader="none"/>
        </w:tabs>
        <w:ind w:hanging="540" w:start="540" w:end="0"/>
        <w:jc w:val="both"/>
        <w:rPr>
          <w:sz w:val="20"/>
          <w:szCs w:val="20"/>
        </w:rPr>
      </w:pPr>
      <w:r>
        <w:rPr>
          <w:sz w:val="20"/>
          <w:szCs w:val="20"/>
        </w:rPr>
        <w:t>13.4</w:t>
        <w:tab/>
        <w:t>The Parties acknowledge that any claims, demands, losses, damages, costs, expenses, and legal liability that arise out of, result from, or are in any way connected with the release or spill of any legally designated hazardous material or waste from, or associated with, the Add-on Device, as a result of the work performed under this agreement are expressly within the scope of this indemnity, and that the costs, expenses, and legal liability for environmental investigations, monitoring, containment, abatement, removal, repair, cleanup, restoration, remedial work, penalties, and fines arising from the violation of any local, state, or federal law or regulation, attorney's fees, disbursements, and other response costs are expressly within the scope of this indemnity.</w:t>
      </w:r>
    </w:p>
    <w:p>
      <w:pPr>
        <w:pStyle w:val="111"/>
        <w:widowControl/>
        <w:tabs>
          <w:tab w:val="clear" w:pos="2160"/>
          <w:tab w:val="left" w:pos="0" w:leader="none"/>
          <w:tab w:val="left" w:pos="1260" w:leader="none"/>
        </w:tabs>
        <w:ind w:hanging="540" w:start="540" w:end="0"/>
        <w:jc w:val="both"/>
        <w:rPr>
          <w:sz w:val="20"/>
          <w:szCs w:val="20"/>
        </w:rPr>
      </w:pPr>
      <w:r>
        <w:rPr>
          <w:sz w:val="20"/>
          <w:szCs w:val="20"/>
        </w:rPr>
      </w:r>
    </w:p>
    <w:p>
      <w:pPr>
        <w:pStyle w:val="111"/>
        <w:widowControl/>
        <w:tabs>
          <w:tab w:val="clear" w:pos="2160"/>
          <w:tab w:val="left" w:pos="0" w:leader="none"/>
          <w:tab w:val="left" w:pos="1260" w:leader="none"/>
        </w:tabs>
        <w:ind w:hanging="540" w:start="540" w:end="0"/>
        <w:jc w:val="both"/>
        <w:rPr>
          <w:sz w:val="20"/>
          <w:szCs w:val="20"/>
        </w:rPr>
      </w:pPr>
      <w:r>
        <w:rPr>
          <w:sz w:val="20"/>
          <w:szCs w:val="20"/>
        </w:rPr>
        <w:t>13.5</w:t>
        <w:tab/>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except as provided for in this Section 13.  In no event shall either Party be liable to the other Party for any indirect, special, consequential, or punitive damages of any kind whatsoever, whether in contract, tort or strict liability, except in the event of an action covered by the Indemnification Section in this agreement.</w:t>
      </w:r>
    </w:p>
    <w:p>
      <w:pPr>
        <w:pStyle w:val="Normal"/>
        <w:widowControl/>
        <w:tabs>
          <w:tab w:val="clear" w:pos="720"/>
          <w:tab w:val="left" w:pos="0" w:leader="none"/>
        </w:tabs>
        <w:ind w:hanging="540" w:start="540" w:end="0"/>
        <w:jc w:val="both"/>
        <w:rPr>
          <w:rFonts w:ascii="Arial" w:hAnsi="Arial" w:eastAsia="Arial" w:cs="Arial"/>
          <w:sz w:val="20"/>
          <w:szCs w:val="20"/>
        </w:rPr>
      </w:pPr>
      <w:r>
        <w:rPr>
          <w:rFonts w:eastAsia="Arial" w:cs="Arial" w:ascii="Arial" w:hAnsi="Arial"/>
          <w:sz w:val="20"/>
          <w:szCs w:val="20"/>
        </w:rPr>
      </w:r>
    </w:p>
    <w:p>
      <w:pPr>
        <w:pStyle w:val="Normal"/>
        <w:widowControl/>
        <w:ind w:hanging="540" w:start="540" w:end="0"/>
        <w:jc w:val="both"/>
        <w:rPr>
          <w:rFonts w:ascii="Arial" w:hAnsi="Arial" w:eastAsia="Arial" w:cs="Arial"/>
        </w:rPr>
      </w:pPr>
      <w:r>
        <w:rPr>
          <w:rFonts w:eastAsia="Arial" w:cs="Arial" w:ascii="Arial" w:hAnsi="Arial"/>
          <w:b/>
          <w:bCs/>
        </w:rPr>
        <w:t>14.</w:t>
        <w:tab/>
        <w:t>Termination of Agreement</w:t>
      </w:r>
    </w:p>
    <w:p>
      <w:pPr>
        <w:pStyle w:val="Normal"/>
        <w:widowControl/>
        <w:numPr>
          <w:ilvl w:val="1"/>
          <w:numId w:val="6"/>
        </w:numPr>
        <w:tabs>
          <w:tab w:val="clear" w:pos="720"/>
          <w:tab w:val="left" w:pos="0" w:leader="none"/>
        </w:tabs>
        <w:ind w:hanging="360" w:start="720" w:end="0"/>
        <w:jc w:val="both"/>
        <w:rPr>
          <w:rFonts w:ascii="Arial" w:hAnsi="Arial" w:eastAsia="Arial" w:cs="Arial"/>
        </w:rPr>
      </w:pPr>
      <w:r>
        <w:rPr>
          <w:rFonts w:eastAsia="Arial" w:cs="Arial" w:ascii="Arial" w:hAnsi="Arial"/>
        </w:rPr>
        <w:t xml:space="preserve">Except as herein otherwise provided, this agreement will continue in effect until December 31, 2002, or until the Commission acts on the assessment report (described in Section 15), whichever is later, unless terminated by: (i) the Customer on thirty (30) calendar days advance written notice to PG&amp;E, or (ii) PG&amp;E on thirty (30) calendar days advance written notice to the Customer upon a material breach of any provision of this agreement. Upon termination of this agreement under this subsection: (i) Customer shall pay to PG&amp;E on demand (in addition to all other payments to which PG&amp;E may be legally entitled by virtue of such termination) a facility termination charge defined as the estimated removal cost, which shall not exceed the </w:t>
      </w:r>
    </w:p>
    <w:p>
      <w:pPr>
        <w:pStyle w:val="Normal"/>
        <w:widowControl/>
        <w:jc w:val="both"/>
        <w:rPr>
          <w:rFonts w:ascii="Arial" w:hAnsi="Arial" w:eastAsia="Arial" w:cs="Arial"/>
        </w:rPr>
      </w:pPr>
      <w:r>
        <w:rPr>
          <w:rFonts w:eastAsia="Arial" w:cs="Arial" w:ascii="Arial" w:hAnsi="Arial"/>
        </w:rPr>
      </w:r>
    </w:p>
    <w:p>
      <w:pPr>
        <w:pStyle w:val="Normal"/>
        <w:widowControl/>
        <w:jc w:val="center"/>
        <w:rPr>
          <w:rFonts w:ascii="Arial Narrow" w:hAnsi="Arial Narrow" w:eastAsia="Arial Narrow" w:cs="Arial Narrow"/>
          <w:b/>
          <w:bCs/>
          <w:caps/>
        </w:rPr>
      </w:pPr>
      <w:r>
        <w:rPr>
          <w:rFonts w:eastAsia="Arial Narrow" w:cs="Arial Narrow" w:ascii="Arial Narrow" w:hAnsi="Arial Narrow"/>
          <w:b/>
          <w:bCs/>
          <w:caps/>
        </w:rPr>
        <w:t>gas METER customer-owned add-on</w:t>
      </w:r>
    </w:p>
    <w:p>
      <w:pPr>
        <w:pStyle w:val="Normal"/>
        <w:widowControl/>
        <w:jc w:val="center"/>
        <w:rPr>
          <w:rFonts w:ascii="Arial" w:hAnsi="Arial" w:eastAsia="Arial" w:cs="Arial"/>
        </w:rPr>
      </w:pPr>
      <w:r>
        <w:rPr>
          <w:rFonts w:eastAsia="Arial Narrow" w:cs="Arial Narrow" w:ascii="Arial Narrow" w:hAnsi="Arial Narrow"/>
          <w:b/>
          <w:bCs/>
          <w:caps/>
        </w:rPr>
        <w:t>devices pilot Agreement (Continued)</w:t>
      </w:r>
    </w:p>
    <w:p>
      <w:pPr>
        <w:pStyle w:val="Normal"/>
        <w:widowControl/>
        <w:jc w:val="both"/>
        <w:rPr>
          <w:rFonts w:ascii="Arial" w:hAnsi="Arial" w:eastAsia="Arial" w:cs="Arial"/>
        </w:rPr>
      </w:pPr>
      <w:r>
        <w:rPr>
          <w:rFonts w:eastAsia="Arial" w:cs="Arial" w:ascii="Arial" w:hAnsi="Arial"/>
        </w:rPr>
      </w:r>
    </w:p>
    <w:p>
      <w:pPr>
        <w:pStyle w:val="Normal"/>
        <w:widowControl/>
        <w:tabs>
          <w:tab w:val="clear" w:pos="720"/>
          <w:tab w:val="left" w:pos="360" w:leader="none"/>
        </w:tabs>
        <w:ind w:start="540" w:end="0"/>
        <w:jc w:val="both"/>
        <w:rPr>
          <w:rFonts w:ascii="Arial" w:hAnsi="Arial" w:eastAsia="Arial" w:cs="Arial"/>
        </w:rPr>
      </w:pPr>
      <w:r>
        <w:rPr>
          <w:rFonts w:eastAsia="Arial" w:cs="Arial" w:ascii="Arial" w:hAnsi="Arial"/>
        </w:rPr>
        <w:t>installation charge described in Section 8.1, and (ii) PG&amp;E shall be entitled to remove, within a reasonable time, the Customer-Owned Add-on Device.</w:t>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rPr>
      </w:r>
    </w:p>
    <w:p>
      <w:pPr>
        <w:pStyle w:val="Normal"/>
        <w:widowControl/>
        <w:ind w:hanging="540" w:start="540" w:end="0"/>
        <w:jc w:val="both"/>
        <w:rPr>
          <w:rFonts w:ascii="Arial" w:hAnsi="Arial" w:eastAsia="Arial" w:cs="Arial"/>
        </w:rPr>
      </w:pPr>
      <w:r>
        <w:rPr>
          <w:rFonts w:eastAsia="Arial" w:cs="Arial" w:ascii="Arial" w:hAnsi="Arial"/>
        </w:rPr>
        <w:t xml:space="preserve">14.2 </w:t>
        <w:tab/>
        <w:t>PG&amp;E may also terminate this agreement on sixty (60) calendar days advance written notice to the Customer upon PG&amp;E's execution of its right to replace or reconfigure the gas meter under section 2.2 in a way in which the Add-on Device will be rendered inoperable or impair the operation of the replaced or reconfigured meter.  Upon termination of this agreement under this subsection:</w:t>
      </w:r>
    </w:p>
    <w:p>
      <w:pPr>
        <w:pStyle w:val="Normal"/>
        <w:widowControl/>
        <w:ind w:hanging="540" w:start="540" w:end="0"/>
        <w:jc w:val="both"/>
        <w:rPr>
          <w:rFonts w:ascii="Arial" w:hAnsi="Arial" w:eastAsia="Arial" w:cs="Arial"/>
        </w:rPr>
      </w:pPr>
      <w:r>
        <w:rPr>
          <w:rFonts w:eastAsia="Arial" w:cs="Arial" w:ascii="Arial" w:hAnsi="Arial"/>
        </w:rPr>
        <w:tab/>
      </w:r>
    </w:p>
    <w:p>
      <w:pPr>
        <w:pStyle w:val="Normal"/>
        <w:widowControl/>
        <w:numPr>
          <w:ilvl w:val="0"/>
          <w:numId w:val="7"/>
        </w:numPr>
        <w:tabs>
          <w:tab w:val="clear" w:pos="720"/>
          <w:tab w:val="left" w:pos="0" w:leader="none"/>
          <w:tab w:val="left" w:pos="360" w:leader="none"/>
        </w:tabs>
        <w:ind w:hanging="360" w:start="1080" w:end="0"/>
        <w:jc w:val="both"/>
        <w:rPr>
          <w:rFonts w:ascii="Arial" w:hAnsi="Arial" w:eastAsia="Arial" w:cs="Arial"/>
        </w:rPr>
      </w:pPr>
      <w:r>
        <w:rPr>
          <w:rFonts w:eastAsia="Arial" w:cs="Arial" w:ascii="Arial" w:hAnsi="Arial"/>
        </w:rPr>
        <w:t xml:space="preserve"> </w:t>
      </w:r>
      <w:r>
        <w:rPr>
          <w:rFonts w:eastAsia="Arial" w:cs="Arial" w:ascii="Arial" w:hAnsi="Arial"/>
        </w:rPr>
        <w:t>Customer shall pay to PG&amp;E all payments to which PG&amp;E may be legally entitled.</w:t>
      </w:r>
    </w:p>
    <w:p>
      <w:pPr>
        <w:pStyle w:val="Normal"/>
        <w:widowControl/>
        <w:ind w:start="360" w:end="0"/>
        <w:jc w:val="both"/>
        <w:rPr>
          <w:rFonts w:ascii="Arial" w:hAnsi="Arial" w:eastAsia="Arial" w:cs="Arial"/>
        </w:rPr>
      </w:pPr>
      <w:r>
        <w:rPr>
          <w:rFonts w:eastAsia="Arial" w:cs="Arial" w:ascii="Arial" w:hAnsi="Arial"/>
        </w:rPr>
      </w:r>
    </w:p>
    <w:p>
      <w:pPr>
        <w:pStyle w:val="Normal"/>
        <w:widowControl/>
        <w:ind w:hanging="540" w:start="540" w:end="0"/>
        <w:jc w:val="both"/>
        <w:rPr>
          <w:rFonts w:ascii="Arial" w:hAnsi="Arial" w:eastAsia="Arial" w:cs="Arial"/>
        </w:rPr>
      </w:pPr>
      <w:r>
        <w:rPr>
          <w:rFonts w:eastAsia="Arial" w:cs="Arial" w:ascii="Arial" w:hAnsi="Arial"/>
        </w:rPr>
        <w:tab/>
        <w:t>b) PG&amp;E shall bear the costs of removing the Customer-Owned Add-on Device and shall return the Customer-Owned Add-on Device to the Customer.</w:t>
      </w:r>
    </w:p>
    <w:p>
      <w:pPr>
        <w:pStyle w:val="Normal"/>
        <w:widowControl/>
        <w:ind w:hanging="540" w:start="540" w:end="0"/>
        <w:jc w:val="both"/>
        <w:rPr>
          <w:rFonts w:ascii="Arial" w:hAnsi="Arial" w:eastAsia="Arial" w:cs="Arial"/>
          <w:b/>
          <w:bCs/>
        </w:rPr>
      </w:pPr>
      <w:r>
        <w:rPr>
          <w:rFonts w:eastAsia="Arial" w:cs="Arial" w:ascii="Arial" w:hAnsi="Arial"/>
          <w:b/>
          <w:bCs/>
        </w:rPr>
      </w:r>
    </w:p>
    <w:p>
      <w:pPr>
        <w:pStyle w:val="Normal"/>
        <w:widowControl/>
        <w:tabs>
          <w:tab w:val="clear" w:pos="720"/>
          <w:tab w:val="left" w:pos="360" w:leader="none"/>
        </w:tabs>
        <w:ind w:hanging="540" w:start="540" w:end="0"/>
        <w:jc w:val="both"/>
        <w:rPr>
          <w:rFonts w:ascii="Arial" w:hAnsi="Arial" w:eastAsia="Arial" w:cs="Arial"/>
          <w:b/>
          <w:bCs/>
        </w:rPr>
      </w:pPr>
      <w:r>
        <w:rPr>
          <w:rFonts w:eastAsia="Arial" w:cs="Arial" w:ascii="Arial" w:hAnsi="Arial"/>
          <w:b/>
          <w:bCs/>
        </w:rPr>
        <w:t>15.</w:t>
        <w:tab/>
        <w:tab/>
        <w:t>Assessment of the Pilot Program</w:t>
      </w:r>
    </w:p>
    <w:p>
      <w:pPr>
        <w:pStyle w:val="Normal"/>
        <w:widowControl/>
        <w:ind w:start="540" w:end="0"/>
        <w:jc w:val="both"/>
        <w:rPr>
          <w:rFonts w:ascii="Arial" w:hAnsi="Arial" w:eastAsia="Arial" w:cs="Arial"/>
        </w:rPr>
      </w:pPr>
      <w:r>
        <w:rPr>
          <w:rFonts w:eastAsia="Arial" w:cs="Arial" w:ascii="Arial" w:hAnsi="Arial"/>
        </w:rPr>
        <w:t>On or about January 1, 2002, PG&amp;E will begin working with interested parties to prepare a report assessing the pilot meter add-on ownership program.  This assessment report, which will include one or more recommendations concerning the future of the program, will be submitted to the Commission no sooner than June 1, 2002 and no later than July 1, 2002.  The report will address among other things, whether the pilot program should be expanded, and the disposition of all existing Customer-Owned Add-on Device if the pilot program is not extended.</w:t>
      </w:r>
    </w:p>
    <w:p>
      <w:pPr>
        <w:pStyle w:val="Normal"/>
        <w:widowControl/>
        <w:ind w:hanging="540" w:start="540" w:end="0"/>
        <w:jc w:val="both"/>
        <w:rPr>
          <w:rFonts w:ascii="Arial" w:hAnsi="Arial" w:eastAsia="Arial" w:cs="Arial"/>
          <w:b/>
          <w:bCs/>
        </w:rPr>
      </w:pPr>
      <w:r>
        <w:rPr>
          <w:rFonts w:eastAsia="Arial" w:cs="Arial" w:ascii="Arial" w:hAnsi="Arial"/>
          <w:b/>
          <w:bCs/>
        </w:rPr>
      </w:r>
    </w:p>
    <w:p>
      <w:pPr>
        <w:pStyle w:val="Normal"/>
        <w:widowControl/>
        <w:ind w:hanging="540" w:start="540" w:end="0"/>
        <w:jc w:val="both"/>
        <w:rPr>
          <w:rFonts w:ascii="Arial" w:hAnsi="Arial" w:eastAsia="Arial" w:cs="Arial"/>
        </w:rPr>
      </w:pPr>
      <w:r>
        <w:rPr>
          <w:rFonts w:eastAsia="Arial" w:cs="Arial" w:ascii="Arial" w:hAnsi="Arial"/>
          <w:b/>
          <w:bCs/>
        </w:rPr>
        <w:t>16.</w:t>
        <w:tab/>
        <w:t>Effective Date and Term</w:t>
      </w:r>
    </w:p>
    <w:p>
      <w:pPr>
        <w:pStyle w:val="WW-BodyText2"/>
        <w:widowControl/>
        <w:ind w:hanging="540" w:start="540" w:end="0"/>
        <w:rPr/>
      </w:pPr>
      <w:r>
        <w:rPr/>
        <w:t xml:space="preserve">16.1 </w:t>
        <w:tab/>
        <w:t xml:space="preserve">This agreement shall become effective upon execution by the Customer and PG&amp;E. </w:t>
      </w:r>
    </w:p>
    <w:p>
      <w:pPr>
        <w:pStyle w:val="WW-BodyText2"/>
        <w:widowControl/>
        <w:ind w:hanging="540" w:start="540" w:end="0"/>
        <w:rPr/>
      </w:pPr>
      <w:r>
        <w:rPr/>
      </w:r>
    </w:p>
    <w:p>
      <w:pPr>
        <w:pStyle w:val="BodyText2"/>
        <w:widowControl/>
        <w:ind w:hanging="540" w:start="540" w:end="0"/>
        <w:rPr/>
      </w:pPr>
      <w:r>
        <w:rPr/>
        <w:t xml:space="preserve">16.2 </w:t>
        <w:tab/>
        <w:t xml:space="preserve">If Customer is a corporation, partnership, joint venture or a group of individuals, the subscriber hereto represents that he or she has the authority to bind said corporation, partners, joint venture or individuals. </w:t>
      </w:r>
    </w:p>
    <w:p>
      <w:pPr>
        <w:pStyle w:val="Normal"/>
        <w:widowControl/>
        <w:ind w:hanging="540" w:start="540" w:end="0"/>
        <w:jc w:val="both"/>
        <w:rPr>
          <w:rFonts w:ascii="Arial" w:hAnsi="Arial" w:eastAsia="Arial" w:cs="Arial"/>
          <w:b/>
          <w:bCs/>
        </w:rPr>
      </w:pPr>
      <w:r>
        <w:rPr>
          <w:rFonts w:eastAsia="Arial" w:cs="Arial" w:ascii="Arial" w:hAnsi="Arial"/>
          <w:b/>
          <w:bCs/>
        </w:rPr>
      </w:r>
    </w:p>
    <w:p>
      <w:pPr>
        <w:pStyle w:val="Normal"/>
        <w:widowControl/>
        <w:ind w:hanging="540" w:start="540" w:end="0"/>
        <w:jc w:val="both"/>
        <w:rPr>
          <w:rFonts w:ascii="Arial" w:hAnsi="Arial" w:eastAsia="Arial" w:cs="Arial"/>
          <w:b/>
          <w:bCs/>
        </w:rPr>
      </w:pPr>
      <w:r>
        <w:rPr>
          <w:rFonts w:eastAsia="Arial" w:cs="Arial" w:ascii="Arial" w:hAnsi="Arial"/>
          <w:b/>
          <w:bCs/>
        </w:rPr>
        <w:t>17.</w:t>
        <w:tab/>
        <w:t>Commission Jurisdiction</w:t>
      </w:r>
    </w:p>
    <w:p>
      <w:pPr>
        <w:pStyle w:val="Normal"/>
        <w:widowControl/>
        <w:ind w:start="540" w:end="0"/>
        <w:jc w:val="both"/>
        <w:rPr>
          <w:rFonts w:ascii="Arial" w:hAnsi="Arial" w:eastAsia="Arial" w:cs="Arial"/>
        </w:rPr>
      </w:pPr>
      <w:r>
        <w:rPr>
          <w:rFonts w:eastAsia="Arial" w:cs="Arial" w:ascii="Arial" w:hAnsi="Arial"/>
        </w:rPr>
        <w:t>This agreement shall be subject to all of PG&amp;E’s applicable tariff schedules on file with and authorized by the Commission and shall at all times be subject to such changes or modifications as the Commission may direct from time to time in the exercise of its jurisdiction.</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pPr>
      <w:r>
        <w:rPr>
          <w:rFonts w:eastAsia="Arial" w:cs="Arial" w:ascii="Arial" w:hAnsi="Arial"/>
          <w:b/>
          <w:bCs/>
        </w:rPr>
        <w:t>CUSTOMER</w:t>
      </w:r>
      <w:r>
        <w:rPr>
          <w:rFonts w:eastAsia="Arial" w:cs="Arial" w:ascii="Arial" w:hAnsi="Arial"/>
        </w:rPr>
        <w:t>:</w:t>
        <w:tab/>
        <w:tab/>
        <w:tab/>
        <w:tab/>
        <w:tab/>
      </w:r>
      <w:r>
        <w:rPr>
          <w:rFonts w:eastAsia="Arial" w:cs="Arial" w:ascii="Arial" w:hAnsi="Arial"/>
          <w:b/>
          <w:bCs/>
        </w:rPr>
        <w:t>PACIFIC GAS AND ELECTRIC COMPANY</w:t>
      </w:r>
      <w:r>
        <w:rPr>
          <w:rFonts w:eastAsia="Arial" w:cs="Arial" w:ascii="Arial" w:hAnsi="Arial"/>
        </w:rPr>
        <w:t>:</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w:t>
        <w:tab/>
        <w:t>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(Type or print name)</w:t>
        <w:tab/>
        <w:tab/>
        <w:tab/>
        <w:tab/>
        <w:t>(Type or print name)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BY: ______________________________</w:t>
        <w:tab/>
        <w:t>BY: 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b/>
        <w:t>(Signature)</w:t>
        <w:tab/>
        <w:tab/>
        <w:tab/>
        <w:tab/>
        <w:tab/>
        <w:t>(Signature)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w:t>
        <w:tab/>
        <w:tab/>
        <w:t>For Manager, _________________ Division</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b/>
        <w:t>(Title)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b/>
        <w:t>(Telephone)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Date: ____________________________</w:t>
        <w:tab/>
        <w:t>Date: 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t>Mailing Address: 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sectPr>
      <w:footerReference w:type="default" r:id="rId3"/>
      <w:type w:val="nextPage"/>
      <w:pgSz w:w="12240" w:h="15840"/>
      <w:pgMar w:left="1440" w:right="1800" w:gutter="0" w:header="0" w:top="1152" w:footer="720"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Narrow">
    <w:charset w:val="01"/>
    <w:family w:val="swiss"/>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eastAsia="Arial" w:cs="Arial"/>
        <w:sz w:val="22"/>
        <w:szCs w:val="22"/>
      </w:rPr>
    </w:pPr>
    <w:r>
      <w:rPr>
        <w:rFonts w:eastAsia="Arial" w:cs="Arial" w:ascii="Arial" w:hAnsi="Arial"/>
        <w:sz w:val="22"/>
        <w:szCs w:val="22"/>
      </w:rPr>
      <w:t>Form 79-970</w:t>
    </w:r>
  </w:p>
  <w:p>
    <w:pPr>
      <w:pStyle w:val="Footer"/>
      <w:jc w:val="end"/>
      <w:rPr/>
    </w:pPr>
    <w:r>
      <w:rPr>
        <w:rFonts w:eastAsia="Arial" w:cs="Arial" w:ascii="Arial" w:hAnsi="Arial"/>
        <w:sz w:val="22"/>
        <w:szCs w:val="22"/>
      </w:rPr>
      <w:t xml:space="preserve">Page </w:t>
    </w:r>
    <w:r>
      <w:rPr>
        <w:rStyle w:val="PageNumber"/>
        <w:rFonts w:eastAsia="Arial" w:cs="Arial" w:ascii="Arial" w:hAnsi="Arial"/>
        <w:sz w:val="22"/>
        <w:szCs w:val="22"/>
      </w:rPr>
      <w:fldChar w:fldCharType="begin"/>
    </w:r>
    <w:r>
      <w:rPr>
        <w:rStyle w:val="PageNumber"/>
        <w:sz w:val="22"/>
        <w:szCs w:val="22"/>
        <w:rFonts w:eastAsia="Arial" w:cs="Arial" w:ascii="Arial" w:hAnsi="Arial"/>
      </w:rPr>
      <w:instrText xml:space="preserve"> PAGE </w:instrText>
    </w:r>
    <w:r>
      <w:rPr>
        <w:rStyle w:val="PageNumber"/>
        <w:sz w:val="22"/>
        <w:szCs w:val="22"/>
        <w:rFonts w:eastAsia="Arial" w:cs="Arial" w:ascii="Arial" w:hAnsi="Arial"/>
      </w:rPr>
      <w:fldChar w:fldCharType="separate"/>
    </w:r>
    <w:r>
      <w:rPr>
        <w:rStyle w:val="PageNumber"/>
        <w:sz w:val="22"/>
        <w:szCs w:val="22"/>
        <w:rFonts w:eastAsia="Arial" w:cs="Arial" w:ascii="Arial" w:hAnsi="Arial"/>
      </w:rPr>
      <w:t>6</w:t>
    </w:r>
    <w:r>
      <w:rPr>
        <w:rStyle w:val="PageNumber"/>
        <w:sz w:val="22"/>
        <w:szCs w:val="22"/>
        <w:rFonts w:eastAsia="Arial" w:cs="Arial" w:ascii="Arial" w:hAnsi="Arial"/>
      </w:rPr>
      <w:fldChar w:fldCharType="end"/>
    </w:r>
    <w:r>
      <w:rPr>
        <w:rStyle w:val="PageNumber"/>
        <w:rFonts w:eastAsia="Arial" w:cs="Arial" w:ascii="Arial" w:hAnsi="Arial"/>
        <w:sz w:val="22"/>
        <w:szCs w:val="22"/>
      </w:rPr>
      <w:t xml:space="preserve"> of 5</w:t>
    </w:r>
  </w:p>
  <w:p>
    <w:pPr>
      <w:pStyle w:val="Footer"/>
      <w:jc w:val="end"/>
      <w:rPr/>
    </w:pPr>
    <w:r>
      <w:rPr>
        <w:rStyle w:val="PageNumber"/>
        <w:rFonts w:eastAsia="Arial" w:cs="Arial" w:ascii="Arial" w:hAnsi="Arial"/>
        <w:sz w:val="22"/>
        <w:szCs w:val="22"/>
      </w:rPr>
      <w:t>Filed: July 17,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3.%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decimal"/>
      <w:lvlText w:val="3.%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7"/>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360"/>
        </w:tabs>
        <w:ind w:start="360" w:hanging="360"/>
      </w:pPr>
    </w:lvl>
    <w:lvl w:ilvl="1">
      <w:start w:val="1"/>
      <w:numFmt w:val="lowerLetter"/>
      <w:lvlText w:val="%2"/>
      <w:lvlJc w:val="start"/>
      <w:pPr>
        <w:tabs>
          <w:tab w:val="num" w:pos="360"/>
        </w:tabs>
        <w:ind w:start="36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360"/>
        </w:tabs>
        <w:ind w:start="360" w:hanging="360"/>
      </w:pPr>
    </w:lvl>
    <w:lvl w:ilvl="1">
      <w:start w:val="1"/>
      <w:numFmt w:val="lowerLetter"/>
      <w:lvlText w:val="%2"/>
      <w:lvlJc w:val="start"/>
      <w:pPr>
        <w:tabs>
          <w:tab w:val="num" w:pos="360"/>
        </w:tabs>
        <w:ind w:start="36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center"/>
      <w:outlineLvl w:val="0"/>
    </w:pPr>
    <w:rPr>
      <w:rFonts w:ascii="Arial Narrow" w:hAnsi="Arial Narrow" w:eastAsia="Arial Narrow" w:cs="Arial Narrow"/>
      <w:b/>
      <w:bCs/>
      <w:caps/>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tabs>
        <w:tab w:val="left" w:pos="720" w:leader="none"/>
      </w:tabs>
      <w:ind w:hanging="634" w:start="634" w:end="0"/>
    </w:pPr>
    <w:rPr>
      <w:rFonts w:ascii="Arial" w:hAnsi="Arial" w:eastAsia="Arial" w:cs="Arial"/>
      <w:sz w:val="24"/>
      <w:szCs w:val="24"/>
    </w:rPr>
  </w:style>
  <w:style w:type="paragraph" w:styleId="11">
    <w:name w:val="1.1"/>
    <w:basedOn w:val="Normal"/>
    <w:qFormat/>
    <w:pPr>
      <w:tabs>
        <w:tab w:val="clear" w:pos="720"/>
        <w:tab w:val="left" w:pos="1440" w:leader="none"/>
      </w:tabs>
      <w:ind w:hanging="634" w:start="1267" w:end="0"/>
    </w:pPr>
    <w:rPr>
      <w:rFonts w:ascii="Arial" w:hAnsi="Arial" w:eastAsia="Arial" w:cs="Arial"/>
      <w:sz w:val="24"/>
      <w:szCs w:val="24"/>
    </w:rPr>
  </w:style>
  <w:style w:type="paragraph" w:styleId="111">
    <w:name w:val="1.1.1"/>
    <w:basedOn w:val="Normal"/>
    <w:qFormat/>
    <w:pPr>
      <w:tabs>
        <w:tab w:val="clear" w:pos="720"/>
        <w:tab w:val="left" w:pos="2160" w:leader="none"/>
      </w:tabs>
      <w:ind w:hanging="806" w:start="2074" w:end="0"/>
    </w:pPr>
    <w:rPr>
      <w:rFonts w:ascii="Arial" w:hAnsi="Arial" w:eastAsia="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tabs>
        <w:tab w:val="clear" w:pos="720"/>
        <w:tab w:val="left" w:pos="0" w:leader="none"/>
      </w:tabs>
      <w:ind w:hanging="0" w:start="360" w:end="0"/>
      <w:jc w:val="both"/>
    </w:pPr>
    <w:rPr>
      <w:rFonts w:ascii="Arial" w:hAnsi="Arial" w:eastAsia="Arial" w:cs="Arial"/>
    </w:rPr>
  </w:style>
  <w:style w:type="paragraph" w:styleId="BodyTextIndent2">
    <w:name w:val="Body Text Indent 2"/>
    <w:basedOn w:val="Normal"/>
    <w:qFormat/>
    <w:pPr>
      <w:tabs>
        <w:tab w:val="clear" w:pos="720"/>
        <w:tab w:val="left" w:pos="360" w:leader="none"/>
      </w:tabs>
      <w:ind w:hanging="0" w:start="360" w:end="0"/>
      <w:jc w:val="both"/>
    </w:pPr>
    <w:rPr>
      <w:rFonts w:ascii="Arial" w:hAnsi="Arial" w:eastAsia="Arial" w:cs="Arial"/>
      <w:b/>
      <w:bCs/>
    </w:rPr>
  </w:style>
  <w:style w:type="paragraph" w:styleId="WW-BodyText2">
    <w:name w:val="WW-Body Text 2"/>
    <w:basedOn w:val="Normal"/>
    <w:qFormat/>
    <w:pPr>
      <w:tabs>
        <w:tab w:val="clear" w:pos="720"/>
        <w:tab w:val="left" w:pos="0" w:leader="none"/>
      </w:tabs>
      <w:ind w:hanging="0" w:start="360" w:end="0"/>
      <w:jc w:val="both"/>
    </w:pPr>
    <w:rPr>
      <w:rFonts w:ascii="Arial" w:hAnsi="Arial" w:eastAsia="Arial" w:cs="Arial"/>
    </w:rPr>
  </w:style>
  <w:style w:type="paragraph" w:styleId="WW-BodyText21">
    <w:name w:val="WW-Body Text 21"/>
    <w:basedOn w:val="Normal"/>
    <w:qFormat/>
    <w:pPr>
      <w:widowControl/>
      <w:tabs>
        <w:tab w:val="clear" w:pos="720"/>
        <w:tab w:val="left" w:pos="360" w:leader="none"/>
      </w:tabs>
      <w:ind w:hanging="540" w:start="540" w:end="0"/>
      <w:jc w:val="both"/>
    </w:pPr>
    <w:rPr>
      <w:rFonts w:ascii="Arial" w:hAnsi="Arial" w:eastAsia="Arial" w:cs="Arial"/>
    </w:rPr>
  </w:style>
  <w:style w:type="paragraph" w:styleId="BodyTextIndent3">
    <w:name w:val="Body Text Indent 3"/>
    <w:basedOn w:val="Normal"/>
    <w:qFormat/>
    <w:pPr>
      <w:ind w:firstLine="540" w:start="540" w:end="0"/>
      <w:jc w:val="both"/>
    </w:pPr>
    <w:rPr>
      <w:rFonts w:ascii="Arial" w:hAnsi="Arial" w:eastAsia="Arial" w:cs="Arial"/>
      <w:spacing w:val="-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2000-07-17T16:14:00Z</dcterms:created>
  <dc:creator>Steven W Frank</dc:creator>
  <dc:description/>
  <dc:language>en-CA</dc:language>
  <cp:lastModifiedBy>Susan Shaw</cp:lastModifiedBy>
  <cp:lastPrinted>2000-07-17T12:23:00Z</cp:lastPrinted>
  <dcterms:modified xsi:type="dcterms:W3CDTF">2000-07-17T16:54:00Z</dcterms:modified>
  <cp:revision>3</cp:revision>
  <dc:subject/>
  <dc:title>...</dc:title>
</cp:coreProperties>
</file>