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rPr/>
      </w:pPr>
      <w:r>
        <w:rPr/>
      </w:r>
    </w:p>
    <w:p>
      <w:pPr>
        <w:pStyle w:val="Normal"/>
        <w:widowControl/>
        <w:rPr/>
      </w:pPr>
      <w:r>
        <w:rPr/>
        <w:t>August 4, 2000</w:t>
      </w:r>
    </w:p>
    <w:p>
      <w:pPr>
        <w:pStyle w:val="Normal"/>
        <w:widowControl/>
        <w:rPr/>
      </w:pPr>
      <w:r>
        <w:rPr/>
      </w:r>
    </w:p>
    <w:p>
      <w:pPr>
        <w:pStyle w:val="Normal"/>
        <w:widowControl/>
        <w:rPr/>
      </w:pPr>
      <w:r>
        <w:rPr/>
      </w:r>
    </w:p>
    <w:p>
      <w:pPr>
        <w:pStyle w:val="Normal"/>
        <w:widowControl/>
        <w:rPr>
          <w:b/>
          <w:bCs/>
        </w:rPr>
      </w:pPr>
      <w:r>
        <w:rPr>
          <w:b/>
          <w:bCs/>
        </w:rPr>
        <w:t>ADVICE 2251-G-A</w:t>
      </w:r>
    </w:p>
    <w:p>
      <w:pPr>
        <w:pStyle w:val="Normal"/>
        <w:widowControl/>
        <w:rPr/>
      </w:pPr>
      <w:r>
        <w:rPr/>
      </w:r>
    </w:p>
    <w:p>
      <w:pPr>
        <w:pStyle w:val="Header"/>
        <w:widowControl/>
        <w:tabs>
          <w:tab w:val="clear" w:pos="4320"/>
          <w:tab w:val="clear" w:pos="8640"/>
        </w:tabs>
        <w:rPr/>
      </w:pPr>
      <w:r>
        <w:rPr/>
        <w:t>Public Utilities Commission of the State of California</w:t>
      </w:r>
    </w:p>
    <w:p>
      <w:pPr>
        <w:pStyle w:val="Normal"/>
        <w:widowControl/>
        <w:rPr/>
      </w:pPr>
      <w:r>
        <w:rPr/>
      </w:r>
    </w:p>
    <w:p>
      <w:pPr>
        <w:pStyle w:val="Normal"/>
        <w:widowControl/>
        <w:jc w:val="both"/>
        <w:rPr/>
      </w:pPr>
      <w:r>
        <w:rPr/>
        <w:t>Pacific Gas and Electric Company (PG&amp;E) hereby submits this supplemental advice filing to revise gas tariffs filed in Advice 2251-G dated July 17, 2000. The affected tariff sheets are listed on the enclosed Attachment I.</w:t>
      </w:r>
    </w:p>
    <w:p>
      <w:pPr>
        <w:pStyle w:val="Header"/>
        <w:widowControl/>
        <w:tabs>
          <w:tab w:val="clear" w:pos="4320"/>
          <w:tab w:val="clear" w:pos="8640"/>
        </w:tabs>
        <w:rPr/>
      </w:pPr>
      <w:r>
        <w:rPr/>
      </w:r>
    </w:p>
    <w:p>
      <w:pPr>
        <w:pStyle w:val="Normal"/>
        <w:widowControl/>
        <w:jc w:val="both"/>
        <w:rPr/>
      </w:pPr>
      <w:r>
        <w:rPr/>
        <w:t>The purpose of this supplemental filing is to revise Form 79-969--</w:t>
      </w:r>
      <w:r>
        <w:rPr>
          <w:u w:val="single"/>
        </w:rPr>
        <w:t>Gas Meter Ownership Pilot Agreement</w:t>
      </w:r>
      <w:r>
        <w:rPr/>
        <w:t>, filed in Advice 2251-G. Advice 2251-G filed new agreement forms for a pilot program for customer ownership of new gas meters and meter add-on devices in compliance with Decision (D.) 00-05-049 dated May 18, 2000.  In D. 00-05-049, the Commission approved a proposed Settlement Agreement submitted by PG&amp;E and Settlement Parties in compliance with D. 99-07-015 dated July 8, 1999.</w:t>
      </w:r>
    </w:p>
    <w:p>
      <w:pPr>
        <w:pStyle w:val="Normal"/>
        <w:widowControl/>
        <w:rPr/>
      </w:pPr>
      <w:r>
        <w:rPr/>
      </w:r>
    </w:p>
    <w:p>
      <w:pPr>
        <w:pStyle w:val="BodyText"/>
        <w:widowControl/>
        <w:rPr/>
      </w:pPr>
      <w:r>
        <w:rPr/>
        <w:t>Based on discussions with interested parties, PG&amp;E has revised Form 79-969 to provide an additional option for customer ownership of their metering facility.  Form 79-969, as filed in Advice 2251-G, limited customer ownership to one or more of the following pieces of equipment: the meter itself, the electronic correctors, or automated meter reading (AMR) devices.  No other equipment in the meter set would have been eligible for customer ownership.  In contrast, the revised agreement expands customers' options by allowing them to own the entire meter set, including all equipment downstream of the shutoff valve servicing the customer and upstream of the customer's piping. (See Form 79-969, Section 2.)</w:t>
      </w:r>
    </w:p>
    <w:p>
      <w:pPr>
        <w:pStyle w:val="Normal"/>
        <w:widowControl/>
        <w:jc w:val="both"/>
        <w:rPr/>
      </w:pPr>
      <w:r>
        <w:rPr/>
      </w:r>
    </w:p>
    <w:p>
      <w:pPr>
        <w:pStyle w:val="BodyText"/>
        <w:widowControl/>
        <w:rPr/>
      </w:pPr>
      <w:r>
        <w:rPr/>
        <w:t>In order to facilitate customer ownership of this expanded assemblage of meter-related equipment, PG&amp;E will engineer, purchase, and construct the meter set.  To address possible physical differences between customer loads and meter locations, PG&amp;E and customers will agree in writing to details of the construction, maintenance and operation (CM&amp;O) of the customer-owned equipment.  (See e.g., Section 1.1.) Any resulting revenues will be booked to PG&amp;E's "Other Operating Revenues" account. Consistent with PG&amp;E's role in constructing the meter set, certain customer obligations have been removed from this revised version of Form 79-969. (See Sections 3 and 4.) Also, former Section 6 for customer charges has been omitted in the revised Form 79-969 since CM&amp;O details shall be agreed to in writing, as necessary, by PG&amp;E and the customer.</w:t>
      </w:r>
    </w:p>
    <w:p>
      <w:pPr>
        <w:pStyle w:val="Header"/>
        <w:widowControl/>
        <w:tabs>
          <w:tab w:val="clear" w:pos="4320"/>
          <w:tab w:val="clear" w:pos="8640"/>
        </w:tabs>
        <w:rPr/>
      </w:pPr>
      <w:r>
        <w:rPr/>
      </w:r>
    </w:p>
    <w:p>
      <w:pPr>
        <w:pStyle w:val="Normal"/>
        <w:widowControl/>
        <w:jc w:val="both"/>
        <w:rPr/>
      </w:pPr>
      <w:r>
        <w:rPr/>
        <w:t>This filing will not affect any other rate or charge, cause the withdrawal of service, or conflict with any other rate schedule or rule.</w:t>
      </w:r>
    </w:p>
    <w:p>
      <w:pPr>
        <w:pStyle w:val="Normal"/>
        <w:widowControl/>
        <w:jc w:val="both"/>
        <w:rPr/>
      </w:pPr>
      <w:r>
        <w:rPr/>
        <w:t xml:space="preserve">In accordance with Section 1.7 of the Settlement Agreement, the tariff changes filed in this advice letter shall be effective at such time as indicated in a Commission decision, resolution, or letter of approval. PG&amp;E requests that the Commission approve this filing effective </w:t>
      </w:r>
      <w:r>
        <w:rPr>
          <w:b/>
          <w:bCs/>
        </w:rPr>
        <w:t>October 1, 2000</w:t>
      </w:r>
      <w:r>
        <w:rPr/>
        <w:t>, or on the first day of the month following approval if such approval is made after October 1, 2000.</w:t>
      </w:r>
    </w:p>
    <w:p>
      <w:pPr>
        <w:pStyle w:val="Normal"/>
        <w:widowControl/>
        <w:jc w:val="both"/>
        <w:rPr/>
      </w:pPr>
      <w:r>
        <w:rPr/>
      </w:r>
    </w:p>
    <w:p>
      <w:pPr>
        <w:pStyle w:val="Normal"/>
        <w:widowControl/>
        <w:jc w:val="both"/>
        <w:rPr/>
      </w:pPr>
      <w:r>
        <w:rPr/>
        <w:t xml:space="preserve">The protest period for Advice 2251-G ends on August 7, 2000.  PG&amp;E requests that the protest period for this supplemental filing be extended by </w:t>
      </w:r>
      <w:r>
        <w:rPr>
          <w:b/>
          <w:bCs/>
        </w:rPr>
        <w:t>seven (7) days</w:t>
      </w:r>
      <w:r>
        <w:rPr/>
        <w:t xml:space="preserve"> after the date of this filing, which is </w:t>
      </w:r>
      <w:r>
        <w:rPr>
          <w:b/>
          <w:bCs/>
        </w:rPr>
        <w:t>August 11, 2000.</w:t>
      </w:r>
      <w:r>
        <w:rPr/>
        <w:t xml:space="preserve">  Protests should be sent by U.S. mail and via facsimile to:</w:t>
      </w:r>
    </w:p>
    <w:p>
      <w:pPr>
        <w:pStyle w:val="Normal"/>
        <w:widowControl/>
        <w:ind w:firstLine="720" w:start="2160" w:end="0"/>
        <w:rPr/>
      </w:pPr>
      <w:r>
        <w:rPr/>
        <w:tab/>
        <w:t>IMC Branch Chief</w:t>
      </w:r>
    </w:p>
    <w:p>
      <w:pPr>
        <w:pStyle w:val="Normal"/>
        <w:widowControl/>
        <w:ind w:start="2160" w:end="0"/>
        <w:rPr/>
      </w:pPr>
      <w:r>
        <w:rPr/>
        <w:tab/>
        <w:tab/>
        <w:t>Energy Division</w:t>
      </w:r>
    </w:p>
    <w:p>
      <w:pPr>
        <w:pStyle w:val="Normal"/>
        <w:widowControl/>
        <w:ind w:firstLine="720" w:start="2160" w:end="0"/>
        <w:rPr/>
      </w:pPr>
      <w:r>
        <w:rPr/>
        <w:tab/>
        <w:t>California Public Utilities Commission</w:t>
      </w:r>
    </w:p>
    <w:p>
      <w:pPr>
        <w:pStyle w:val="Normal"/>
        <w:widowControl/>
        <w:ind w:start="2160" w:end="0"/>
        <w:rPr/>
      </w:pPr>
      <w:r>
        <w:rPr/>
        <w:tab/>
        <w:tab/>
        <w:t>505 Van Ness Avenue, Room 4002</w:t>
      </w:r>
    </w:p>
    <w:p>
      <w:pPr>
        <w:pStyle w:val="Normal"/>
        <w:widowControl/>
        <w:ind w:start="2160" w:end="0"/>
        <w:rPr/>
      </w:pPr>
      <w:r>
        <w:rPr/>
        <w:tab/>
        <w:tab/>
        <w:t>San Francisco, California  94102</w:t>
      </w:r>
    </w:p>
    <w:p>
      <w:pPr>
        <w:pStyle w:val="Normal"/>
        <w:widowControl/>
        <w:ind w:start="2160" w:end="0"/>
        <w:rPr/>
      </w:pPr>
      <w:r>
        <w:rPr/>
        <w:tab/>
        <w:tab/>
        <w:t>Facsimile: (415) 703-2200</w:t>
      </w:r>
    </w:p>
    <w:p>
      <w:pPr>
        <w:pStyle w:val="Normal"/>
        <w:widowControl/>
        <w:rPr/>
      </w:pPr>
      <w:r>
        <w:rPr/>
      </w:r>
    </w:p>
    <w:p>
      <w:pPr>
        <w:pStyle w:val="BodyText2"/>
        <w:rPr>
          <w:sz w:val="24"/>
          <w:szCs w:val="24"/>
        </w:rPr>
      </w:pPr>
      <w:r>
        <w:rPr>
          <w:sz w:val="24"/>
          <w:szCs w:val="24"/>
        </w:rPr>
        <w:t>Copies should also be mailed to the attention of Director, Energy Division, and Jerry Royer, Energy Division, at the address above. A copy of the protest should be sent by U.S. mail and via facsimile to:</w:t>
      </w:r>
    </w:p>
    <w:p>
      <w:pPr>
        <w:pStyle w:val="BodyText2"/>
        <w:rPr>
          <w:sz w:val="24"/>
          <w:szCs w:val="24"/>
        </w:rPr>
      </w:pPr>
      <w:r>
        <w:rPr>
          <w:sz w:val="24"/>
          <w:szCs w:val="24"/>
        </w:rPr>
      </w:r>
    </w:p>
    <w:p>
      <w:pPr>
        <w:pStyle w:val="BodyText2"/>
        <w:ind w:firstLine="720" w:start="2880" w:end="0"/>
        <w:rPr>
          <w:sz w:val="24"/>
          <w:szCs w:val="24"/>
        </w:rPr>
      </w:pPr>
      <w:r>
        <w:rPr>
          <w:sz w:val="24"/>
          <w:szCs w:val="24"/>
        </w:rPr>
        <w:t>Pacific Gas and Electric Company</w:t>
      </w:r>
    </w:p>
    <w:p>
      <w:pPr>
        <w:pStyle w:val="Normal"/>
        <w:widowControl/>
        <w:ind w:start="3600" w:end="0"/>
        <w:jc w:val="both"/>
        <w:rPr/>
      </w:pPr>
      <w:r>
        <w:rPr/>
        <w:t>Attention: Les Guliasi</w:t>
      </w:r>
    </w:p>
    <w:p>
      <w:pPr>
        <w:pStyle w:val="Normal"/>
        <w:widowControl/>
        <w:ind w:start="3600" w:end="0"/>
        <w:jc w:val="both"/>
        <w:rPr/>
      </w:pPr>
      <w:r>
        <w:rPr/>
        <w:t>Manager, Regulatory Relations</w:t>
      </w:r>
    </w:p>
    <w:p>
      <w:pPr>
        <w:pStyle w:val="Normal"/>
        <w:widowControl/>
        <w:ind w:start="3600" w:end="0"/>
        <w:jc w:val="both"/>
        <w:rPr/>
      </w:pPr>
      <w:r>
        <w:rPr/>
        <w:t>77 Beale Street, Mail Code B10C</w:t>
      </w:r>
    </w:p>
    <w:p>
      <w:pPr>
        <w:pStyle w:val="Normal"/>
        <w:widowControl/>
        <w:ind w:start="3600" w:end="0"/>
        <w:jc w:val="both"/>
        <w:rPr/>
      </w:pPr>
      <w:r>
        <w:rPr/>
        <w:t>P.O. Box 770000</w:t>
      </w:r>
    </w:p>
    <w:p>
      <w:pPr>
        <w:pStyle w:val="Normal"/>
        <w:widowControl/>
        <w:ind w:start="3600" w:end="0"/>
        <w:jc w:val="both"/>
        <w:rPr/>
      </w:pPr>
      <w:r>
        <w:rPr/>
        <w:t>San Francisco, California 94177</w:t>
      </w:r>
    </w:p>
    <w:p>
      <w:pPr>
        <w:pStyle w:val="Normal"/>
        <w:widowControl/>
        <w:ind w:start="3600" w:end="0"/>
        <w:jc w:val="both"/>
        <w:rPr/>
      </w:pPr>
      <w:r>
        <w:rPr/>
        <w:t>Facsimile:  (415) 973-7226</w:t>
      </w:r>
    </w:p>
    <w:p>
      <w:pPr>
        <w:pStyle w:val="Normal"/>
        <w:widowControl/>
        <w:jc w:val="both"/>
        <w:rPr/>
      </w:pPr>
      <w:r>
        <w:rPr/>
      </w:r>
    </w:p>
    <w:p>
      <w:pPr>
        <w:pStyle w:val="Normal"/>
        <w:widowControl/>
        <w:jc w:val="both"/>
        <w:rPr/>
      </w:pPr>
      <w:r>
        <w:rPr/>
        <w:t>The protest shall set forth the grounds upon which it is based, and shall be submitted expeditiously.  There is no restriction on who may file a protest.</w:t>
      </w:r>
    </w:p>
    <w:p>
      <w:pPr>
        <w:pStyle w:val="Normal"/>
        <w:widowControl/>
        <w:jc w:val="both"/>
        <w:rPr/>
      </w:pPr>
      <w:r>
        <w:rPr/>
      </w:r>
    </w:p>
    <w:p>
      <w:pPr>
        <w:pStyle w:val="Normal"/>
        <w:widowControl/>
        <w:jc w:val="both"/>
        <w:rPr/>
      </w:pPr>
      <w:r>
        <w:rPr/>
        <w:t>In accordance with Section III, Paragraph G, of General Order 96-A, PG&amp;E is mailing copies of this advice letter to the utilities and interested parties shown on the attached mailing list and the service list for I. 99-07-003. For mailing list changes, please telephone Nelia Avendano at (415) 973-3529.</w:t>
      </w:r>
    </w:p>
    <w:p>
      <w:pPr>
        <w:pStyle w:val="Normal"/>
        <w:widowControl/>
        <w:rPr/>
      </w:pPr>
      <w:r>
        <w:rPr/>
      </w:r>
    </w:p>
    <w:p>
      <w:pPr>
        <w:pStyle w:val="Normal"/>
        <w:widowControl/>
        <w:rPr/>
      </w:pPr>
      <w:r>
        <w:rPr/>
      </w:r>
    </w:p>
    <w:p>
      <w:pPr>
        <w:pStyle w:val="Normal"/>
        <w:widowControl/>
        <w:rPr/>
      </w:pPr>
      <w:r>
        <w:rPr/>
      </w:r>
    </w:p>
    <w:p>
      <w:pPr>
        <w:pStyle w:val="Header"/>
        <w:widowControl/>
        <w:tabs>
          <w:tab w:val="clear" w:pos="4320"/>
          <w:tab w:val="clear" w:pos="8640"/>
        </w:tabs>
        <w:rPr/>
      </w:pPr>
      <w:r>
        <w:rPr/>
        <w:t>Vice President – Regulatory Relations</w:t>
      </w:r>
    </w:p>
    <w:p>
      <w:pPr>
        <w:pStyle w:val="Normal"/>
        <w:widowControl/>
        <w:rPr/>
      </w:pPr>
      <w:r>
        <w:rPr/>
      </w:r>
    </w:p>
    <w:p>
      <w:pPr>
        <w:pStyle w:val="Normal"/>
        <w:widowControl/>
        <w:rPr>
          <w:sz w:val="22"/>
          <w:szCs w:val="22"/>
        </w:rPr>
      </w:pPr>
      <w:r>
        <w:rPr>
          <w:sz w:val="22"/>
          <w:szCs w:val="22"/>
        </w:rPr>
        <w:t>Attachments</w:t>
      </w:r>
    </w:p>
    <w:p>
      <w:pPr>
        <w:pStyle w:val="Normal"/>
        <w:widowControl/>
        <w:rPr>
          <w:sz w:val="22"/>
          <w:szCs w:val="22"/>
        </w:rPr>
      </w:pPr>
      <w:r>
        <w:rPr>
          <w:sz w:val="22"/>
          <w:szCs w:val="22"/>
        </w:rPr>
      </w:r>
    </w:p>
    <w:p>
      <w:pPr>
        <w:pStyle w:val="Header"/>
        <w:widowControl/>
        <w:tabs>
          <w:tab w:val="clear" w:pos="4320"/>
          <w:tab w:val="clear" w:pos="8640"/>
        </w:tabs>
        <w:rPr>
          <w:sz w:val="22"/>
          <w:szCs w:val="22"/>
        </w:rPr>
      </w:pPr>
      <w:r>
        <w:rPr>
          <w:sz w:val="22"/>
          <w:szCs w:val="22"/>
        </w:rPr>
        <w:t>cc:  Service List (I. 99-07-003)—Gas Settlement Agreement OII</w:t>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end"/>
      <w:rPr/>
    </w:pPr>
    <w:r>
      <w:rPr/>
      <w:t>ID U39G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2"/>
        <w:szCs w:val="22"/>
      </w:rPr>
    </w:pPr>
    <w:r>
      <w:rPr>
        <w:sz w:val="22"/>
        <w:szCs w:val="22"/>
      </w:rPr>
      <w:t>ID U 39G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Page 2</w:t>
    </w:r>
  </w:p>
  <w:p>
    <w:pPr>
      <w:pStyle w:val="Header"/>
      <w:rPr>
        <w:sz w:val="22"/>
        <w:szCs w:val="22"/>
      </w:rPr>
    </w:pPr>
    <w:r>
      <w:rPr>
        <w:sz w:val="22"/>
        <w:szCs w:val="22"/>
      </w:rPr>
      <w:t>Public Utilities Commission</w:t>
    </w:r>
  </w:p>
  <w:p>
    <w:pPr>
      <w:pStyle w:val="Header"/>
      <w:rPr>
        <w:sz w:val="22"/>
        <w:szCs w:val="22"/>
      </w:rPr>
    </w:pPr>
    <w:r>
      <w:rPr>
        <w:sz w:val="22"/>
        <w:szCs w:val="22"/>
      </w:rPr>
      <w:t>Advice 2251-G-A</w:t>
    </w:r>
  </w:p>
  <w:p>
    <w:pPr>
      <w:pStyle w:val="Header"/>
      <w:rPr>
        <w:sz w:val="22"/>
        <w:szCs w:val="22"/>
      </w:rPr>
    </w:pPr>
    <w:r>
      <w:rPr>
        <w:sz w:val="22"/>
        <w:szCs w:val="22"/>
      </w:rPr>
      <w:t>August 4, 2000</w:t>
    </w:r>
  </w:p>
  <w:p>
    <w:pPr>
      <w:pStyle w:val="Header"/>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2"/>
      <w:szCs w:val="22"/>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2000-08-04T13:50:00Z</dcterms:created>
  <dc:creator>Steven W Frank</dc:creator>
  <dc:description/>
  <dc:language>en-CA</dc:language>
  <cp:lastModifiedBy>Susan Shaw</cp:lastModifiedBy>
  <cp:lastPrinted>2000-08-04T11:28:00Z</cp:lastPrinted>
  <dcterms:modified xsi:type="dcterms:W3CDTF">2000-08-04T15:59:00Z</dcterms:modified>
  <cp:revision>5</cp:revision>
  <dc:subject/>
  <dc:title>ADVICE LETTER: </dc:title>
</cp:coreProperties>
</file>