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 xml:space="preserve">Note: </w:t>
        <w:tab/>
        <w:t>Tariff sheets showing the noncore transportation rate changes in this table will be advice-filed separately upon implementation of core storage unbundling.</w:t>
      </w:r>
    </w:p>
    <w:tbl>
      <w:tblPr>
        <w:tblW w:w="94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152"/>
        <w:gridCol w:w="504"/>
        <w:gridCol w:w="1494"/>
        <w:gridCol w:w="239"/>
        <w:gridCol w:w="31"/>
        <w:gridCol w:w="180"/>
        <w:gridCol w:w="53"/>
        <w:gridCol w:w="186"/>
        <w:gridCol w:w="1111"/>
        <w:gridCol w:w="239"/>
        <w:gridCol w:w="249"/>
        <w:gridCol w:w="1018"/>
        <w:gridCol w:w="24"/>
        <w:gridCol w:w="450"/>
        <w:gridCol w:w="35"/>
        <w:gridCol w:w="183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u w:val="single"/>
              </w:rPr>
              <w:t>Schedule G-NT</w:t>
            </w:r>
          </w:p>
        </w:tc>
        <w:tc>
          <w:tcPr>
            <w:tcW w:w="3420" w:type="dxa"/>
            <w:gridSpan w:val="5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10" w:type="dxa"/>
            <w:gridSpan w:val="9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21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98" w:type="dxa"/>
            <w:gridSpan w:val="15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Customer Access/Month: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0 – 5,000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5,001 – 10,000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89.02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10,001 – 50,000 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337.69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50,001 – 200,000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890.17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200,000 – 1,000,000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1274.50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1,000,001 and above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3704.83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420" w:type="dxa"/>
            <w:gridSpan w:val="5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Transmission</w:t>
            </w:r>
          </w:p>
        </w:tc>
        <w:tc>
          <w:tcPr>
            <w:tcW w:w="3510" w:type="dxa"/>
            <w:gridSpan w:val="9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Distribution</w:t>
            </w:r>
          </w:p>
        </w:tc>
        <w:tc>
          <w:tcPr>
            <w:tcW w:w="21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  <w:u w:val="single"/>
              </w:rPr>
            </w:r>
          </w:p>
        </w:tc>
        <w:tc>
          <w:tcPr>
            <w:tcW w:w="264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97" w:type="dxa"/>
            <w:gridSpan w:val="2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Summer</w:t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  <w:u w:val="single"/>
              </w:rPr>
            </w:r>
          </w:p>
        </w:tc>
        <w:tc>
          <w:tcPr>
            <w:tcW w:w="1267" w:type="dxa"/>
            <w:gridSpan w:val="2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Winter</w:t>
            </w:r>
          </w:p>
        </w:tc>
        <w:tc>
          <w:tcPr>
            <w:tcW w:w="509" w:type="dxa"/>
            <w:gridSpan w:val="3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  <w:u w:val="single"/>
              </w:rPr>
            </w:r>
          </w:p>
        </w:tc>
        <w:tc>
          <w:tcPr>
            <w:tcW w:w="18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Volumetric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snapToGrid w:val="false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1494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.02205</w:t>
            </w:r>
          </w:p>
        </w:tc>
        <w:tc>
          <w:tcPr>
            <w:tcW w:w="450" w:type="dxa"/>
            <w:gridSpan w:val="3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11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.09282</w:t>
            </w:r>
          </w:p>
        </w:tc>
        <w:tc>
          <w:tcPr>
            <w:tcW w:w="488" w:type="dxa"/>
            <w:gridSpan w:val="2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  <w:t>(I)</w:t>
            </w:r>
          </w:p>
        </w:tc>
        <w:tc>
          <w:tcPr>
            <w:tcW w:w="1042" w:type="dxa"/>
            <w:gridSpan w:val="2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.11316</w:t>
            </w:r>
          </w:p>
        </w:tc>
        <w:tc>
          <w:tcPr>
            <w:tcW w:w="668" w:type="dxa"/>
            <w:gridSpan w:val="3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  <w:t>(I)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4680" w:leader="none"/>
        </w:tabs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</w:rPr>
        <w:t>Schedule G-COG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ab/>
        <w:t>.01957</w:t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4680" w:leader="none"/>
        </w:tabs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</w:rPr>
        <w:t>Schedule G-EG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  <w:tab/>
        <w:t>.01957</w:t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</w:rPr>
        <w:t>Wholesale Schedules (G-WSL)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296"/>
        <w:gridCol w:w="522"/>
        <w:gridCol w:w="284"/>
        <w:gridCol w:w="1277"/>
        <w:gridCol w:w="509"/>
        <w:gridCol w:w="395"/>
        <w:gridCol w:w="1251"/>
        <w:gridCol w:w="514"/>
        <w:gridCol w:w="280"/>
        <w:gridCol w:w="1202"/>
        <w:gridCol w:w="678"/>
      </w:tblGrid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8208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Per Therm or Per Month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Charges: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Coalinga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Palo Alto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West Coast Gas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Island Energy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Customer Access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978.54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4180.94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710.88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533.46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Volumetric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.01695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.01696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395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.01695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.01695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>Wholesale (continued)</w:t>
      </w:r>
    </w:p>
    <w:tbl>
      <w:tblPr>
        <w:tblW w:w="74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8"/>
        <w:gridCol w:w="1422"/>
        <w:gridCol w:w="540"/>
        <w:gridCol w:w="207"/>
        <w:gridCol w:w="205"/>
        <w:gridCol w:w="1373"/>
        <w:gridCol w:w="555"/>
        <w:gridCol w:w="18"/>
      </w:tblGrid>
      <w:tr>
        <w:trPr/>
        <w:tc>
          <w:tcPr>
            <w:tcW w:w="316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69" w:type="dxa"/>
            <w:gridSpan w:val="3"/>
            <w:tcBorders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Alpine Natural Gas</w:t>
            </w:r>
          </w:p>
        </w:tc>
        <w:tc>
          <w:tcPr>
            <w:tcW w:w="2151" w:type="dxa"/>
            <w:gridSpan w:val="3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Customer Access Charge: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196.75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360"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Volumetric: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widowControl/>
              <w:spacing w:lineRule="auto" w:line="360"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.01697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napToGrid w:val="false"/>
              <w:spacing w:lineRule="auto" w:line="360"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9"/>
                <w:szCs w:val="19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*Winter rates are effective from November 1 through March 31.</w:t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152" w:gutter="0" w:header="720" w:top="1440" w:footer="720" w:bottom="108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Normal"/>
      <w:widowControl/>
      <w:ind w:hanging="360" w:start="360" w:end="0"/>
      <w:jc w:val="both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Codes:  (I) = Rate Increase; (R) = Rate Reduction; and no code is shown if there has been no change in the rate.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Attachment 4</w:t>
    </w:r>
  </w:p>
  <w:p>
    <w:pPr>
      <w:pStyle w:val="Header"/>
      <w:widowControl/>
      <w:jc w:val="end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Advice 2250-G</w:t>
    </w:r>
  </w:p>
  <w:p>
    <w:pPr>
      <w:pStyle w:val="Header"/>
      <w:widowControl/>
      <w:jc w:val="center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 xml:space="preserve"> </w:t>
    </w:r>
    <w:r>
      <w:rPr>
        <w:rFonts w:eastAsia="Times New Roman" w:cs="Times New Roman" w:ascii="Times New Roman" w:hAnsi="Times New Roman"/>
        <w:b/>
        <w:bCs/>
        <w:sz w:val="20"/>
        <w:szCs w:val="20"/>
      </w:rPr>
      <w:t xml:space="preserve">ILLUSTRATIVE </w:t>
    </w:r>
  </w:p>
  <w:p>
    <w:pPr>
      <w:pStyle w:val="Header"/>
      <w:widowControl/>
      <w:jc w:val="center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NONCORE GAS RATES</w:t>
    </w:r>
  </w:p>
  <w:p>
    <w:pPr>
      <w:pStyle w:val="Header"/>
      <w:widowControl/>
      <w:jc w:val="center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center" w:pos="1962" w:leader="none"/>
      </w:tabs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end"/>
      <w:outlineLvl w:val="1"/>
    </w:pPr>
    <w:rPr>
      <w:rFonts w:ascii="Times New Roman" w:hAnsi="Times New Roman" w:eastAsia="Times New Roman" w:cs="Times New Roman"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ind w:hanging="630" w:start="630" w:end="0"/>
    </w:pPr>
    <w:rPr>
      <w:rFonts w:ascii="Times New Roman" w:hAnsi="Times New Roman" w:eastAsia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2000-07-17T18:23:00Z</dcterms:created>
  <dc:creator>Katia Sokoloff</dc:creator>
  <dc:description/>
  <dc:language>en-CA</dc:language>
  <cp:lastModifiedBy>Susan Shaw</cp:lastModifiedBy>
  <cp:lastPrinted>2000-07-13T13:48:00Z</cp:lastPrinted>
  <dcterms:modified xsi:type="dcterms:W3CDTF">2000-07-17T18:23:00Z</dcterms:modified>
  <cp:revision>2</cp:revision>
  <dc:subject/>
  <dc:title>Gas procurement costs are generally updated on the 5th business day of each month</dc:title>
</cp:coreProperties>
</file>