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BodyText2"/>
        <w:rPr/>
      </w:pPr>
      <w:r>
        <w:rPr/>
        <w:t>Note:</w:t>
        <w:tab/>
        <w:t>Tariff sheets showing the core transportation rate changes in this table will be advice-filed separately in the Core Gas Procurement Monthly Price Filing upon implementation of core storage unbundling.</w:t>
      </w:r>
    </w:p>
    <w:p>
      <w:pPr>
        <w:pStyle w:val="Normal"/>
        <w:widowControl/>
        <w:ind w:hanging="720" w:start="720" w:end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W w:w="9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1152"/>
        <w:gridCol w:w="504"/>
        <w:gridCol w:w="1152"/>
        <w:gridCol w:w="504"/>
        <w:gridCol w:w="108"/>
        <w:gridCol w:w="159"/>
        <w:gridCol w:w="1152"/>
        <w:gridCol w:w="504"/>
        <w:gridCol w:w="1152"/>
        <w:gridCol w:w="504"/>
        <w:gridCol w:w="39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  <w:t>Residential Service</w:t>
            </w:r>
          </w:p>
        </w:tc>
        <w:tc>
          <w:tcPr>
            <w:tcW w:w="3420" w:type="dxa"/>
            <w:gridSpan w:val="5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  <w:t>(Schedules G-1, GM, GS, GT)</w:t>
            </w:r>
          </w:p>
        </w:tc>
        <w:tc>
          <w:tcPr>
            <w:tcW w:w="3510" w:type="dxa"/>
            <w:gridSpan w:val="6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CARE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  <w:t>(Schedules GL-1, GML, GSL, GTL)</w:t>
            </w:r>
          </w:p>
        </w:tc>
      </w:tr>
      <w:tr>
        <w:trPr/>
        <w:tc>
          <w:tcPr>
            <w:tcW w:w="9198" w:type="dxa"/>
            <w:gridSpan w:val="12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  <w:t>Baseline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u w:val="singl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  <w:t>Excess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u w:val="single"/>
              </w:rPr>
            </w:r>
          </w:p>
        </w:tc>
        <w:tc>
          <w:tcPr>
            <w:tcW w:w="267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  <w:t>Baseline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u w:val="singl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  <w:t>Excess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u w:val="single"/>
              </w:rPr>
            </w:r>
          </w:p>
        </w:tc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Procurement: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  <w:tc>
          <w:tcPr>
            <w:tcW w:w="267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Transportation: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.30381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(R)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.49709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(R)</w:t>
            </w:r>
          </w:p>
        </w:tc>
        <w:tc>
          <w:tcPr>
            <w:tcW w:w="267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.21937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(R)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.38310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(R)</w:t>
            </w:r>
          </w:p>
        </w:tc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CARE Discount:</w:t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267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(0.XXXX)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(0.XXXX)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Total Rate:</w:t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267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04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3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u w:val="single"/>
        </w:rPr>
        <w:t>Small Commercial Service (Schedule GNR-1)</w:t>
      </w:r>
    </w:p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1296"/>
        <w:gridCol w:w="522"/>
        <w:gridCol w:w="284"/>
        <w:gridCol w:w="1277"/>
        <w:gridCol w:w="479"/>
        <w:gridCol w:w="30"/>
        <w:gridCol w:w="368"/>
        <w:gridCol w:w="5"/>
        <w:gridCol w:w="1256"/>
        <w:gridCol w:w="470"/>
        <w:gridCol w:w="288"/>
        <w:gridCol w:w="1241"/>
        <w:gridCol w:w="692"/>
      </w:tblGrid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</w:r>
          </w:p>
        </w:tc>
        <w:tc>
          <w:tcPr>
            <w:tcW w:w="8208" w:type="dxa"/>
            <w:gridSpan w:val="13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Per Therm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888" w:type="dxa"/>
            <w:gridSpan w:val="6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Summer</w:t>
            </w:r>
          </w:p>
        </w:tc>
        <w:tc>
          <w:tcPr>
            <w:tcW w:w="373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947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Winter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  <w:t>Charges: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First 4,000 Therms</w:t>
            </w:r>
          </w:p>
        </w:tc>
        <w:tc>
          <w:tcPr>
            <w:tcW w:w="522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Excess</w:t>
            </w:r>
          </w:p>
        </w:tc>
        <w:tc>
          <w:tcPr>
            <w:tcW w:w="479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98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6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First 4,000 Therms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88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41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Excess</w:t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Procurement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22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47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  <w:tc>
          <w:tcPr>
            <w:tcW w:w="398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61" w:type="dxa"/>
            <w:gridSpan w:val="2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  <w:tc>
          <w:tcPr>
            <w:tcW w:w="288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.28044</w:t>
            </w:r>
          </w:p>
        </w:tc>
        <w:tc>
          <w:tcPr>
            <w:tcW w:w="522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(R)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.10818</w:t>
            </w:r>
          </w:p>
        </w:tc>
        <w:tc>
          <w:tcPr>
            <w:tcW w:w="47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(R)</w:t>
            </w:r>
          </w:p>
        </w:tc>
        <w:tc>
          <w:tcPr>
            <w:tcW w:w="398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6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.35902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(R)</w:t>
            </w:r>
          </w:p>
        </w:tc>
        <w:tc>
          <w:tcPr>
            <w:tcW w:w="288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41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.13849</w:t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(R)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22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479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398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61" w:type="dxa"/>
            <w:gridSpan w:val="2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470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288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</w:tr>
    </w:tbl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u w:val="single"/>
        </w:rPr>
        <w:t>Large Commercial Service (Schedule G-NR2)</w:t>
      </w:r>
    </w:p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u w:val="single"/>
        </w:rPr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1296"/>
        <w:gridCol w:w="522"/>
        <w:gridCol w:w="284"/>
        <w:gridCol w:w="1277"/>
        <w:gridCol w:w="509"/>
        <w:gridCol w:w="52"/>
        <w:gridCol w:w="343"/>
        <w:gridCol w:w="5"/>
        <w:gridCol w:w="1246"/>
        <w:gridCol w:w="514"/>
        <w:gridCol w:w="280"/>
        <w:gridCol w:w="1202"/>
        <w:gridCol w:w="678"/>
      </w:tblGrid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</w:r>
          </w:p>
        </w:tc>
        <w:tc>
          <w:tcPr>
            <w:tcW w:w="8208" w:type="dxa"/>
            <w:gridSpan w:val="13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Per Therm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940" w:type="dxa"/>
            <w:gridSpan w:val="6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Summer</w:t>
            </w:r>
          </w:p>
        </w:tc>
        <w:tc>
          <w:tcPr>
            <w:tcW w:w="34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92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Winter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  <w:t>Charges: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First 4,000 Therms</w:t>
            </w:r>
          </w:p>
        </w:tc>
        <w:tc>
          <w:tcPr>
            <w:tcW w:w="522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Excess</w:t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First 4,000 Therms</w:t>
            </w:r>
          </w:p>
        </w:tc>
        <w:tc>
          <w:tcPr>
            <w:tcW w:w="514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2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Excess</w:t>
            </w:r>
          </w:p>
        </w:tc>
        <w:tc>
          <w:tcPr>
            <w:tcW w:w="678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Procurement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22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1" w:type="dxa"/>
            <w:gridSpan w:val="2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14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2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678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.28044</w:t>
            </w:r>
          </w:p>
        </w:tc>
        <w:tc>
          <w:tcPr>
            <w:tcW w:w="522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(R)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.10818</w:t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(R)</w:t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.35902</w:t>
            </w:r>
          </w:p>
        </w:tc>
        <w:tc>
          <w:tcPr>
            <w:tcW w:w="514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(R)</w:t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2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.13849</w:t>
            </w:r>
          </w:p>
        </w:tc>
        <w:tc>
          <w:tcPr>
            <w:tcW w:w="678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(R)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296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22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395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51" w:type="dxa"/>
            <w:gridSpan w:val="2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14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02" w:type="dxa"/>
            <w:tcBorders/>
          </w:tcPr>
          <w:p>
            <w:pPr>
              <w:pStyle w:val="Normal"/>
              <w:widowControl/>
              <w:spacing w:before="120" w:after="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678" w:type="dxa"/>
            <w:tcBorders/>
          </w:tcPr>
          <w:p>
            <w:pPr>
              <w:pStyle w:val="Normal"/>
              <w:widowControl/>
              <w:snapToGrid w:val="false"/>
              <w:spacing w:before="12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</w:tr>
    </w:tbl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u w:val="single"/>
        </w:rPr>
        <w:t>Natural Gas Vehicle Service</w:t>
      </w:r>
    </w:p>
    <w:tbl>
      <w:tblPr>
        <w:tblW w:w="74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18"/>
        <w:gridCol w:w="1422"/>
        <w:gridCol w:w="540"/>
        <w:gridCol w:w="207"/>
        <w:gridCol w:w="205"/>
        <w:gridCol w:w="1373"/>
        <w:gridCol w:w="555"/>
        <w:gridCol w:w="18"/>
      </w:tblGrid>
      <w:tr>
        <w:trPr/>
        <w:tc>
          <w:tcPr>
            <w:tcW w:w="3168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lineRule="auto" w:line="3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69" w:type="dxa"/>
            <w:gridSpan w:val="3"/>
            <w:tcBorders/>
          </w:tcPr>
          <w:p>
            <w:pPr>
              <w:pStyle w:val="Normal"/>
              <w:widowControl/>
              <w:spacing w:lineRule="auto" w:line="3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  <w:t>Schedule G-NGV1</w:t>
            </w:r>
          </w:p>
        </w:tc>
        <w:tc>
          <w:tcPr>
            <w:tcW w:w="2151" w:type="dxa"/>
            <w:gridSpan w:val="3"/>
            <w:tcBorders/>
          </w:tcPr>
          <w:p>
            <w:pPr>
              <w:pStyle w:val="Normal"/>
              <w:widowControl/>
              <w:spacing w:lineRule="auto" w:line="3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  <w:t>Schedule G-NGV2</w:t>
            </w:r>
          </w:p>
        </w:tc>
      </w:tr>
      <w:tr>
        <w:trPr/>
        <w:tc>
          <w:tcPr>
            <w:tcW w:w="3150" w:type="dxa"/>
            <w:tcBorders/>
          </w:tcPr>
          <w:p>
            <w:pPr>
              <w:pStyle w:val="Normal"/>
              <w:widowControl/>
              <w:spacing w:lineRule="auto" w:line="3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Procurement: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widowControl/>
              <w:spacing w:lineRule="auto" w:line="36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/>
              <w:spacing w:lineRule="auto" w:line="36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  <w:tc>
          <w:tcPr>
            <w:tcW w:w="412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lineRule="auto" w:line="36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73" w:type="dxa"/>
            <w:tcBorders/>
          </w:tcPr>
          <w:p>
            <w:pPr>
              <w:pStyle w:val="Normal"/>
              <w:widowControl/>
              <w:spacing w:lineRule="auto" w:line="36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pacing w:lineRule="auto" w:line="36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(I)</w:t>
            </w:r>
          </w:p>
        </w:tc>
      </w:tr>
      <w:tr>
        <w:trPr/>
        <w:tc>
          <w:tcPr>
            <w:tcW w:w="3150" w:type="dxa"/>
            <w:tcBorders/>
          </w:tcPr>
          <w:p>
            <w:pPr>
              <w:pStyle w:val="Normal"/>
              <w:widowControl/>
              <w:spacing w:lineRule="auto" w:line="3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Transportation:</w:t>
            </w:r>
          </w:p>
        </w:tc>
        <w:tc>
          <w:tcPr>
            <w:tcW w:w="144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36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.11144</w:t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(R)</w:t>
            </w:r>
          </w:p>
        </w:tc>
        <w:tc>
          <w:tcPr>
            <w:tcW w:w="412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lineRule="auto" w:line="36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73" w:type="dxa"/>
            <w:tcBorders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360"/>
              <w:jc w:val="end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.59414</w:t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  <w:t>(R)</w:t>
            </w:r>
          </w:p>
        </w:tc>
      </w:tr>
      <w:tr>
        <w:trPr/>
        <w:tc>
          <w:tcPr>
            <w:tcW w:w="3150" w:type="dxa"/>
            <w:tcBorders/>
          </w:tcPr>
          <w:p>
            <w:pPr>
              <w:pStyle w:val="Normal"/>
              <w:widowControl/>
              <w:spacing w:lineRule="auto" w:line="3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Total Rate: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widowControl/>
              <w:spacing w:lineRule="auto" w:line="36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40" w:type="dxa"/>
            <w:tcBorders/>
          </w:tcPr>
          <w:p>
            <w:pPr>
              <w:pStyle w:val="Normal"/>
              <w:widowControl/>
              <w:snapToGrid w:val="false"/>
              <w:spacing w:lineRule="auto" w:line="36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  <w:tc>
          <w:tcPr>
            <w:tcW w:w="412" w:type="dxa"/>
            <w:gridSpan w:val="2"/>
            <w:tcBorders/>
          </w:tcPr>
          <w:p>
            <w:pPr>
              <w:pStyle w:val="Normal"/>
              <w:widowControl/>
              <w:snapToGrid w:val="false"/>
              <w:spacing w:lineRule="auto" w:line="36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73" w:type="dxa"/>
            <w:tcBorders/>
          </w:tcPr>
          <w:p>
            <w:pPr>
              <w:pStyle w:val="Normal"/>
              <w:widowControl/>
              <w:spacing w:lineRule="auto" w:line="360"/>
              <w:jc w:val="end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$0.XXXX</w:t>
            </w:r>
          </w:p>
        </w:tc>
        <w:tc>
          <w:tcPr>
            <w:tcW w:w="555" w:type="dxa"/>
            <w:tcBorders/>
          </w:tcPr>
          <w:p>
            <w:pPr>
              <w:pStyle w:val="Normal"/>
              <w:widowControl/>
              <w:snapToGrid w:val="false"/>
              <w:spacing w:lineRule="auto" w:line="36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9"/>
                <w:szCs w:val="19"/>
              </w:rPr>
            </w:r>
          </w:p>
        </w:tc>
      </w:tr>
    </w:tbl>
    <w:p>
      <w:pPr>
        <w:pStyle w:val="Normal"/>
        <w:widowControl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/>
        <w:tabs>
          <w:tab w:val="clear" w:pos="720"/>
          <w:tab w:val="decimal" w:pos="3060" w:leader="none"/>
          <w:tab w:val="decimal" w:pos="5400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*Winter rates are effective from November 1 through March 31.</w:t>
      </w:r>
    </w:p>
    <w:p>
      <w:pPr>
        <w:pStyle w:val="Normal"/>
        <w:widowControl/>
        <w:tabs>
          <w:tab w:val="clear" w:pos="720"/>
          <w:tab w:val="decimal" w:pos="3060" w:leader="none"/>
          <w:tab w:val="decimal" w:pos="5400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/>
        <w:tabs>
          <w:tab w:val="clear" w:pos="720"/>
          <w:tab w:val="decimal" w:pos="3060" w:leader="none"/>
          <w:tab w:val="decimal" w:pos="5400" w:leader="none"/>
        </w:tabs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Customers on Schedule G-CT--</w:t>
      </w:r>
      <w:r>
        <w:rPr>
          <w:rFonts w:eastAsia="Times New Roman" w:cs="Times New Roman" w:ascii="Times New Roman" w:hAnsi="Times New Roman"/>
          <w:i/>
          <w:iCs/>
          <w:color w:val="000000"/>
          <w:sz w:val="20"/>
          <w:szCs w:val="20"/>
        </w:rPr>
        <w:t>Core Gas Aggregation Service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, pay for service under their otherwise-applicable core rate schedule. Customers who procure gas from a third party do not pay the procurement charge on their otherwise-</w:t>
      </w:r>
      <w:r>
        <w:rPr>
          <w:rFonts w:eastAsia="Times New Roman" w:cs="Times New Roman" w:ascii="Times New Roman" w:hAnsi="Times New Roman"/>
          <w:sz w:val="20"/>
          <w:szCs w:val="20"/>
        </w:rPr>
        <w:t>applicable rate schedule, and may be subject to franchise fee surcharges under Schedule G-SUR.</w:t>
      </w:r>
    </w:p>
    <w:sectPr>
      <w:headerReference w:type="default" r:id="rId2"/>
      <w:footerReference w:type="default" r:id="rId3"/>
      <w:type w:val="nextPage"/>
      <w:pgSz w:w="12240" w:h="15840"/>
      <w:pgMar w:left="1440" w:right="1152" w:gutter="0" w:header="720" w:top="1440" w:footer="720" w:bottom="108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</w:r>
  </w:p>
  <w:p>
    <w:pPr>
      <w:pStyle w:val="Normal"/>
      <w:widowControl/>
      <w:ind w:hanging="360" w:start="360" w:end="0"/>
      <w:jc w:val="both"/>
      <w:rPr>
        <w:rFonts w:ascii="Times New Roman" w:hAnsi="Times New Roman" w:eastAsia="Times New Roman" w:cs="Times New Roman"/>
        <w:b/>
        <w:bCs/>
        <w:sz w:val="20"/>
        <w:szCs w:val="20"/>
      </w:rPr>
    </w:pPr>
    <w:r>
      <w:rPr>
        <w:rFonts w:eastAsia="Times New Roman" w:cs="Times New Roman" w:ascii="Times New Roman" w:hAnsi="Times New Roman"/>
        <w:b/>
        <w:bCs/>
        <w:sz w:val="20"/>
        <w:szCs w:val="20"/>
      </w:rPr>
      <w:t>Codes:  (I) = Rate Increase; (R) = Rate Reduction; and no code is shown if there has been no change in the rate.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end"/>
      <w:rPr>
        <w:rFonts w:ascii="Times New Roman" w:hAnsi="Times New Roman" w:eastAsia="Times New Roman" w:cs="Times New Roman"/>
        <w:b/>
        <w:bCs/>
        <w:sz w:val="20"/>
        <w:szCs w:val="20"/>
      </w:rPr>
    </w:pPr>
    <w:r>
      <w:rPr>
        <w:rFonts w:eastAsia="Times New Roman" w:cs="Times New Roman" w:ascii="Times New Roman" w:hAnsi="Times New Roman"/>
        <w:b/>
        <w:bCs/>
        <w:sz w:val="20"/>
        <w:szCs w:val="20"/>
      </w:rPr>
      <w:t>Attachment 3</w:t>
    </w:r>
  </w:p>
  <w:p>
    <w:pPr>
      <w:pStyle w:val="Header"/>
      <w:widowControl/>
      <w:jc w:val="end"/>
      <w:rPr>
        <w:rFonts w:ascii="Times New Roman" w:hAnsi="Times New Roman" w:eastAsia="Times New Roman" w:cs="Times New Roman"/>
        <w:b/>
        <w:bCs/>
        <w:sz w:val="20"/>
        <w:szCs w:val="20"/>
      </w:rPr>
    </w:pPr>
    <w:r>
      <w:rPr>
        <w:rFonts w:eastAsia="Times New Roman" w:cs="Times New Roman" w:ascii="Times New Roman" w:hAnsi="Times New Roman"/>
        <w:b/>
        <w:bCs/>
        <w:sz w:val="20"/>
        <w:szCs w:val="20"/>
      </w:rPr>
      <w:t>Advice 2250-G</w:t>
    </w:r>
  </w:p>
  <w:p>
    <w:pPr>
      <w:pStyle w:val="Header"/>
      <w:widowControl/>
      <w:jc w:val="center"/>
      <w:rPr>
        <w:rFonts w:ascii="Times New Roman" w:hAnsi="Times New Roman" w:eastAsia="Times New Roman" w:cs="Times New Roman"/>
        <w:b/>
        <w:bCs/>
        <w:sz w:val="20"/>
        <w:szCs w:val="20"/>
      </w:rPr>
    </w:pPr>
    <w:r>
      <w:rPr>
        <w:rFonts w:eastAsia="Times New Roman" w:cs="Times New Roman" w:ascii="Times New Roman" w:hAnsi="Times New Roman"/>
        <w:b/>
        <w:bCs/>
        <w:sz w:val="20"/>
        <w:szCs w:val="20"/>
      </w:rPr>
      <w:t xml:space="preserve"> </w:t>
    </w:r>
    <w:r>
      <w:rPr>
        <w:rFonts w:eastAsia="Times New Roman" w:cs="Times New Roman" w:ascii="Times New Roman" w:hAnsi="Times New Roman"/>
        <w:b/>
        <w:bCs/>
        <w:sz w:val="20"/>
        <w:szCs w:val="20"/>
      </w:rPr>
      <w:t xml:space="preserve">ILLUSTRATIVE </w:t>
    </w:r>
  </w:p>
  <w:p>
    <w:pPr>
      <w:pStyle w:val="Header"/>
      <w:widowControl/>
      <w:jc w:val="center"/>
      <w:rPr>
        <w:rFonts w:ascii="Times New Roman" w:hAnsi="Times New Roman" w:eastAsia="Times New Roman" w:cs="Times New Roman"/>
        <w:b/>
        <w:bCs/>
        <w:sz w:val="20"/>
        <w:szCs w:val="20"/>
      </w:rPr>
    </w:pPr>
    <w:r>
      <w:rPr>
        <w:rFonts w:eastAsia="Times New Roman" w:cs="Times New Roman" w:ascii="Times New Roman" w:hAnsi="Times New Roman"/>
        <w:b/>
        <w:bCs/>
        <w:sz w:val="20"/>
        <w:szCs w:val="20"/>
      </w:rPr>
      <w:t>CORE GAS RATES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widowControl/>
      <w:ind w:hanging="720" w:start="720" w:end="0"/>
    </w:pPr>
    <w:rPr>
      <w:rFonts w:ascii="Times New Roman" w:hAnsi="Times New Roman" w:eastAsia="Times New Roman" w:cs="Times New Roman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2000-07-17T18:23:00Z</dcterms:created>
  <dc:creator>Katia Sokoloff</dc:creator>
  <dc:description/>
  <dc:language>en-CA</dc:language>
  <cp:lastModifiedBy>Susan Shaw</cp:lastModifiedBy>
  <cp:lastPrinted>2000-07-13T13:48:00Z</cp:lastPrinted>
  <dcterms:modified xsi:type="dcterms:W3CDTF">2000-07-17T18:23:00Z</dcterms:modified>
  <cp:revision>2</cp:revision>
  <dc:subject/>
  <dc:title>Gas procurement costs are generally updated on the 5th business day of each month</dc:title>
</cp:coreProperties>
</file>