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0"/>
        <w:jc w:val="center"/>
        <w:rPr>
          <w:rFonts w:ascii="Arial" w:hAnsi="Arial" w:eastAsia="Arial" w:cs="Arial"/>
        </w:rPr>
      </w:pPr>
      <w:bookmarkStart w:id="0" w:name="DocTitle"/>
      <w:r>
        <w:rPr>
          <w:rFonts w:eastAsia="Arial" w:cs="Arial" w:ascii="Arial" w:hAnsi="Arial"/>
        </w:rPr>
        <w:t>PG&amp;E Comprehensive Gas OII Settlement</w:t>
      </w:r>
    </w:p>
    <w:p>
      <w:pPr>
        <w:pStyle w:val="Normal"/>
        <w:spacing w:before="60" w:after="0"/>
        <w:jc w:val="center"/>
        <w:rPr>
          <w:rFonts w:ascii="Arial" w:hAnsi="Arial" w:eastAsia="Arial" w:cs="Arial"/>
        </w:rPr>
      </w:pPr>
      <w:bookmarkStart w:id="1" w:name="DocTitle"/>
      <w:r>
        <w:rPr>
          <w:rFonts w:eastAsia="Arial" w:cs="Arial" w:ascii="Arial" w:hAnsi="Arial"/>
        </w:rPr>
        <w:t>Estimated Implementation Schedule</w:t>
      </w:r>
      <w:bookmarkEnd w:id="1"/>
    </w:p>
    <w:p>
      <w:pPr>
        <w:pStyle w:val="Normal"/>
        <w:spacing w:before="0" w:after="240"/>
        <w:jc w:val="center"/>
        <w:rPr/>
      </w:pPr>
      <w:bookmarkStart w:id="2" w:name="DocDate"/>
      <w:r>
        <w:rPr/>
        <w:t>July 17, 2000</w:t>
      </w:r>
      <w:bookmarkEnd w:id="2"/>
    </w:p>
    <w:tbl>
      <w:tblPr>
        <w:tblW w:w="8910" w:type="dxa"/>
        <w:jc w:val="start"/>
        <w:tblInd w:w="5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6390"/>
      </w:tblGrid>
      <w:tr>
        <w:trPr>
          <w:tblHeader w:val="true"/>
        </w:trPr>
        <w:tc>
          <w:tcPr>
            <w:tcW w:w="2520" w:type="dxa"/>
            <w:tcBorders/>
          </w:tcPr>
          <w:p>
            <w:pPr>
              <w:pStyle w:val="Normal"/>
              <w:spacing w:before="60" w:after="60"/>
              <w:ind w:start="144" w:end="0"/>
              <w:jc w:val="center"/>
              <w:rPr>
                <w:rFonts w:ascii="Arial" w:hAnsi="Arial" w:eastAsia="Arial" w:cs="Arial"/>
                <w:sz w:val="26"/>
                <w:szCs w:val="26"/>
                <w:u w:val="single"/>
              </w:rPr>
            </w:pPr>
            <w:r>
              <w:rPr>
                <w:rFonts w:eastAsia="Arial" w:cs="Arial" w:ascii="Arial" w:hAnsi="Arial"/>
                <w:sz w:val="26"/>
                <w:szCs w:val="26"/>
                <w:u w:val="single"/>
              </w:rPr>
              <w:t>Date</w:t>
            </w:r>
          </w:p>
        </w:tc>
        <w:tc>
          <w:tcPr>
            <w:tcW w:w="6390" w:type="dxa"/>
            <w:tcBorders/>
          </w:tcPr>
          <w:p>
            <w:pPr>
              <w:pStyle w:val="Normal"/>
              <w:spacing w:before="60" w:after="60"/>
              <w:ind w:start="144" w:end="0"/>
              <w:jc w:val="center"/>
              <w:rPr>
                <w:rFonts w:ascii="Arial" w:hAnsi="Arial" w:eastAsia="Arial" w:cs="Arial"/>
                <w:sz w:val="26"/>
                <w:szCs w:val="26"/>
                <w:u w:val="single"/>
              </w:rPr>
            </w:pPr>
            <w:r>
              <w:rPr>
                <w:rFonts w:eastAsia="Arial" w:cs="Arial" w:ascii="Arial" w:hAnsi="Arial"/>
                <w:sz w:val="26"/>
                <w:szCs w:val="26"/>
                <w:u w:val="single"/>
              </w:rPr>
              <w:t>Action</w:t>
            </w:r>
          </w:p>
        </w:tc>
      </w:tr>
      <w:tr>
        <w:trPr/>
        <w:tc>
          <w:tcPr>
            <w:tcW w:w="2520" w:type="dxa"/>
            <w:tcBorders/>
          </w:tcPr>
          <w:p>
            <w:pPr>
              <w:pStyle w:val="Normal"/>
              <w:spacing w:before="120" w:after="120"/>
              <w:ind w:start="144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October 1, 2000</w:t>
            </w:r>
          </w:p>
        </w:tc>
        <w:tc>
          <w:tcPr>
            <w:tcW w:w="6390" w:type="dxa"/>
            <w:tcBorders/>
          </w:tcPr>
          <w:p>
            <w:pPr>
              <w:pStyle w:val="Normal"/>
              <w:spacing w:before="120" w:after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Tariffs assumed effective: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Pilots for meter and meter add-on ownership effective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CTAs may sign Exhibit K to their CTA Agreement to qualify for billing credits. PG&amp;E eliminates information-only bills for customers of CTAs that have signed Exhibit K.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0" w:after="120"/>
              <w:ind w:hanging="720" w:start="720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Open season begins for CTA storage elections.</w:t>
            </w:r>
          </w:p>
        </w:tc>
      </w:tr>
      <w:tr>
        <w:trPr/>
        <w:tc>
          <w:tcPr>
            <w:tcW w:w="252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120" w:after="120"/>
              <w:ind w:hanging="360" w:start="504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October 15, 2000</w:t>
            </w:r>
          </w:p>
        </w:tc>
        <w:tc>
          <w:tcPr>
            <w:tcW w:w="639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120" w:after="120"/>
              <w:ind w:hanging="720" w:start="720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PG&amp;E takes first count of customers that qualify for Billing Credits.</w:t>
            </w:r>
          </w:p>
        </w:tc>
      </w:tr>
      <w:tr>
        <w:trPr/>
        <w:tc>
          <w:tcPr>
            <w:tcW w:w="252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120" w:after="120"/>
              <w:ind w:hanging="360" w:start="504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November 2000</w:t>
            </w:r>
          </w:p>
        </w:tc>
        <w:tc>
          <w:tcPr>
            <w:tcW w:w="639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120" w:after="120"/>
              <w:ind w:hanging="720" w:start="720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First Billing Credits are paid for those CTA customers that were qualified on October 15.</w:t>
            </w:r>
          </w:p>
        </w:tc>
      </w:tr>
      <w:tr>
        <w:trPr/>
        <w:tc>
          <w:tcPr>
            <w:tcW w:w="252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120" w:after="120"/>
              <w:ind w:hanging="360" w:start="504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December 1, 2000</w:t>
            </w:r>
          </w:p>
        </w:tc>
        <w:tc>
          <w:tcPr>
            <w:tcW w:w="639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120" w:after="0"/>
              <w:ind w:hanging="720" w:start="720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CTA storage elections take effect.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0" w:after="120"/>
              <w:ind w:hanging="720" w:start="720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Core procurement, and core and noncore transportation rates change due to storage unbundling.</w:t>
            </w:r>
          </w:p>
        </w:tc>
      </w:tr>
      <w:tr>
        <w:trPr/>
        <w:tc>
          <w:tcPr>
            <w:tcW w:w="252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120" w:after="120"/>
              <w:ind w:hanging="360" w:start="504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February 1, 2001</w:t>
            </w:r>
          </w:p>
        </w:tc>
        <w:tc>
          <w:tcPr>
            <w:tcW w:w="639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120" w:after="0"/>
              <w:ind w:hanging="720" w:start="720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Open season begins for Self-Balancing.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0" w:after="120"/>
              <w:ind w:hanging="720" w:start="720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Open season begins for CTA storage elections (will be the first Open Season if effective tariff date is after October 1).</w:t>
            </w:r>
          </w:p>
        </w:tc>
      </w:tr>
      <w:tr>
        <w:trPr/>
        <w:tc>
          <w:tcPr>
            <w:tcW w:w="252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120" w:after="120"/>
              <w:ind w:hanging="360" w:start="504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March 1, 2001</w:t>
            </w:r>
          </w:p>
        </w:tc>
        <w:tc>
          <w:tcPr>
            <w:tcW w:w="639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120" w:after="120"/>
              <w:ind w:hanging="720" w:start="720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Electronic trading begins for firm transmission capacity in the secondary market.</w:t>
            </w:r>
          </w:p>
        </w:tc>
      </w:tr>
      <w:tr>
        <w:trPr/>
        <w:tc>
          <w:tcPr>
            <w:tcW w:w="252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120" w:after="120"/>
              <w:ind w:hanging="360" w:start="504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April 1, 2001</w:t>
            </w:r>
          </w:p>
        </w:tc>
        <w:tc>
          <w:tcPr>
            <w:tcW w:w="639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120" w:after="0"/>
              <w:ind w:hanging="720" w:start="720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Self-Balancing begins.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Electronic trading begins for: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1044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Monthly imbalances, and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1044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OFO day imbalance rights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CTA storage elections take effect.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0" w:after="120"/>
              <w:ind w:hanging="720" w:start="720" w:end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Core procurement and core and noncore transportation rates change, if effective tariff date is after October 1.</w:t>
            </w:r>
          </w:p>
        </w:tc>
      </w:tr>
    </w:tbl>
    <w:p>
      <w:pPr>
        <w:pStyle w:val="Normal"/>
        <w:ind w:start="1008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1"/>
    <w:family w:val="swiss"/>
    <w:pitch w:val="variable"/>
  </w:font>
  <w:font w:name="BernhardMod BT">
    <w:charset w:val="01"/>
    <w:family w:val="roman"/>
    <w:pitch w:val="default"/>
  </w:font>
  <w:font w:name="Bookman Old Style">
    <w:charset w:val="01"/>
    <w:family w:val="roman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24"/>
        <w:szCs w:val="24"/>
      </w:rPr>
      <w:t xml:space="preserve">Page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PAGE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sz w:val="24"/>
        <w:szCs w:val="24"/>
      </w:rPr>
      <w:t>0</w:t>
    </w:r>
    <w:r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  <w:szCs w:val="20"/>
      </w:rPr>
    </w:pPr>
    <w:r>
      <w:rPr>
        <w:sz w:val="20"/>
        <w:szCs w:val="20"/>
      </w:rPr>
      <w:t>Confidential – Prepared for Settlement Discussions</w:t>
    </w:r>
  </w:p>
  <w:p>
    <w:pPr>
      <w:pStyle w:val="Normal"/>
      <w:rPr>
        <w:rFonts w:ascii="BernhardMod BT" w:hAnsi="BernhardMod BT" w:eastAsia="BernhardMod BT" w:cs="BernhardMod BT"/>
        <w:b/>
        <w:bCs/>
        <w:i/>
        <w:i/>
        <w:iCs/>
        <w:sz w:val="26"/>
        <w:szCs w:val="26"/>
      </w:rPr>
    </w:pPr>
    <w:r>
      <w:rPr>
        <w:rFonts w:eastAsia="BernhardMod BT" w:cs="BernhardMod BT" w:ascii="BernhardMod BT" w:hAnsi="BernhardMod BT"/>
        <w:b/>
        <w:bCs/>
        <w:i/>
        <w:iCs/>
        <w:sz w:val="26"/>
        <w:szCs w:val="26"/>
      </w:rPr>
      <w:t>Promising Gas Options OII</w:t>
    </w:r>
  </w:p>
  <w:p>
    <w:pPr>
      <w:pStyle w:val="Normal"/>
      <w:rPr>
        <w:rFonts w:ascii="Bookman Old Style" w:hAnsi="Bookman Old Style" w:eastAsia="Bookman Old Style" w:cs="Bookman Old Style"/>
        <w:b/>
        <w:bCs/>
        <w:i/>
        <w:i/>
        <w:iCs/>
        <w:sz w:val="26"/>
        <w:szCs w:val="26"/>
      </w:rPr>
    </w:pPr>
    <w:r>
      <w:rPr>
        <w:rFonts w:eastAsia="Bookman Old Style" w:cs="Bookman Old Style" w:ascii="Bookman Old Style" w:hAnsi="Bookman Old Style"/>
        <w:b/>
        <w:bCs/>
        <w:i/>
        <w:iCs/>
        <w:sz w:val="26"/>
        <w:szCs w:val="26"/>
      </w:rPr>
      <w:fldChar w:fldCharType="begin"/>
    </w:r>
    <w:r>
      <w:rPr>
        <w:sz w:val="26"/>
        <w:i/>
        <w:b/>
        <w:szCs w:val="26"/>
        <w:iCs/>
        <w:bCs/>
        <w:rFonts w:eastAsia="Bookman Old Style" w:cs="Bookman Old Style" w:ascii="Bookman Old Style" w:hAnsi="Bookman Old Style"/>
      </w:rPr>
      <w:instrText xml:space="preserve"> REF DocTitle \h </w:instrText>
    </w:r>
    <w:r>
      <w:rPr>
        <w:sz w:val="26"/>
        <w:i/>
        <w:b/>
        <w:szCs w:val="26"/>
        <w:iCs/>
        <w:bCs/>
        <w:rFonts w:eastAsia="Bookman Old Style" w:cs="Bookman Old Style" w:ascii="Bookman Old Style" w:hAnsi="Bookman Old Style"/>
      </w:rPr>
      <w:fldChar w:fldCharType="separate"/>
    </w:r>
    <w:r>
      <w:rPr>
        <w:sz w:val="26"/>
        <w:i/>
        <w:b/>
        <w:szCs w:val="26"/>
        <w:iCs/>
        <w:bCs/>
        <w:rFonts w:eastAsia="Bookman Old Style" w:cs="Bookman Old Style" w:ascii="Bookman Old Style" w:hAnsi="Bookman Old Style"/>
      </w:rPr>
      <w:t>PG&amp;E Comprehensive Gas OII Settlement</w:t>
    </w:r>
    <w:r>
      <w:rPr>
        <w:sz w:val="26"/>
        <w:i/>
        <w:b/>
        <w:szCs w:val="26"/>
        <w:iCs/>
        <w:bCs/>
        <w:rFonts w:eastAsia="Bookman Old Style" w:cs="Bookman Old Style" w:ascii="Bookman Old Style" w:hAnsi="Bookman Old Style"/>
      </w:rPr>
      <w:fldChar w:fldCharType="end"/>
    </w:r>
  </w:p>
  <w:p>
    <w:pPr>
      <w:pStyle w:val="Normal"/>
      <w:rPr>
        <w:rFonts w:ascii="Bookman Old Style" w:hAnsi="Bookman Old Style" w:eastAsia="Bookman Old Style" w:cs="Bookman Old Style"/>
        <w:b/>
        <w:bCs/>
        <w:sz w:val="24"/>
        <w:szCs w:val="24"/>
      </w:rPr>
    </w:pPr>
    <w:r>
      <w:rPr>
        <w:rFonts w:eastAsia="Bookman Old Style" w:cs="Bookman Old Style" w:ascii="Bookman Old Style" w:hAnsi="Bookman Old Style"/>
        <w:b/>
        <w:bCs/>
        <w:sz w:val="24"/>
        <w:szCs w:val="24"/>
      </w:rPr>
      <w:fldChar w:fldCharType="begin"/>
    </w:r>
    <w:r>
      <w:rPr>
        <w:sz w:val="24"/>
        <w:b/>
        <w:szCs w:val="24"/>
        <w:bCs/>
        <w:rFonts w:eastAsia="Bookman Old Style" w:cs="Bookman Old Style" w:ascii="Bookman Old Style" w:hAnsi="Bookman Old Style"/>
      </w:rPr>
      <w:instrText xml:space="preserve"> REF DocDate \h </w:instrText>
    </w:r>
    <w:r>
      <w:rPr>
        <w:sz w:val="24"/>
        <w:b/>
        <w:szCs w:val="24"/>
        <w:bCs/>
        <w:rFonts w:eastAsia="Bookman Old Style" w:cs="Bookman Old Style" w:ascii="Bookman Old Style" w:hAnsi="Bookman Old Style"/>
      </w:rPr>
      <w:fldChar w:fldCharType="separate"/>
    </w:r>
    <w:r>
      <w:rPr>
        <w:sz w:val="24"/>
        <w:b/>
        <w:szCs w:val="24"/>
        <w:bCs/>
        <w:rFonts w:eastAsia="Bookman Old Style" w:cs="Bookman Old Style" w:ascii="Bookman Old Style" w:hAnsi="Bookman Old Style"/>
      </w:rPr>
      <w:t>July 17, 2000</w:t>
    </w:r>
    <w:r>
      <w:rPr>
        <w:sz w:val="24"/>
        <w:b/>
        <w:szCs w:val="24"/>
        <w:bCs/>
        <w:rFonts w:eastAsia="Bookman Old Style" w:cs="Bookman Old Style" w:ascii="Bookman Old Style" w:hAnsi="Bookman Old Style"/>
      </w:rPr>
      <w:fldChar w:fldCharType="end"/>
    </w:r>
  </w:p>
  <w:p>
    <w:pPr>
      <w:pStyle w:val="Normal"/>
      <w:rPr>
        <w:rFonts w:ascii="Bookman Old Style" w:hAnsi="Bookman Old Style" w:eastAsia="Bookman Old Style" w:cs="Bookman Old Style"/>
        <w:sz w:val="26"/>
        <w:szCs w:val="26"/>
      </w:rPr>
    </w:pPr>
    <w:r>
      <w:rPr>
        <w:rFonts w:eastAsia="Bookman Old Style" w:cs="Bookman Old Style" w:ascii="Bookman Old Style" w:hAnsi="Bookman Old Style"/>
        <w:sz w:val="26"/>
        <w:szCs w:val="2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Arial" w:hAnsi="Arial" w:eastAsia="Arial" w:cs="Arial"/>
        <w:sz w:val="24"/>
        <w:szCs w:val="24"/>
      </w:rPr>
    </w:pPr>
    <w:r>
      <w:rPr>
        <w:rFonts w:eastAsia="Arial" w:cs="Arial" w:ascii="Arial" w:hAnsi="Arial"/>
        <w:sz w:val="24"/>
        <w:szCs w:val="24"/>
      </w:rPr>
      <w:t>Attachment 5</w:t>
    </w:r>
  </w:p>
  <w:p>
    <w:pPr>
      <w:pStyle w:val="Header"/>
      <w:jc w:val="end"/>
      <w:rPr>
        <w:rFonts w:ascii="Arial" w:hAnsi="Arial" w:eastAsia="Arial" w:cs="Arial"/>
        <w:sz w:val="24"/>
        <w:szCs w:val="24"/>
      </w:rPr>
    </w:pPr>
    <w:r>
      <w:rPr>
        <w:rFonts w:eastAsia="Arial" w:cs="Arial" w:ascii="Arial" w:hAnsi="Arial"/>
        <w:sz w:val="24"/>
        <w:szCs w:val="24"/>
      </w:rPr>
      <w:t>Advice 2250-G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eastAsia="Arial" w:cs="Arial"/>
      <w:b/>
      <w:bCs/>
      <w:kern w:val="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eastAsia="Arial" w:cs="Arial"/>
      <w:b/>
      <w:bCs/>
      <w:i/>
      <w:iCs/>
      <w:sz w:val="24"/>
      <w:szCs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sz w:val="24"/>
      <w:szCs w:val="24"/>
    </w:rPr>
  </w:style>
  <w:style w:type="paragraph" w:styleId="Bullet1-Memo">
    <w:name w:val="Bullet 1 - Memo"/>
    <w:basedOn w:val="Normal"/>
    <w:qFormat/>
    <w:pPr>
      <w:ind w:hanging="432" w:start="432" w:end="0"/>
    </w:pPr>
    <w:rPr/>
  </w:style>
  <w:style w:type="paragraph" w:styleId="Bullet2-Memo">
    <w:name w:val="Bullet 2 - Memo"/>
    <w:basedOn w:val="Normal"/>
    <w:qFormat/>
    <w:pPr>
      <w:ind w:hanging="432" w:start="864" w:end="432"/>
    </w:pPr>
    <w:rPr/>
  </w:style>
  <w:style w:type="paragraph" w:styleId="Bullet3-Memo">
    <w:name w:val="Bullet 3 - Memo"/>
    <w:basedOn w:val="Normal"/>
    <w:qFormat/>
    <w:pPr>
      <w:ind w:hanging="432" w:start="1296" w:end="432"/>
    </w:pPr>
    <w:rPr/>
  </w:style>
  <w:style w:type="paragraph" w:styleId="Indent1-Memo">
    <w:name w:val="Indent 1 - Memo"/>
    <w:basedOn w:val="Bullet1-Memo"/>
    <w:qFormat/>
    <w:pPr>
      <w:ind w:hanging="0" w:start="432" w:end="0"/>
    </w:pPr>
    <w:rPr/>
  </w:style>
  <w:style w:type="paragraph" w:styleId="Indent3-Memo">
    <w:name w:val="Indent 3 - Memo"/>
    <w:basedOn w:val="Bullet3-Memo"/>
    <w:qFormat/>
    <w:pPr/>
    <w:rPr/>
  </w:style>
  <w:style w:type="paragraph" w:styleId="Indent2-Memo">
    <w:name w:val="Indent 2 - Memo"/>
    <w:basedOn w:val="Bullet2-Memo"/>
    <w:qFormat/>
    <w:pPr>
      <w:ind w:hanging="0" w:start="864" w:end="432"/>
    </w:pPr>
    <w:rPr/>
  </w:style>
  <w:style w:type="paragraph" w:styleId="Indent0">
    <w:name w:val="Indent 0"/>
    <w:basedOn w:val="Normal"/>
    <w:qFormat/>
    <w:pPr/>
    <w:rPr>
      <w:rFonts w:ascii="Helvetica" w:hAnsi="Helvetica" w:eastAsia="Helvetica" w:cs="Helvetica"/>
    </w:rPr>
  </w:style>
  <w:style w:type="paragraph" w:styleId="EnvelopeAddress">
    <w:name w:val="envelope address"/>
    <w:basedOn w:val="Normal"/>
    <w:pPr>
      <w:ind w:hanging="0" w:start="2880" w:end="0"/>
    </w:pPr>
    <w:rPr>
      <w:rFonts w:ascii="BernhardMod BT" w:hAnsi="BernhardMod BT" w:eastAsia="BernhardMod BT" w:cs="BernhardMod BT"/>
      <w:b/>
      <w:bCs/>
      <w:sz w:val="32"/>
      <w:szCs w:val="32"/>
    </w:rPr>
  </w:style>
  <w:style w:type="paragraph" w:styleId="EnvelopeReturn">
    <w:name w:val="envelope return"/>
    <w:basedOn w:val="Normal"/>
    <w:pPr/>
    <w:rPr>
      <w:rFonts w:ascii="BernhardMod BT" w:hAnsi="BernhardMod BT" w:eastAsia="BernhardMod BT" w:cs="BernhardMod BT"/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ullet1">
    <w:name w:val="Bullet 1"/>
    <w:basedOn w:val="Normal"/>
    <w:qFormat/>
    <w:pPr>
      <w:ind w:hanging="432" w:start="432" w:end="0"/>
    </w:pPr>
    <w:rPr>
      <w:sz w:val="26"/>
      <w:szCs w:val="2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2000-07-17T14:04:00Z</dcterms:created>
  <dc:creator>A Valued Microsoft Customer</dc:creator>
  <dc:description/>
  <dc:language>en-CA</dc:language>
  <cp:lastModifiedBy>Susan Shaw</cp:lastModifiedBy>
  <cp:lastPrinted>2000-07-17T09:40:00Z</cp:lastPrinted>
  <dcterms:modified xsi:type="dcterms:W3CDTF">2000-07-17T14:10:00Z</dcterms:modified>
  <cp:revision>3</cp:revision>
  <dc:subject/>
  <dc:title> </dc:title>
</cp:coreProperties>
</file>