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rPr>
      </w:pPr>
      <w:r>
        <w:rPr>
          <w:b w:val="false"/>
          <w:bCs/>
        </w:rPr>
      </w:r>
    </w:p>
    <w:p>
      <w:pPr>
        <w:pStyle w:val="Normal"/>
        <w:rPr>
          <w:b/>
          <w:bCs/>
        </w:rPr>
      </w:pPr>
      <w:r>
        <w:rPr>
          <w:b/>
          <w:bCs/>
        </w:rPr>
      </w:r>
    </w:p>
    <w:p>
      <w:pPr>
        <w:pStyle w:val="Normal"/>
        <w:rPr/>
      </w:pPr>
      <w:r>
        <w:rPr/>
      </w:r>
    </w:p>
    <w:p>
      <w:pPr>
        <w:pStyle w:val="Normal"/>
        <w:rPr/>
      </w:pPr>
      <w:r>
        <w:rPr/>
        <w:t>July 17, 2000</w:t>
      </w:r>
    </w:p>
    <w:p>
      <w:pPr>
        <w:pStyle w:val="Normal"/>
        <w:rPr/>
      </w:pPr>
      <w:r>
        <w:rPr/>
      </w:r>
    </w:p>
    <w:p>
      <w:pPr>
        <w:pStyle w:val="Normal"/>
        <w:rPr/>
      </w:pPr>
      <w:r>
        <w:rPr/>
      </w:r>
    </w:p>
    <w:p>
      <w:pPr>
        <w:pStyle w:val="Normal"/>
        <w:rPr>
          <w:b/>
        </w:rPr>
      </w:pPr>
      <w:r>
        <w:rPr>
          <w:b/>
        </w:rPr>
        <w:t>ADVICE 2250-G</w:t>
      </w:r>
    </w:p>
    <w:p>
      <w:pPr>
        <w:pStyle w:val="Normal"/>
        <w:rPr/>
      </w:pPr>
      <w:r>
        <w:rPr/>
      </w:r>
    </w:p>
    <w:p>
      <w:pPr>
        <w:pStyle w:val="Normal"/>
        <w:rPr/>
      </w:pPr>
      <w:r>
        <w:rPr/>
      </w:r>
    </w:p>
    <w:p>
      <w:pPr>
        <w:pStyle w:val="Normal"/>
        <w:rPr/>
      </w:pPr>
      <w:r>
        <w:rPr/>
        <w:t>Public Utilities Commission of the State of California</w:t>
      </w:r>
    </w:p>
    <w:p>
      <w:pPr>
        <w:pStyle w:val="Normal"/>
        <w:rPr/>
      </w:pPr>
      <w:r>
        <w:rPr/>
      </w:r>
    </w:p>
    <w:p>
      <w:pPr>
        <w:pStyle w:val="Normal"/>
        <w:jc w:val="both"/>
        <w:rPr/>
      </w:pPr>
      <w:r>
        <w:rPr/>
        <w:t>Pacific Gas and Electric Company (the Company) hereby submits for filing revisions to its gas tariffs.  The affected tariff sheets are listed on the enclosed Attachment 1.</w:t>
      </w:r>
    </w:p>
    <w:p>
      <w:pPr>
        <w:pStyle w:val="Normal"/>
        <w:rPr/>
      </w:pPr>
      <w:r>
        <w:rPr/>
      </w:r>
    </w:p>
    <w:p>
      <w:pPr>
        <w:pStyle w:val="Normal"/>
        <w:jc w:val="both"/>
        <w:rPr/>
      </w:pPr>
      <w:r>
        <w:rPr/>
        <w:t>Decision (D.) 99-07-015 dated July 8, 1999, encouraged the Company and other parties to file a Comprehensive Settlement Agreement proposal in connection with Commission Rulemaking (R.) 98-01-011 to assess the market and regulatory framework of California’s natural gas industry and to consider promising options for continued industry restructuring as applied to the Company’s natural gas system.  The decision identified key areas and goals for the focus of the proceeding.  After prehearing conferences, submission of prepared testimony, and various motions and Commission rulings, the Company and the Settlement Parties</w:t>
      </w:r>
      <w:r>
        <w:rPr>
          <w:rStyle w:val="FootnoteCharacters"/>
          <w:rStyle w:val="FootnoteReference"/>
        </w:rPr>
        <w:footnoteReference w:id="2"/>
      </w:r>
      <w:r>
        <w:rPr/>
        <w:t xml:space="preserve"> submitted a proposed Settlement Agreement to the Commission on January 28, 2000.  All issues related to the Company were resolved through this Settlement, some of which require changes to the Company’s tariffs. Settlement Agreement issues include:</w:t>
      </w:r>
    </w:p>
    <w:p>
      <w:pPr>
        <w:pStyle w:val="Normal"/>
        <w:jc w:val="both"/>
        <w:rPr/>
      </w:pPr>
      <w:r>
        <w:rPr/>
      </w:r>
    </w:p>
    <w:p>
      <w:pPr>
        <w:pStyle w:val="Normal"/>
        <w:numPr>
          <w:ilvl w:val="0"/>
          <w:numId w:val="2"/>
        </w:numPr>
        <w:jc w:val="both"/>
        <w:rPr/>
      </w:pPr>
      <w:r>
        <w:rPr/>
        <w:t>Self-Balancing Services (Settlement Section 2.1),</w:t>
      </w:r>
    </w:p>
    <w:p>
      <w:pPr>
        <w:pStyle w:val="Normal"/>
        <w:numPr>
          <w:ilvl w:val="0"/>
          <w:numId w:val="2"/>
        </w:numPr>
        <w:jc w:val="both"/>
        <w:rPr/>
      </w:pPr>
      <w:r>
        <w:rPr/>
        <w:t>Anonymous Imbalance Trading (Section 2.2.2),</w:t>
      </w:r>
    </w:p>
    <w:p>
      <w:pPr>
        <w:pStyle w:val="Normal"/>
        <w:numPr>
          <w:ilvl w:val="0"/>
          <w:numId w:val="2"/>
        </w:numPr>
        <w:jc w:val="both"/>
        <w:rPr/>
      </w:pPr>
      <w:r>
        <w:rPr/>
        <w:t>Trading OFO Day Imbalance Rights (Section 2.2.3)</w:t>
      </w:r>
    </w:p>
    <w:p>
      <w:pPr>
        <w:pStyle w:val="Normal"/>
        <w:numPr>
          <w:ilvl w:val="0"/>
          <w:numId w:val="2"/>
        </w:numPr>
        <w:jc w:val="both"/>
        <w:rPr/>
      </w:pPr>
      <w:r>
        <w:rPr/>
        <w:t xml:space="preserve">Unbundling of Core Storage (Section 2.5), </w:t>
      </w:r>
    </w:p>
    <w:p>
      <w:pPr>
        <w:pStyle w:val="Normal"/>
        <w:numPr>
          <w:ilvl w:val="0"/>
          <w:numId w:val="2"/>
        </w:numPr>
        <w:jc w:val="both"/>
        <w:rPr/>
      </w:pPr>
      <w:r>
        <w:rPr/>
        <w:t>Electronic Intrastate Capacity Trading (Section 2.8), and</w:t>
      </w:r>
    </w:p>
    <w:p>
      <w:pPr>
        <w:pStyle w:val="Normal"/>
        <w:numPr>
          <w:ilvl w:val="0"/>
          <w:numId w:val="2"/>
        </w:numPr>
        <w:jc w:val="both"/>
        <w:rPr/>
      </w:pPr>
      <w:r>
        <w:rPr>
          <w:rFonts w:eastAsia="Arial"/>
        </w:rPr>
        <w:t xml:space="preserve"> </w:t>
      </w:r>
      <w:r>
        <w:rPr/>
        <w:t>Billing Credits for Consolidated Billing by Core Transport Agents (Section 2.11)</w:t>
      </w:r>
    </w:p>
    <w:p>
      <w:pPr>
        <w:pStyle w:val="Normal"/>
        <w:jc w:val="both"/>
        <w:rPr/>
      </w:pPr>
      <w:r>
        <w:rPr/>
      </w:r>
    </w:p>
    <w:p>
      <w:pPr>
        <w:pStyle w:val="BodyText"/>
        <w:rPr/>
      </w:pPr>
      <w:r>
        <w:rPr/>
        <w:t>Commission D. 00-05-049 dated May 18, 2000, approved the Settlement Agreement and ordered the Company to file an advice letter and tariffs to implement the Settlement Agreement within 60 days of the date of D. 00-05-049 (Section 1.7 of the Settlement Agreement.  Advice 2250-G is made in conjunction with Advice 2251-G filed this date, which also complies with D. 00-05-049.  Advice 2251-G addresses pilot programs for customer ownership of new meters and meter add-on devices.  Advice 2250-G</w:t>
      </w:r>
      <w:r>
        <w:rPr>
          <w:b/>
        </w:rPr>
        <w:t xml:space="preserve"> </w:t>
      </w:r>
      <w:r>
        <w:rPr/>
        <w:t xml:space="preserve">addresses all other issues that require tariff modifications.  </w:t>
      </w:r>
    </w:p>
    <w:p>
      <w:pPr>
        <w:pStyle w:val="Normal"/>
        <w:jc w:val="both"/>
        <w:rPr/>
      </w:pPr>
      <w:r>
        <w:rPr/>
      </w:r>
    </w:p>
    <w:p>
      <w:pPr>
        <w:pStyle w:val="Normal"/>
        <w:jc w:val="both"/>
        <w:rPr/>
      </w:pPr>
      <w:r>
        <w:rPr/>
        <w:t>Also, in accordance with Section 1.7 of the Settlement Agreement, the Company provided pro forma tariffs to the I. 99-07-003 parties on March 28, 2000.  The Company also sent revised pro forma tariffs reflecting discussions with the parties on May 25 and June 23, 2000.  Additionally, the Company hosted tariff workshops on April 10, June 13, June 30, and July 6, 2000, to obtain feedback from all parties on the tariff revisions required to comply with and implement the Settlement Agreement.  The Company has incorporated many of the comments and suggestions of parties into the tariffs filed herein.</w:t>
      </w:r>
    </w:p>
    <w:p>
      <w:pPr>
        <w:pStyle w:val="Normal"/>
        <w:jc w:val="both"/>
        <w:rPr/>
      </w:pPr>
      <w:r>
        <w:rPr/>
      </w:r>
    </w:p>
    <w:p>
      <w:pPr>
        <w:pStyle w:val="Normal"/>
        <w:jc w:val="both"/>
        <w:rPr/>
      </w:pPr>
      <w:r>
        <w:rPr/>
        <w:t xml:space="preserve">The specific provisions will be implemented on a schedule consistent with the Settlement Agreement.  Estimated dates for implementing certain provisions once the tariffs are authorized are shown in </w:t>
      </w:r>
      <w:r>
        <w:rPr>
          <w:bCs/>
        </w:rPr>
        <w:t>Attachment 5</w:t>
      </w:r>
      <w:r>
        <w:rPr/>
        <w:t>.</w:t>
      </w:r>
    </w:p>
    <w:p>
      <w:pPr>
        <w:pStyle w:val="Header"/>
        <w:tabs>
          <w:tab w:val="clear" w:pos="4320"/>
          <w:tab w:val="clear" w:pos="8640"/>
        </w:tabs>
        <w:rPr/>
      </w:pPr>
      <w:r>
        <w:rPr/>
      </w:r>
    </w:p>
    <w:p>
      <w:pPr>
        <w:pStyle w:val="Heading1"/>
        <w:ind w:hanging="0" w:start="0"/>
        <w:rPr/>
      </w:pPr>
      <w:r>
        <w:rPr/>
        <w:t>1.  SELF-BALANCING SERVICES</w:t>
      </w:r>
    </w:p>
    <w:p>
      <w:pPr>
        <w:pStyle w:val="Header"/>
        <w:tabs>
          <w:tab w:val="clear" w:pos="4320"/>
          <w:tab w:val="clear" w:pos="8640"/>
        </w:tabs>
        <w:rPr/>
      </w:pPr>
      <w:r>
        <w:rPr/>
      </w:r>
    </w:p>
    <w:p>
      <w:pPr>
        <w:pStyle w:val="BodyText"/>
        <w:rPr/>
      </w:pPr>
      <w:r>
        <w:rPr/>
        <w:t>The Company’s current tariffs provide that under Schedule G-BAL—</w:t>
      </w:r>
      <w:r>
        <w:rPr>
          <w:i/>
        </w:rPr>
        <w:t>Gas Balancing Service for Intrastate Transportation Customers</w:t>
      </w:r>
      <w:r>
        <w:rPr/>
        <w:t>, transportation customers are provided a monthly imbalance tolerance band of plus or minus 5 percent between usage and actual supply.  The revised Schedule G-BAL and a new agreement form described below reflect the primary tariff changes to implement the Settlement Agreement provision for an additional option for daily “Self-Balancing”.  Gas Rule 14 also contains new provisions relevant to Self-Balancing.</w:t>
      </w:r>
    </w:p>
    <w:p>
      <w:pPr>
        <w:pStyle w:val="BodyText"/>
        <w:rPr/>
      </w:pPr>
      <w:r>
        <w:rPr/>
      </w:r>
    </w:p>
    <w:p>
      <w:pPr>
        <w:pStyle w:val="BodyText"/>
        <w:rPr>
          <w:b/>
          <w:i/>
          <w:i/>
        </w:rPr>
      </w:pPr>
      <w:r>
        <w:rPr>
          <w:b/>
          <w:i/>
        </w:rPr>
        <w:t>Schedule G-BAL</w:t>
      </w:r>
    </w:p>
    <w:p>
      <w:pPr>
        <w:pStyle w:val="BodyText"/>
        <w:rPr>
          <w:b/>
          <w:i/>
          <w:i/>
        </w:rPr>
      </w:pPr>
      <w:r>
        <w:rPr>
          <w:b/>
          <w:i/>
        </w:rPr>
      </w:r>
    </w:p>
    <w:p>
      <w:pPr>
        <w:pStyle w:val="BodyText"/>
        <w:rPr/>
      </w:pPr>
      <w:r>
        <w:rPr/>
        <w:t>Revised Schedule G-BAL includes the provisions for the Self-Balancing Option.  This option allows for a daily imbalance tolerance band of plus or minus 10 percent between usage and supply, with a monthly imbalance tolerance band of plus or minus one percent of metered usage for noncore and wholesale customers within an Agent’s Noncore Balancing Aggregation Agreement (NBAA) Group and Core Transport Groups.</w:t>
      </w:r>
      <w:r>
        <w:rPr>
          <w:rStyle w:val="FootnoteCharacters"/>
          <w:rStyle w:val="FootnoteReference"/>
        </w:rPr>
        <w:footnoteReference w:id="3"/>
      </w:r>
      <w:r>
        <w:rPr/>
        <w:t xml:space="preserve">  Customers who select Self-Balancing also will be subject to an Accumulated Daily Imbalance which cannot exceed plus or minus one percent of the customer's Pre-Determined Monthly Usage (PDMU).  The PDMU is based on the customer’s historical usage, adjusted for certain factors.  Noncore customers electing this option must have meters that record their daily usage.  Self-Balancing for Core Transport Groups will be based on a daily usage forecast.  Customers participating in Self-Balancing will receive a credit of $0.0050 per decatherm times their actual monthly metered usage, which offsets the balancing costs included in the backbone transmission rates.</w:t>
      </w:r>
    </w:p>
    <w:p>
      <w:pPr>
        <w:pStyle w:val="Normal"/>
        <w:rPr/>
      </w:pPr>
      <w:r>
        <w:rPr/>
      </w:r>
    </w:p>
    <w:p>
      <w:pPr>
        <w:pStyle w:val="BodyText"/>
        <w:rPr/>
      </w:pPr>
      <w:r>
        <w:rPr/>
        <w:t>Self-Balancing elections are limited to 50 percent of the total storage balancing assets, and are made each February for a minimum one-year term effective April 1 through March 31. Other limitations and cash-out provisions apply, including a noncompliance charge of $1 per decatherm per day if the Accumulated Daily or Daily Imbalance tolerance band is exceeded.  Noncompliance charges will be recorded in the Balancing Charge Account (BCA), as shown in Preliminary Statement, Part L.</w:t>
      </w:r>
    </w:p>
    <w:p>
      <w:pPr>
        <w:pStyle w:val="BodyText"/>
        <w:rPr/>
      </w:pPr>
      <w:r>
        <w:rPr/>
      </w:r>
    </w:p>
    <w:p>
      <w:pPr>
        <w:pStyle w:val="BodyText"/>
        <w:rPr>
          <w:b/>
          <w:i/>
          <w:i/>
        </w:rPr>
      </w:pPr>
      <w:r>
        <w:rPr>
          <w:b/>
          <w:i/>
        </w:rPr>
        <w:t>Election for Self-Balancing Option (Self-Balancing Amendment) (Form 79-971)</w:t>
      </w:r>
    </w:p>
    <w:p>
      <w:pPr>
        <w:pStyle w:val="BodyText"/>
        <w:rPr>
          <w:b/>
          <w:i/>
          <w:i/>
        </w:rPr>
      </w:pPr>
      <w:r>
        <w:rPr>
          <w:b/>
          <w:i/>
        </w:rPr>
      </w:r>
    </w:p>
    <w:p>
      <w:pPr>
        <w:pStyle w:val="BodyText"/>
        <w:rPr/>
      </w:pPr>
      <w:r>
        <w:rPr/>
        <w:t xml:space="preserve">The new form for </w:t>
      </w:r>
      <w:r>
        <w:rPr>
          <w:u w:val="single"/>
        </w:rPr>
        <w:t>Election for Self-Balancing Option</w:t>
      </w:r>
      <w:r>
        <w:rPr/>
        <w:t xml:space="preserve"> provides that the holder of a Noncore Balancing Aggregation Agreement (NBAA) for noncore and wholesale customers or a Core Transport Agent (CTA) on behalf of Core Transport Group may utilize the Self-Balancing Option.  Each NBAA or Core Transport group may choose one of two options:  Monthly Balancing or Self-Balancing.  The Self-Balancing Agreement has a term of either one or two years beginning on April 1 to coincide with the beginning of the annual storage season.</w:t>
      </w:r>
    </w:p>
    <w:p>
      <w:pPr>
        <w:pStyle w:val="BodyText"/>
        <w:rPr/>
      </w:pPr>
      <w:r>
        <w:rPr/>
      </w:r>
    </w:p>
    <w:p>
      <w:pPr>
        <w:pStyle w:val="BodyText"/>
        <w:rPr>
          <w:b/>
        </w:rPr>
      </w:pPr>
      <w:r>
        <w:rPr>
          <w:b/>
        </w:rPr>
        <w:t>2.  ANONYMOUS IMBALANCE TRADING</w:t>
      </w:r>
    </w:p>
    <w:p>
      <w:pPr>
        <w:pStyle w:val="BodyText"/>
        <w:rPr>
          <w:b/>
        </w:rPr>
      </w:pPr>
      <w:r>
        <w:rPr>
          <w:b/>
        </w:rPr>
      </w:r>
    </w:p>
    <w:p>
      <w:pPr>
        <w:pStyle w:val="BodyText"/>
        <w:rPr/>
      </w:pPr>
      <w:r>
        <w:rPr/>
        <w:t>Currently, parties can trade monthly imbalances using the Company’s posting system.  The Settlement Agreement adds an anonymous electronic trading system using the trading platform of an authorized Third-Party Service Provider (TPSP).</w:t>
      </w:r>
      <w:r>
        <w:rPr>
          <w:rStyle w:val="FootnoteCharacters"/>
          <w:rStyle w:val="FootnoteReference"/>
        </w:rPr>
        <w:footnoteReference w:id="4"/>
      </w:r>
      <w:r>
        <w:rPr/>
        <w:t xml:space="preserve">  These provisions are set forth in Schedule G-BAL.  The Company receives transaction fees from the TPSP, of which one-half are recorded as a credit to the BCA, as shown in Preliminary Statement, Part L.  Anonymous imbalance trading transactions are also subject to applicable terms, conditions, and charges designated by the TPSPs.  </w:t>
      </w:r>
    </w:p>
    <w:p>
      <w:pPr>
        <w:pStyle w:val="BodyText"/>
        <w:rPr/>
      </w:pPr>
      <w:r>
        <w:rPr/>
      </w:r>
    </w:p>
    <w:p>
      <w:pPr>
        <w:pStyle w:val="Heading1"/>
        <w:ind w:hanging="0" w:start="0"/>
        <w:rPr/>
      </w:pPr>
      <w:r>
        <w:rPr/>
        <w:t>3.  TRADING OFO DAY IMBALANCE RIGHTS</w:t>
      </w:r>
    </w:p>
    <w:p>
      <w:pPr>
        <w:pStyle w:val="Normal"/>
        <w:rPr/>
      </w:pPr>
      <w:r>
        <w:rPr/>
      </w:r>
    </w:p>
    <w:p>
      <w:pPr>
        <w:pStyle w:val="Normal"/>
        <w:jc w:val="both"/>
        <w:rPr/>
      </w:pPr>
      <w:r>
        <w:rPr/>
        <w:t>Today, Operational Flow Order (OFO) tolerances are individually applied to each balancing group.  The Settlement Agreement provides for trading of imbalance rights for each OFO day, which are based on a balancing group’s imbalance position relative to the tolerance level for that OFO day.  These trading provisions are reflected primarily in revisions to Rules 14 and 25, as described below.  All transaction fees received by the Company from TPSPs associated with the trading of OFO imbalance rights shall be recorded as a credit to the BCA, as shown in Preliminary Statement, Part L.</w:t>
      </w:r>
    </w:p>
    <w:p>
      <w:pPr>
        <w:pStyle w:val="Normal"/>
        <w:rPr/>
      </w:pPr>
      <w:r>
        <w:rPr/>
      </w:r>
    </w:p>
    <w:p>
      <w:pPr>
        <w:pStyle w:val="Heading1"/>
        <w:ind w:hanging="0" w:start="0"/>
        <w:rPr>
          <w:i/>
          <w:i/>
        </w:rPr>
      </w:pPr>
      <w:r>
        <w:rPr>
          <w:i/>
        </w:rPr>
        <w:t>Rule 14--Capacity Allocation and Constraint of Natural Gas</w:t>
      </w:r>
    </w:p>
    <w:p>
      <w:pPr>
        <w:pStyle w:val="Normal"/>
        <w:jc w:val="both"/>
        <w:rPr>
          <w:i/>
          <w:i/>
        </w:rPr>
      </w:pPr>
      <w:r>
        <w:rPr>
          <w:i/>
        </w:rPr>
      </w:r>
    </w:p>
    <w:p>
      <w:pPr>
        <w:pStyle w:val="Normal"/>
        <w:jc w:val="both"/>
        <w:rPr/>
      </w:pPr>
      <w:r>
        <w:rPr/>
        <w:t>Rule 14--</w:t>
      </w:r>
      <w:r>
        <w:rPr>
          <w:i/>
        </w:rPr>
        <w:t>Capacity Allocation and Constraint of Natural Gas</w:t>
      </w:r>
      <w:r>
        <w:rPr/>
        <w:t>, Section E—Operational Flow Orders, sets forth conditions to implement OFO Imbalance Rights trading for those days in a month when system-wide OFOs are called.  A customer may only trade OFO Imbalance Rights using the electronic trading platform of the TPSP.</w:t>
      </w:r>
    </w:p>
    <w:p>
      <w:pPr>
        <w:pStyle w:val="BodyText"/>
        <w:rPr/>
      </w:pPr>
      <w:r>
        <w:rPr/>
      </w:r>
    </w:p>
    <w:p>
      <w:pPr>
        <w:pStyle w:val="BodyText"/>
        <w:rPr>
          <w:b/>
          <w:i/>
          <w:i/>
        </w:rPr>
      </w:pPr>
      <w:r>
        <w:rPr>
          <w:b/>
          <w:i/>
        </w:rPr>
        <w:t>Rule 25--Customer Creditworthiness and Payment Terms</w:t>
      </w:r>
    </w:p>
    <w:p>
      <w:pPr>
        <w:pStyle w:val="BodyText"/>
        <w:rPr>
          <w:b/>
          <w:i/>
          <w:i/>
        </w:rPr>
      </w:pPr>
      <w:r>
        <w:rPr>
          <w:b/>
          <w:i/>
        </w:rPr>
      </w:r>
    </w:p>
    <w:p>
      <w:pPr>
        <w:pStyle w:val="BodyText"/>
        <w:rPr/>
      </w:pPr>
      <w:r>
        <w:rPr/>
        <w:t>In accordance with the Settlement Agreement, gas Rule 25--</w:t>
      </w:r>
      <w:r>
        <w:rPr>
          <w:i/>
          <w:iCs/>
        </w:rPr>
        <w:t>Gas Services--</w:t>
      </w:r>
      <w:r>
        <w:rPr>
          <w:i/>
        </w:rPr>
        <w:t>Customer Creditworthiness and Payment Terms</w:t>
      </w:r>
      <w:r>
        <w:rPr/>
        <w:t>, has a new Section A.1 for Credit for Transactions with TPSPs under Schedule G-BAL, and gas Rules 14 and new 21.2—</w:t>
      </w:r>
      <w:r>
        <w:rPr>
          <w:i/>
          <w:iCs/>
        </w:rPr>
        <w:t>Customer Assignment of Intrastate Rights</w:t>
      </w:r>
      <w:r>
        <w:rPr/>
        <w:t>.</w:t>
      </w:r>
    </w:p>
    <w:p>
      <w:pPr>
        <w:pStyle w:val="BodyText"/>
        <w:rPr/>
      </w:pPr>
      <w:r>
        <w:rPr/>
      </w:r>
    </w:p>
    <w:p>
      <w:pPr>
        <w:pStyle w:val="BodyText"/>
        <w:rPr>
          <w:b/>
        </w:rPr>
      </w:pPr>
      <w:r>
        <w:rPr>
          <w:b/>
        </w:rPr>
        <w:t>4.  UNBUNDLED CORE STORAGE</w:t>
      </w:r>
    </w:p>
    <w:p>
      <w:pPr>
        <w:pStyle w:val="BodyText"/>
        <w:rPr>
          <w:b/>
        </w:rPr>
      </w:pPr>
      <w:r>
        <w:rPr>
          <w:b/>
        </w:rPr>
      </w:r>
    </w:p>
    <w:p>
      <w:pPr>
        <w:pStyle w:val="BodyText"/>
        <w:rPr/>
      </w:pPr>
      <w:r>
        <w:rPr/>
        <w:t>Currently, CTAs are allocated, and must maintain, inventory in the Company’s storage facilities in proportion to the core load that they serve.  Under the Settlement Agreement, CTAs now have the option to reject all or a portion of their storage allocations, subject to certain caps.  New Schedule G-CFS—</w:t>
      </w:r>
      <w:r>
        <w:rPr>
          <w:i/>
        </w:rPr>
        <w:t>Core Firm Storage</w:t>
      </w:r>
      <w:r>
        <w:rPr/>
        <w:t>, revised Schedule G-CT—</w:t>
      </w:r>
      <w:r>
        <w:rPr>
          <w:i/>
        </w:rPr>
        <w:t>Core Gas Aggregation Service</w:t>
      </w:r>
      <w:r>
        <w:rPr/>
        <w:t>, modified Rule 23—</w:t>
      </w:r>
      <w:r>
        <w:rPr>
          <w:i/>
        </w:rPr>
        <w:t>Gas Aggregation Service for Core Transport Customers</w:t>
      </w:r>
      <w:r>
        <w:rPr/>
        <w:t xml:space="preserve">, the revised </w:t>
      </w:r>
      <w:r>
        <w:rPr>
          <w:u w:val="single"/>
        </w:rPr>
        <w:t>Core Gas Aggregation Service Agreement</w:t>
      </w:r>
      <w:r>
        <w:rPr/>
        <w:t xml:space="preserve"> (Form 79-845), and new Attachment I to the CTA Agreement, all submitted herein, are the primary tariffs implementing the new unbundled storage provisions. Changes to the Preliminary Statement to implement unbundled core storage are described in a separate section below.</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b/>
          <w:i/>
          <w:i/>
        </w:rPr>
      </w:pPr>
      <w:r>
        <w:rPr>
          <w:b/>
          <w:i/>
        </w:rPr>
        <w:t>Schedule G-CFS--Core Firm Storage</w:t>
      </w:r>
    </w:p>
    <w:p>
      <w:pPr>
        <w:pStyle w:val="BodyText"/>
        <w:rPr>
          <w:b/>
          <w:i/>
          <w:i/>
        </w:rPr>
      </w:pPr>
      <w:r>
        <w:rPr>
          <w:b/>
          <w:i/>
        </w:rPr>
      </w:r>
    </w:p>
    <w:p>
      <w:pPr>
        <w:pStyle w:val="BodyText"/>
        <w:rPr/>
      </w:pPr>
      <w:r>
        <w:rPr/>
        <w:t xml:space="preserve">New Schedule G-CFS provides rates and charges associated with core firm storage capacity assigned to CTAs by the Company under the provisions of the Settlement Agreement.  Schedule G-CFS shows the monthly charge for assigned storage capacity.  Schedule G-CFS also sets forth formulas for amounts of inventory gas to be transferred between CTAs and the Company's Core Procurement Department when storage quantities change, as well as the calculation of unit prices for storage gas sold or purchased by the CTA from the Core Procurement Department.  The calculation of monthly storage rates for CTAs on Schedule G-CFS is shown in </w:t>
      </w:r>
      <w:r>
        <w:rPr>
          <w:bCs/>
        </w:rPr>
        <w:t>Attachment 2a.</w:t>
      </w:r>
    </w:p>
    <w:p>
      <w:pPr>
        <w:pStyle w:val="BodyText"/>
        <w:rPr/>
      </w:pPr>
      <w:r>
        <w:rPr/>
      </w:r>
    </w:p>
    <w:p>
      <w:pPr>
        <w:pStyle w:val="BodyText"/>
        <w:rPr>
          <w:b/>
          <w:i/>
          <w:i/>
        </w:rPr>
      </w:pPr>
      <w:r>
        <w:rPr>
          <w:b/>
          <w:i/>
        </w:rPr>
        <w:t>Rate Changes –Core Firm Storage Unbundling</w:t>
      </w:r>
    </w:p>
    <w:p>
      <w:pPr>
        <w:pStyle w:val="BodyText"/>
        <w:rPr>
          <w:b/>
          <w:i/>
          <w:i/>
        </w:rPr>
      </w:pPr>
      <w:r>
        <w:rPr>
          <w:b/>
          <w:i/>
        </w:rPr>
      </w:r>
    </w:p>
    <w:p>
      <w:pPr>
        <w:pStyle w:val="BodyText"/>
        <w:rPr/>
      </w:pPr>
      <w:r>
        <w:rPr/>
        <w:t xml:space="preserve">Storage costs are currently part of the transportation revenue requirement.  As described in the Settlement Agreement, once core storage is unbundled, core storage costs allocated to the Company’s core procurement service will be recovered as part of core procurement rates.  A core storage rate component will be included in the monthly core procurement price that is filed for the first month in which core storage unbundling is implemented. Transportation rate changes to remove the core storage component from transportation rates will be made in conjunction with the core procurement monthly price filing. Calculations for illustrative procurement rate core storage components are shown in Attachment 2b. Illustrative resulting transportation rates are shown in </w:t>
      </w:r>
      <w:r>
        <w:rPr>
          <w:bCs/>
        </w:rPr>
        <w:t>Attachments 3 and 4</w:t>
      </w:r>
      <w:r>
        <w:rPr/>
        <w:t>.</w:t>
      </w:r>
      <w:r>
        <w:rPr>
          <w:rStyle w:val="FootnoteCharacters"/>
          <w:rStyle w:val="FootnoteReference"/>
        </w:rPr>
        <w:footnoteReference w:id="5"/>
      </w:r>
    </w:p>
    <w:p>
      <w:pPr>
        <w:pStyle w:val="BodyText"/>
        <w:rPr/>
      </w:pPr>
      <w:r>
        <w:rPr/>
      </w:r>
    </w:p>
    <w:p>
      <w:pPr>
        <w:pStyle w:val="BodyText"/>
        <w:rPr>
          <w:b/>
          <w:i/>
          <w:i/>
        </w:rPr>
      </w:pPr>
      <w:r>
        <w:rPr>
          <w:b/>
          <w:i/>
        </w:rPr>
        <w:t>Schedule G-CT--Core Gas Aggregation Service</w:t>
      </w:r>
    </w:p>
    <w:p>
      <w:pPr>
        <w:pStyle w:val="Normal"/>
        <w:jc w:val="both"/>
        <w:rPr>
          <w:b/>
          <w:i/>
          <w:i/>
        </w:rPr>
      </w:pPr>
      <w:r>
        <w:rPr>
          <w:b/>
          <w:i/>
        </w:rPr>
      </w:r>
    </w:p>
    <w:p>
      <w:pPr>
        <w:pStyle w:val="Normal"/>
        <w:jc w:val="both"/>
        <w:rPr/>
      </w:pPr>
      <w:r>
        <w:rPr/>
        <w:t>Revisions are being made to Schedule G-CT to implement core storage unbundling.  In addition, changes regarding alternate resources for the CTA’s Firm Winter Intrastate Capacity requirement have been added to Schedule G-CT.  These changes are designed to synchronize the processing of storage and capacity elections and declarations.</w:t>
      </w:r>
    </w:p>
    <w:p>
      <w:pPr>
        <w:pStyle w:val="Normal"/>
        <w:jc w:val="both"/>
        <w:rPr/>
      </w:pPr>
      <w:r>
        <w:rPr/>
      </w:r>
    </w:p>
    <w:p>
      <w:pPr>
        <w:pStyle w:val="Normal"/>
        <w:jc w:val="both"/>
        <w:rPr/>
      </w:pPr>
      <w:r>
        <w:rPr/>
        <w:t>Following are descriptions of changes to Schedule G-CT:</w:t>
      </w:r>
    </w:p>
    <w:p>
      <w:pPr>
        <w:pStyle w:val="Normal"/>
        <w:jc w:val="both"/>
        <w:rPr/>
      </w:pPr>
      <w:r>
        <w:rPr/>
      </w:r>
    </w:p>
    <w:p>
      <w:pPr>
        <w:pStyle w:val="Heading2"/>
        <w:ind w:hanging="0" w:start="270" w:end="0"/>
        <w:rPr/>
      </w:pPr>
      <w:r>
        <w:rPr/>
        <w:t>Core Firm Storage Allocations</w:t>
      </w:r>
    </w:p>
    <w:p>
      <w:pPr>
        <w:pStyle w:val="Normal"/>
        <w:ind w:start="270" w:end="0"/>
        <w:jc w:val="both"/>
        <w:rPr/>
      </w:pPr>
      <w:r>
        <w:rPr/>
      </w:r>
    </w:p>
    <w:p>
      <w:pPr>
        <w:pStyle w:val="Normal"/>
        <w:ind w:start="270" w:end="0"/>
        <w:jc w:val="both"/>
        <w:rPr/>
      </w:pPr>
      <w:r>
        <w:rPr/>
        <w:t>In accordance with the Settlement Agreement, the current Core Storage Allocation section of Schedule G-CT is replaced by a new section, Core Firm Storage, which provides for allocation by the Company to CTAs of their pro rata share of the total annual core firm storage reservations.  Schedule G-CT also has new sections on Injection and Withdrawal Schedules for Assigned Core Storage, Assigned Storage Payments, Annual Caps on Rejected Storage, and Mid-Year and Winter Storage Allocation Adjustments. Subject to the Annual Caps, CTAs have the flexibility to reject all or a portion of their annual allocation of storage in 10 percent increments, and adjust their annual storage election for increases and decreases in loads during the storage year.</w:t>
      </w:r>
    </w:p>
    <w:p>
      <w:pPr>
        <w:pStyle w:val="Normal"/>
        <w:jc w:val="both"/>
        <w:rPr/>
      </w:pPr>
      <w:r>
        <w:rPr/>
      </w:r>
    </w:p>
    <w:p>
      <w:pPr>
        <w:pStyle w:val="Heading2"/>
        <w:ind w:hanging="0" w:start="270" w:end="0"/>
        <w:rPr/>
      </w:pPr>
      <w:r>
        <w:rPr/>
        <w:t>Core Firm Storage Alternate Resources</w:t>
      </w:r>
    </w:p>
    <w:p>
      <w:pPr>
        <w:pStyle w:val="Normal"/>
        <w:ind w:start="270" w:end="0"/>
        <w:jc w:val="both"/>
        <w:rPr/>
      </w:pPr>
      <w:r>
        <w:rPr/>
      </w:r>
    </w:p>
    <w:p>
      <w:pPr>
        <w:pStyle w:val="BodyTextIndent2"/>
        <w:rPr/>
      </w:pPr>
      <w:r>
        <w:rPr/>
        <w:t>In accordance with the Settlement Agreement, Schedule G-CT now provides that CTAs must certify that they have alternate resources to replace Company-offered assignment of storage withdrawal capacity that the CTA may choose to reject.  CTAs must release and indemnify the Company from liability associated with rejected storage assets.</w:t>
      </w:r>
    </w:p>
    <w:p>
      <w:pPr>
        <w:pStyle w:val="Normal"/>
        <w:jc w:val="both"/>
        <w:rPr/>
      </w:pPr>
      <w:r>
        <w:rPr/>
      </w:r>
    </w:p>
    <w:p>
      <w:pPr>
        <w:pStyle w:val="Heading3"/>
        <w:ind w:hanging="0" w:start="0"/>
        <w:rPr/>
      </w:pPr>
      <w:r>
        <w:rPr/>
        <w:t>Rule 23--Gas Aggregation Service for Core Transport Customers</w:t>
      </w:r>
    </w:p>
    <w:p>
      <w:pPr>
        <w:pStyle w:val="Normal"/>
        <w:jc w:val="both"/>
        <w:rPr/>
      </w:pPr>
      <w:r>
        <w:rPr/>
      </w:r>
    </w:p>
    <w:p>
      <w:pPr>
        <w:pStyle w:val="Normal"/>
        <w:jc w:val="both"/>
        <w:rPr/>
      </w:pPr>
      <w:r>
        <w:rPr/>
        <w:t>Section B.1 of Rule 23 contains credit requirements for CTAs accepting or assigning a storage allocation.</w:t>
      </w:r>
    </w:p>
    <w:p>
      <w:pPr>
        <w:pStyle w:val="Normal"/>
        <w:jc w:val="both"/>
        <w:rPr/>
      </w:pPr>
      <w:r>
        <w:rPr/>
      </w:r>
    </w:p>
    <w:p>
      <w:pPr>
        <w:pStyle w:val="Normal"/>
        <w:jc w:val="both"/>
        <w:rPr/>
      </w:pPr>
      <w:r>
        <w:rPr>
          <w:b/>
          <w:i/>
          <w:u w:val="single"/>
        </w:rPr>
        <w:t>Core Gas Aggregation Service Agreement</w:t>
      </w:r>
      <w:r>
        <w:rPr>
          <w:b/>
          <w:i/>
        </w:rPr>
        <w:t xml:space="preserve"> </w:t>
      </w:r>
      <w:r>
        <w:rPr>
          <w:b/>
          <w:i/>
          <w:u w:val="single"/>
        </w:rPr>
        <w:t>(</w:t>
      </w:r>
      <w:r>
        <w:rPr>
          <w:b/>
          <w:i/>
        </w:rPr>
        <w:t>Form 79-845)</w:t>
      </w:r>
    </w:p>
    <w:p>
      <w:pPr>
        <w:pStyle w:val="BodyText"/>
        <w:rPr>
          <w:b/>
          <w:i/>
          <w:i/>
        </w:rPr>
      </w:pPr>
      <w:r>
        <w:rPr>
          <w:b/>
          <w:i/>
        </w:rPr>
      </w:r>
    </w:p>
    <w:p>
      <w:pPr>
        <w:pStyle w:val="BodyText"/>
        <w:rPr/>
      </w:pPr>
      <w:r>
        <w:rPr/>
        <w:t xml:space="preserve">The </w:t>
      </w:r>
      <w:r>
        <w:rPr>
          <w:u w:val="single"/>
        </w:rPr>
        <w:t xml:space="preserve">Core Gas Aggregation Service Agreement </w:t>
      </w:r>
      <w:r>
        <w:rPr/>
        <w:t xml:space="preserve"> has been revised in accordance with the Settlement Agreement to reference revised Attachment D and new Attachments I and J, as described below.</w:t>
      </w:r>
    </w:p>
    <w:p>
      <w:pPr>
        <w:pStyle w:val="BodyText"/>
        <w:rPr/>
      </w:pPr>
      <w:r>
        <w:rPr/>
      </w:r>
    </w:p>
    <w:p>
      <w:pPr>
        <w:pStyle w:val="BodyText"/>
        <w:rPr>
          <w:b/>
          <w:i/>
          <w:i/>
        </w:rPr>
      </w:pPr>
      <w:r>
        <w:rPr>
          <w:b/>
          <w:i/>
        </w:rPr>
        <w:t>Attachment D--Core Firm Storage Declarations</w:t>
      </w:r>
    </w:p>
    <w:p>
      <w:pPr>
        <w:pStyle w:val="BodyText"/>
        <w:rPr>
          <w:b/>
          <w:i/>
          <w:i/>
        </w:rPr>
      </w:pPr>
      <w:r>
        <w:rPr>
          <w:b/>
          <w:i/>
        </w:rPr>
      </w:r>
    </w:p>
    <w:p>
      <w:pPr>
        <w:pStyle w:val="BodyText"/>
        <w:rPr/>
      </w:pPr>
      <w:r>
        <w:rPr/>
        <w:t>This attachment previously had been used for core storage allocations to CTAs.  It has been revised to also allow for CTA rejection and acceptance of allocations.</w:t>
      </w:r>
    </w:p>
    <w:p>
      <w:pPr>
        <w:pStyle w:val="BodyText"/>
        <w:rPr/>
      </w:pPr>
      <w:r>
        <w:rPr/>
      </w:r>
    </w:p>
    <w:p>
      <w:pPr>
        <w:pStyle w:val="BodyText"/>
        <w:rPr>
          <w:b/>
          <w:i/>
          <w:i/>
        </w:rPr>
      </w:pPr>
      <w:r>
        <w:rPr>
          <w:b/>
          <w:i/>
        </w:rPr>
        <w:t>Attachment I--Certification of Alternate Resources for Rejected Storage Withdrawal Capacity</w:t>
      </w:r>
    </w:p>
    <w:p>
      <w:pPr>
        <w:pStyle w:val="BodyText"/>
        <w:rPr>
          <w:b/>
          <w:i/>
          <w:i/>
        </w:rPr>
      </w:pPr>
      <w:r>
        <w:rPr>
          <w:b/>
          <w:i/>
        </w:rPr>
      </w:r>
    </w:p>
    <w:p>
      <w:pPr>
        <w:pStyle w:val="BodyText"/>
        <w:rPr/>
      </w:pPr>
      <w:r>
        <w:rPr/>
        <w:t>New Attachment I provides that CTAs who have rejected all or a portion of their annual storage allocation must certify prior to each Winter Season month that they have Alternate Resources which meet the criteria established in Schedule G-CT, in amounts equal to rejected storage withdrawal capacity from the CTA Group’s Initial or Mid-Year Storage Allocations.</w:t>
      </w:r>
    </w:p>
    <w:p>
      <w:pPr>
        <w:pStyle w:val="BodyText"/>
        <w:rPr/>
      </w:pPr>
      <w:r>
        <w:rPr/>
      </w:r>
    </w:p>
    <w:p>
      <w:pPr>
        <w:pStyle w:val="BodyText"/>
        <w:rPr>
          <w:b/>
          <w:i/>
          <w:i/>
        </w:rPr>
      </w:pPr>
      <w:r>
        <w:rPr>
          <w:b/>
          <w:i/>
        </w:rPr>
        <w:t>Attachment J—Declaration of Alternate Winter Capacity</w:t>
      </w:r>
    </w:p>
    <w:p>
      <w:pPr>
        <w:pStyle w:val="BodyText"/>
        <w:rPr>
          <w:b/>
          <w:i/>
          <w:i/>
        </w:rPr>
      </w:pPr>
      <w:r>
        <w:rPr>
          <w:b/>
          <w:i/>
        </w:rPr>
      </w:r>
    </w:p>
    <w:p>
      <w:pPr>
        <w:pStyle w:val="BodyText"/>
        <w:rPr/>
      </w:pPr>
      <w:r>
        <w:rPr/>
        <w:t>New Attachment J was previously designated as Form 79-943—</w:t>
      </w:r>
      <w:r>
        <w:rPr>
          <w:i/>
          <w:iCs/>
        </w:rPr>
        <w:t>Declaration of Firm Intrastate Pipeline Capacity</w:t>
      </w:r>
      <w:r>
        <w:rPr/>
        <w:t>, which was used by CTAs to declare holdings of firm winter capacity if they chose to reject winter allocations of capacity on the Redwood and Baja paths. Attachment J is essentially unchanged from Form 79-943, but has been made parallel to the new Attachment I to Form 79-845.</w:t>
      </w:r>
    </w:p>
    <w:p>
      <w:pPr>
        <w:pStyle w:val="BodyText"/>
        <w:rPr/>
      </w:pPr>
      <w:r>
        <w:rPr/>
      </w:r>
    </w:p>
    <w:p>
      <w:pPr>
        <w:pStyle w:val="Heading1"/>
        <w:ind w:hanging="0" w:start="0"/>
        <w:rPr/>
      </w:pPr>
      <w:r>
        <w:rPr/>
        <w:t>5.  ELECTRONIC INTRASTATE CAPACITY TRADING</w:t>
      </w:r>
    </w:p>
    <w:p>
      <w:pPr>
        <w:pStyle w:val="Normal"/>
        <w:rPr/>
      </w:pPr>
      <w:r>
        <w:rPr/>
      </w:r>
    </w:p>
    <w:p>
      <w:pPr>
        <w:pStyle w:val="BodyText"/>
        <w:rPr/>
      </w:pPr>
      <w:r>
        <w:rPr/>
        <w:t>Today customers may trade firm capacity rights held on the Company’s backbone transmission system, and may post their interest in trades using the Company’s electronic bulletin board.  The Settlement Agreement provides that a third party may offer, and the Company will facilitate, anonymous posting and electronic trading of such rights through the TPSP.</w:t>
      </w:r>
      <w:r>
        <w:rPr>
          <w:rStyle w:val="FootnoteCharacters"/>
          <w:rStyle w:val="FootnoteReference"/>
        </w:rPr>
        <w:footnoteReference w:id="6"/>
      </w:r>
      <w:r>
        <w:rPr/>
        <w:t xml:space="preserve">  One-half of the fees received by the Company for this service will be recorded in the BCA, as shown under Preliminary Statement, Part L.</w:t>
      </w:r>
    </w:p>
    <w:p>
      <w:pPr>
        <w:pStyle w:val="Normal"/>
        <w:rPr/>
      </w:pPr>
      <w:r>
        <w:rPr/>
      </w:r>
    </w:p>
    <w:p>
      <w:pPr>
        <w:pStyle w:val="Heading1"/>
        <w:ind w:hanging="0" w:start="0"/>
        <w:rPr>
          <w:i/>
          <w:i/>
        </w:rPr>
      </w:pPr>
      <w:r>
        <w:rPr>
          <w:i/>
        </w:rPr>
        <w:t>Rule 21.2—Customer Assignment of Intrastate Rights</w:t>
      </w:r>
    </w:p>
    <w:p>
      <w:pPr>
        <w:pStyle w:val="Normal"/>
        <w:rPr>
          <w:i/>
          <w:i/>
        </w:rPr>
      </w:pPr>
      <w:r>
        <w:rPr>
          <w:i/>
        </w:rPr>
      </w:r>
    </w:p>
    <w:p>
      <w:pPr>
        <w:pStyle w:val="Normal"/>
        <w:jc w:val="both"/>
        <w:rPr/>
      </w:pPr>
      <w:r>
        <w:rPr/>
        <w:t>New Rule 21.2</w:t>
      </w:r>
      <w:r>
        <w:rPr>
          <w:i/>
        </w:rPr>
        <w:t>—Customer Assignment of Intrastate Rights,</w:t>
      </w:r>
      <w:r>
        <w:rPr/>
        <w:t xml:space="preserve"> provides that Customers may assign all or a portion of their capacity rights under </w:t>
      </w:r>
      <w:r>
        <w:rPr>
          <w:u w:val="single"/>
        </w:rPr>
        <w:t>Gas Transmission Service Agreement</w:t>
      </w:r>
      <w:r>
        <w:rPr/>
        <w:t xml:space="preserve"> (GTSA) (Form 79-866) using an electronic transaction system provided by a Third Party Service Provider (TPSP). </w:t>
      </w:r>
    </w:p>
    <w:p>
      <w:pPr>
        <w:pStyle w:val="Normal"/>
        <w:jc w:val="both"/>
        <w:rPr/>
      </w:pPr>
      <w:r>
        <w:rPr/>
      </w:r>
    </w:p>
    <w:p>
      <w:pPr>
        <w:pStyle w:val="BodyText"/>
        <w:rPr>
          <w:b/>
        </w:rPr>
      </w:pPr>
      <w:r>
        <w:rPr>
          <w:b/>
        </w:rPr>
        <w:t>6.  BILLING CREDITS FOR CTA CONSOLIDATED BILLING</w:t>
      </w:r>
    </w:p>
    <w:p>
      <w:pPr>
        <w:pStyle w:val="BodyText"/>
        <w:rPr>
          <w:b/>
        </w:rPr>
      </w:pPr>
      <w:r>
        <w:rPr>
          <w:b/>
        </w:rPr>
      </w:r>
    </w:p>
    <w:p>
      <w:pPr>
        <w:pStyle w:val="BodyText"/>
        <w:rPr/>
      </w:pPr>
      <w:r>
        <w:rPr/>
        <w:t xml:space="preserve">Currently, a CTA can elect to provide a single bill to a Core Transport Group customer for the CTA's procurement charges in addition to the Company’s transportation charges.  This billing option is known as CTA consolidated billing.  Under the Settlement Agreement, customers of a CTA that provides CTA consolidated billing may be qualified to receive a monthly billing credit.  These provisions are implemented in new Attachment K to the </w:t>
      </w:r>
      <w:r>
        <w:rPr>
          <w:u w:val="single"/>
        </w:rPr>
        <w:t>Core Gas Aggregation Service Agreement</w:t>
      </w:r>
      <w:r>
        <w:rPr/>
        <w:t xml:space="preserve"> (Form No. 79-845) and new Schedule G-CRED</w:t>
      </w:r>
      <w:r>
        <w:rPr>
          <w:i/>
        </w:rPr>
        <w:t>--Billing Credits for CTA-Consolidated Billing</w:t>
      </w:r>
      <w:r>
        <w:rPr/>
        <w:t>, as described below.</w:t>
      </w:r>
    </w:p>
    <w:p>
      <w:pPr>
        <w:pStyle w:val="BodyText"/>
        <w:rPr>
          <w:bCs/>
          <w:iCs/>
        </w:rPr>
      </w:pPr>
      <w:r>
        <w:rPr>
          <w:bCs/>
          <w:iCs/>
        </w:rPr>
      </w:r>
    </w:p>
    <w:p>
      <w:pPr>
        <w:pStyle w:val="BodyText"/>
        <w:rPr>
          <w:b/>
          <w:i/>
          <w:i/>
        </w:rPr>
      </w:pPr>
      <w:r>
        <w:rPr>
          <w:b/>
          <w:i/>
        </w:rPr>
        <w:t>Attachment K—Core Transport Agent Billing Agreement</w:t>
      </w:r>
    </w:p>
    <w:p>
      <w:pPr>
        <w:pStyle w:val="BodyText"/>
        <w:rPr>
          <w:b/>
          <w:i/>
          <w:i/>
        </w:rPr>
      </w:pPr>
      <w:r>
        <w:rPr>
          <w:b/>
          <w:i/>
        </w:rPr>
      </w:r>
    </w:p>
    <w:p>
      <w:pPr>
        <w:pStyle w:val="BodyText"/>
        <w:rPr/>
      </w:pPr>
      <w:r>
        <w:rPr/>
        <w:t xml:space="preserve">New Attachment K is added to the </w:t>
      </w:r>
      <w:r>
        <w:rPr>
          <w:u w:val="single"/>
        </w:rPr>
        <w:t>Core Gas Aggregation Service Agreement (Form 79-845)</w:t>
      </w:r>
      <w:r>
        <w:rPr/>
        <w:t>.  Upon executing and fulfilling the terms and conditions of Attachment K, the Company no longer will provide the information-only bill currently sent to customers.  In lieu of the information-only bill, CTAs are responsible for providing to their customers certain information formerly provided by the Company in the information-only bill.  Under the terms of Attachment K, CTAs have the option of providing customers with a market-index commodity price or the Company’s core procurement commodity price.</w:t>
      </w:r>
    </w:p>
    <w:p>
      <w:pPr>
        <w:pStyle w:val="BodyText"/>
        <w:rPr/>
      </w:pPr>
      <w:r>
        <w:rPr/>
      </w:r>
    </w:p>
    <w:p>
      <w:pPr>
        <w:pStyle w:val="BodyText"/>
        <w:rPr>
          <w:b/>
          <w:i/>
          <w:i/>
        </w:rPr>
      </w:pPr>
      <w:r>
        <w:rPr>
          <w:b/>
          <w:i/>
        </w:rPr>
        <w:t>Schedule G-CRED--Billing Credits for CTA-Consolidated Billing</w:t>
      </w:r>
    </w:p>
    <w:p>
      <w:pPr>
        <w:pStyle w:val="BodyText"/>
        <w:rPr>
          <w:b/>
          <w:i/>
          <w:i/>
        </w:rPr>
      </w:pPr>
      <w:r>
        <w:rPr>
          <w:b/>
          <w:i/>
        </w:rPr>
      </w:r>
    </w:p>
    <w:p>
      <w:pPr>
        <w:pStyle w:val="BodyText"/>
        <w:rPr/>
      </w:pPr>
      <w:r>
        <w:rPr/>
        <w:t xml:space="preserve">New Schedule G-CRED describes the avoided cost credit the Company will provide to a customer served by CTA-consolidated billing and the circumstances under which a customer can qualify for the credit. </w:t>
      </w:r>
    </w:p>
    <w:p>
      <w:pPr>
        <w:pStyle w:val="BodyText"/>
        <w:rPr/>
      </w:pPr>
      <w:r>
        <w:rPr/>
      </w:r>
    </w:p>
    <w:p>
      <w:pPr>
        <w:pStyle w:val="BodyText"/>
        <w:rPr/>
      </w:pPr>
      <w:r>
        <w:rPr/>
      </w:r>
    </w:p>
    <w:p>
      <w:pPr>
        <w:pStyle w:val="BodyText"/>
        <w:rPr>
          <w:b/>
          <w:bCs/>
        </w:rPr>
      </w:pPr>
      <w:r>
        <w:rPr>
          <w:b/>
          <w:bCs/>
        </w:rPr>
        <w:t>OTHER REVISIONS</w:t>
      </w:r>
    </w:p>
    <w:p>
      <w:pPr>
        <w:pStyle w:val="BodyText"/>
        <w:rPr>
          <w:b/>
          <w:bCs/>
        </w:rPr>
      </w:pPr>
      <w:r>
        <w:rPr>
          <w:b/>
          <w:bCs/>
        </w:rPr>
      </w:r>
    </w:p>
    <w:p>
      <w:pPr>
        <w:pStyle w:val="Heading1"/>
        <w:ind w:hanging="0" w:start="0"/>
        <w:rPr/>
      </w:pPr>
      <w:r>
        <w:rPr/>
        <w:t>Preliminary Statement Revisions</w:t>
      </w:r>
    </w:p>
    <w:p>
      <w:pPr>
        <w:pStyle w:val="Normal"/>
        <w:rPr/>
      </w:pPr>
      <w:r>
        <w:rPr/>
      </w:r>
    </w:p>
    <w:p>
      <w:pPr>
        <w:pStyle w:val="Normal"/>
        <w:rPr/>
      </w:pPr>
      <w:r>
        <w:rPr/>
        <w:t>In addition to the above-referenced schedule and rule changes, Preliminary Statement changes are as follows:</w:t>
      </w:r>
    </w:p>
    <w:p>
      <w:pPr>
        <w:pStyle w:val="Normal"/>
        <w:rPr/>
      </w:pPr>
      <w:r>
        <w:rPr/>
      </w:r>
    </w:p>
    <w:p>
      <w:pPr>
        <w:pStyle w:val="Heading4"/>
        <w:ind w:hanging="0" w:start="0"/>
        <w:rPr/>
      </w:pPr>
      <w:r>
        <w:rPr/>
        <w:t>Part C--Accounting Terms and Definitions</w:t>
      </w:r>
    </w:p>
    <w:p>
      <w:pPr>
        <w:pStyle w:val="Normal"/>
        <w:jc w:val="both"/>
        <w:rPr/>
      </w:pPr>
      <w:r>
        <w:rPr/>
      </w:r>
    </w:p>
    <w:p>
      <w:pPr>
        <w:pStyle w:val="Normal"/>
        <w:jc w:val="both"/>
        <w:rPr/>
      </w:pPr>
      <w:r>
        <w:rPr/>
        <w:t>Preliminary Statement Part C, Section C.2--Base Revenue Amounts, and Section C.10–Revenue Requirement, have been revised to shift the core storage revenue requirement and carrying costs on noncycled storage gas from the transportation revenue requirement to the procurement revenue requirement.  Also included in section C.10 is a description of the new balancing account, Core Firm Storage Account.</w:t>
      </w:r>
    </w:p>
    <w:p>
      <w:pPr>
        <w:pStyle w:val="Normal"/>
        <w:jc w:val="both"/>
        <w:rPr/>
      </w:pPr>
      <w:r>
        <w:rPr/>
      </w:r>
    </w:p>
    <w:p>
      <w:pPr>
        <w:pStyle w:val="Normal"/>
        <w:jc w:val="both"/>
        <w:rPr>
          <w:b/>
          <w:bCs/>
          <w:i/>
          <w:i/>
          <w:iCs/>
        </w:rPr>
      </w:pPr>
      <w:r>
        <w:rPr>
          <w:b/>
          <w:bCs/>
          <w:i/>
          <w:iCs/>
        </w:rPr>
        <w:t>Part F—Core Fixed Cost Account (CFCA)</w:t>
      </w:r>
    </w:p>
    <w:p>
      <w:pPr>
        <w:pStyle w:val="Header"/>
        <w:tabs>
          <w:tab w:val="clear" w:pos="4320"/>
          <w:tab w:val="clear" w:pos="8640"/>
        </w:tabs>
        <w:rPr>
          <w:b/>
          <w:bCs/>
          <w:i/>
          <w:i/>
          <w:iCs/>
        </w:rPr>
      </w:pPr>
      <w:r>
        <w:rPr>
          <w:b/>
          <w:bCs/>
          <w:i/>
          <w:iCs/>
        </w:rPr>
      </w:r>
    </w:p>
    <w:p>
      <w:pPr>
        <w:pStyle w:val="Normal"/>
        <w:rPr/>
      </w:pPr>
      <w:r>
        <w:rPr/>
        <w:t>The CFCA has been revised to remove the debit entry for the core portion of the recorded carrying cost on non-cycled storage gas.  This entry has been moved to Preliminary Statement Part AG.</w:t>
      </w:r>
    </w:p>
    <w:p>
      <w:pPr>
        <w:pStyle w:val="Normal"/>
        <w:rPr/>
      </w:pPr>
      <w:r>
        <w:rPr/>
      </w:r>
    </w:p>
    <w:p>
      <w:pPr>
        <w:pStyle w:val="Heading1"/>
        <w:ind w:hanging="0" w:start="0"/>
        <w:rPr>
          <w:i/>
          <w:i/>
        </w:rPr>
      </w:pPr>
      <w:r>
        <w:rPr>
          <w:i/>
        </w:rPr>
        <w:t>Part L--Balancing Charge Account (BCA)</w:t>
      </w:r>
    </w:p>
    <w:p>
      <w:pPr>
        <w:pStyle w:val="Normal"/>
        <w:rPr>
          <w:i/>
          <w:i/>
        </w:rPr>
      </w:pPr>
      <w:r>
        <w:rPr>
          <w:i/>
        </w:rPr>
      </w:r>
    </w:p>
    <w:p>
      <w:pPr>
        <w:pStyle w:val="Normal"/>
        <w:jc w:val="both"/>
        <w:rPr/>
      </w:pPr>
      <w:r>
        <w:rPr/>
        <w:t>The BCA has been revised to include credit entries for transaction fee revenues from authorized Third Party Service Providers (TPSPs), as described in Schedule G-BAL, and Rules 14 and 21.2.  Also included is a credit entry for noncompliance charges under the Self-Balancing Option, as described in Schedule G-BAL.</w:t>
      </w:r>
    </w:p>
    <w:p>
      <w:pPr>
        <w:pStyle w:val="Normal"/>
        <w:jc w:val="both"/>
        <w:rPr/>
      </w:pPr>
      <w:r>
        <w:rPr/>
      </w:r>
    </w:p>
    <w:p>
      <w:pPr>
        <w:pStyle w:val="Normal"/>
        <w:rPr>
          <w:i/>
          <w:i/>
        </w:rPr>
      </w:pPr>
      <w:r>
        <w:rPr>
          <w:b/>
          <w:i/>
        </w:rPr>
        <w:t>Part AG--Core Firm Storage Account (CFSA)</w:t>
      </w:r>
    </w:p>
    <w:p>
      <w:pPr>
        <w:pStyle w:val="Normal"/>
        <w:rPr>
          <w:i/>
          <w:i/>
        </w:rPr>
      </w:pPr>
      <w:r>
        <w:rPr>
          <w:i/>
        </w:rPr>
      </w:r>
    </w:p>
    <w:p>
      <w:pPr>
        <w:pStyle w:val="Normal"/>
        <w:jc w:val="both"/>
        <w:rPr/>
      </w:pPr>
      <w:r>
        <w:rPr/>
        <w:t>New Preliminary Statement Part AG describes the purpose, applicability and accounting procedures for costs and revenues associated with firm storage capacity allocated to core customers as adopted in D. 00-05-049.</w:t>
      </w:r>
    </w:p>
    <w:p>
      <w:pPr>
        <w:pStyle w:val="Normal"/>
        <w:jc w:val="both"/>
        <w:rPr/>
      </w:pPr>
      <w:r>
        <w:rPr/>
      </w:r>
    </w:p>
    <w:p>
      <w:pPr>
        <w:pStyle w:val="Normal"/>
        <w:jc w:val="both"/>
        <w:rPr/>
      </w:pPr>
      <w:r>
        <w:rPr/>
      </w:r>
    </w:p>
    <w:p>
      <w:pPr>
        <w:pStyle w:val="Normal"/>
        <w:jc w:val="both"/>
        <w:rPr/>
      </w:pPr>
      <w:r>
        <w:rPr/>
      </w:r>
    </w:p>
    <w:p>
      <w:pPr>
        <w:pStyle w:val="BodyText"/>
        <w:rPr>
          <w:b/>
        </w:rPr>
      </w:pPr>
      <w:r>
        <w:rPr>
          <w:b/>
        </w:rPr>
        <w:t>CLARIFICATION AND CONSISTENCY REVISIONS</w:t>
      </w:r>
    </w:p>
    <w:p>
      <w:pPr>
        <w:pStyle w:val="BodyText"/>
        <w:rPr>
          <w:b/>
        </w:rPr>
      </w:pPr>
      <w:r>
        <w:rPr>
          <w:b/>
        </w:rPr>
      </w:r>
    </w:p>
    <w:p>
      <w:pPr>
        <w:pStyle w:val="BodyText"/>
        <w:rPr/>
      </w:pPr>
      <w:r>
        <w:rPr/>
        <w:t>Several changes have been made through the Company’s gas tariffs to provide consistent language and treatment of various new provisions.  Changes were also made to remove or replace obsolete references, naming, and language.  The most significant of those changes are described below:</w:t>
      </w:r>
    </w:p>
    <w:p>
      <w:pPr>
        <w:pStyle w:val="BodyText"/>
        <w:rPr/>
      </w:pPr>
      <w:r>
        <w:rPr/>
      </w:r>
    </w:p>
    <w:p>
      <w:pPr>
        <w:pStyle w:val="BodyText"/>
        <w:rPr>
          <w:b/>
          <w:i/>
          <w:i/>
        </w:rPr>
      </w:pPr>
      <w:r>
        <w:rPr>
          <w:b/>
          <w:i/>
        </w:rPr>
        <w:t>Schedule G-CT-- Core Gas Aggregation Service</w:t>
      </w:r>
    </w:p>
    <w:p>
      <w:pPr>
        <w:pStyle w:val="BodyText"/>
        <w:rPr>
          <w:b/>
          <w:i/>
          <w:i/>
        </w:rPr>
      </w:pPr>
      <w:r>
        <w:rPr>
          <w:b/>
          <w:i/>
        </w:rPr>
      </w:r>
    </w:p>
    <w:p>
      <w:pPr>
        <w:pStyle w:val="BodyText"/>
        <w:rPr/>
      </w:pPr>
      <w:r>
        <w:rPr/>
        <w:t>References to use of paper forms by CTAs to inform the Company of changes in their customer mix have been removed from Schedule G-CT as obsolete.  Also, references to the former Pacific Gas Transmission Company (PGT) are updated to PG&amp;E Gas Transmission Company - Northwest (PG&amp;E GT-NW).</w:t>
      </w:r>
    </w:p>
    <w:p>
      <w:pPr>
        <w:pStyle w:val="BodyText"/>
        <w:rPr/>
      </w:pPr>
      <w:r>
        <w:rPr/>
      </w:r>
    </w:p>
    <w:p>
      <w:pPr>
        <w:pStyle w:val="BodyText"/>
        <w:rPr/>
      </w:pPr>
      <w:r>
        <w:rPr>
          <w:b/>
          <w:i/>
          <w:u w:val="single"/>
        </w:rPr>
        <w:t>Core Gas Aggregation Service Agreement</w:t>
      </w:r>
      <w:r>
        <w:rPr>
          <w:b/>
          <w:i/>
        </w:rPr>
        <w:t xml:space="preserve"> </w:t>
      </w:r>
      <w:r>
        <w:rPr>
          <w:b/>
          <w:i/>
          <w:u w:val="single"/>
        </w:rPr>
        <w:t>(</w:t>
      </w:r>
      <w:r>
        <w:rPr>
          <w:b/>
          <w:i/>
        </w:rPr>
        <w:t>Form 79-845)</w:t>
      </w:r>
    </w:p>
    <w:p>
      <w:pPr>
        <w:pStyle w:val="BodyText"/>
        <w:rPr>
          <w:b/>
          <w:i/>
          <w:i/>
        </w:rPr>
      </w:pPr>
      <w:r>
        <w:rPr>
          <w:b/>
          <w:i/>
        </w:rPr>
      </w:r>
    </w:p>
    <w:p>
      <w:pPr>
        <w:pStyle w:val="BodyText"/>
        <w:rPr/>
      </w:pPr>
      <w:r>
        <w:rPr/>
        <w:t xml:space="preserve">The </w:t>
      </w:r>
      <w:r>
        <w:rPr>
          <w:u w:val="single"/>
        </w:rPr>
        <w:t>Core Gas Aggregation Service Agreement</w:t>
      </w:r>
      <w:r>
        <w:rPr/>
        <w:t xml:space="preserve"> was formerly entitled </w:t>
      </w:r>
      <w:r>
        <w:rPr>
          <w:u w:val="single"/>
        </w:rPr>
        <w:t>Core Transport Agent Request for Gas Aggregation Service</w:t>
      </w:r>
      <w:r>
        <w:rPr/>
        <w:t>.  Changes have been made to reflect new and revised Attachments D, I, J and K as described above and to remove obsolete provisions and references.</w:t>
      </w:r>
    </w:p>
    <w:p>
      <w:pPr>
        <w:pStyle w:val="BodyText"/>
        <w:rPr/>
      </w:pPr>
      <w:r>
        <w:rPr/>
      </w:r>
    </w:p>
    <w:p>
      <w:pPr>
        <w:pStyle w:val="Heading1"/>
        <w:ind w:hanging="0" w:start="0"/>
        <w:rPr/>
      </w:pPr>
      <w:r>
        <w:rPr/>
        <w:t>ADDITIONAL COMPLIANCE ISSUES</w:t>
      </w:r>
    </w:p>
    <w:p>
      <w:pPr>
        <w:pStyle w:val="Normal"/>
        <w:rPr/>
      </w:pPr>
      <w:r>
        <w:rPr/>
      </w:r>
    </w:p>
    <w:p>
      <w:pPr>
        <w:pStyle w:val="BodyText"/>
        <w:rPr/>
      </w:pPr>
      <w:r>
        <w:rPr/>
        <w:t xml:space="preserve">D. 99-07-015, Ordering Paragraph 3, identified three specific issues for the Company to address in this advice filing. The following is the Company’s response to these specific issues. </w:t>
      </w:r>
    </w:p>
    <w:p>
      <w:pPr>
        <w:pStyle w:val="BodyText"/>
        <w:rPr/>
      </w:pPr>
      <w:r>
        <w:rPr/>
      </w:r>
    </w:p>
    <w:p>
      <w:pPr>
        <w:pStyle w:val="BodyText"/>
        <w:ind w:hanging="270" w:start="270" w:end="0"/>
        <w:rPr/>
      </w:pPr>
      <w:r>
        <w:rPr/>
        <w:t>1. The detailed method for dealing with over-subscription for the Self-Balancing option shall be set forth. (Settlement Reference: Sections 2.1.3.5 and 2.1.4.1.)</w:t>
      </w:r>
    </w:p>
    <w:p>
      <w:pPr>
        <w:pStyle w:val="BodyText"/>
        <w:rPr/>
      </w:pPr>
      <w:r>
        <w:rPr/>
      </w:r>
    </w:p>
    <w:p>
      <w:pPr>
        <w:pStyle w:val="BodyText"/>
        <w:ind w:start="270" w:end="0"/>
        <w:rPr/>
      </w:pPr>
      <w:r>
        <w:rPr>
          <w:u w:val="single"/>
        </w:rPr>
        <w:t>Response</w:t>
      </w:r>
      <w:r>
        <w:rPr/>
        <w:t>:  The company will offer Self-Balancing during an annual election period on a first-come, first-served basis until customer elections reach 50% of the balancing storage, which is 1.1 Bcf of inventory, 25 MMcf/d of injection and 35 MMcf/d of withdrawal.  Afterwards, new elections will be restricted until more balancing storage capacity is made available or the OFO Forum raises the limits. (See Schedule G-BAL sections on Limit of Self-Balancing Participation and Annual Self-Balancing Election Period.)</w:t>
      </w:r>
    </w:p>
    <w:p>
      <w:pPr>
        <w:pStyle w:val="Header"/>
        <w:tabs>
          <w:tab w:val="clear" w:pos="4320"/>
          <w:tab w:val="clear" w:pos="8640"/>
        </w:tabs>
        <w:rPr/>
      </w:pPr>
      <w:r>
        <w:rPr/>
      </w:r>
    </w:p>
    <w:p>
      <w:pPr>
        <w:pStyle w:val="Normal"/>
        <w:spacing w:before="120" w:after="120"/>
        <w:ind w:hanging="360" w:start="360" w:end="0"/>
        <w:jc w:val="both"/>
        <w:rPr/>
      </w:pPr>
      <w:r>
        <w:rPr/>
        <w:t>2. The detailed method for determining monthly usage of Core Procurement Groups as a baseline for measuring accumulated daily imbalances shall be set forth. (Settlement Reference:  Sections 2.1.4.4 and 2.1.4.5.2.)</w:t>
      </w:r>
    </w:p>
    <w:p>
      <w:pPr>
        <w:pStyle w:val="Normal"/>
        <w:ind w:start="270" w:end="0"/>
        <w:jc w:val="both"/>
        <w:rPr/>
      </w:pPr>
      <w:r>
        <w:rPr>
          <w:u w:val="single"/>
        </w:rPr>
        <w:t>Response</w:t>
      </w:r>
      <w:r>
        <w:rPr/>
        <w:t>: The Company will calculate and provide the Pre-determined Monthly Usage (PDMU) to each Core Procurement Group at least 5 days prior to the beginning of the month.  The PDMU will be determined as a function of the sum of the actual usage of the End-Use Customers within the CP Group in the same month for the prior year, adjusted for certain factors, such as weather effects.  (See Schedule G-BAL section on Daily Imbalance.)</w:t>
      </w:r>
    </w:p>
    <w:p>
      <w:pPr>
        <w:pStyle w:val="Header"/>
        <w:tabs>
          <w:tab w:val="clear" w:pos="4320"/>
          <w:tab w:val="clear" w:pos="8640"/>
        </w:tabs>
        <w:rPr/>
      </w:pPr>
      <w:r>
        <w:rPr/>
      </w:r>
    </w:p>
    <w:p>
      <w:pPr>
        <w:pStyle w:val="Normal"/>
        <w:spacing w:before="120" w:after="120"/>
        <w:ind w:hanging="270" w:start="360" w:end="0"/>
        <w:rPr/>
      </w:pPr>
      <w:r>
        <w:rPr/>
        <w:t>3.  The compliance filing shall specify compliance monitoring, cost responsibility, and enforcement measures. (Settlement Reference: Section 2.11.4.)</w:t>
      </w:r>
    </w:p>
    <w:p>
      <w:pPr>
        <w:pStyle w:val="Normal"/>
        <w:ind w:start="270" w:end="0"/>
        <w:jc w:val="both"/>
        <w:rPr/>
      </w:pPr>
      <w:r>
        <w:rPr>
          <w:u w:val="single"/>
        </w:rPr>
        <w:t>Response</w:t>
      </w:r>
      <w:r>
        <w:rPr/>
        <w:t>:  Eligible Core Transport Agents (CTAs) agree to notify customers that the Company will no longer provide an information-only bill, to present certain PG&amp;E-provided information in customer bills, to include either a commodity market index price or the Company’s procurement price as a benchmark, to provide the CPUC’s Energy Division with bill samples semi-annually, and to cooperate in any audit.  (See Form No. 79-845--Attachment K, Section 5, “Credits, Billing and Consumer Protection”, Section 6, “Billing Information to be Provided by CTA”, Section 17.  “Audits” and Exhibit A, “Requisite Billing Information Sample.”)</w:t>
      </w:r>
    </w:p>
    <w:p>
      <w:pPr>
        <w:pStyle w:val="Normal"/>
        <w:rPr/>
      </w:pPr>
      <w:r>
        <w:rPr/>
      </w:r>
    </w:p>
    <w:p>
      <w:pPr>
        <w:pStyle w:val="Heading1"/>
        <w:ind w:hanging="0" w:start="0"/>
        <w:rPr/>
      </w:pPr>
      <w:r>
        <w:rPr/>
        <w:t>Approval and Effective Date</w:t>
      </w:r>
    </w:p>
    <w:p>
      <w:pPr>
        <w:pStyle w:val="Normal"/>
        <w:rPr/>
      </w:pPr>
      <w:r>
        <w:rPr/>
      </w:r>
    </w:p>
    <w:p>
      <w:pPr>
        <w:pStyle w:val="Normal"/>
        <w:jc w:val="both"/>
        <w:rPr/>
      </w:pPr>
      <w:r>
        <w:rPr/>
        <w:t>This filing will not affect any other rate or charge, cause the withdrawal of service, or conflict with any other rate schedule or rule.</w:t>
      </w:r>
    </w:p>
    <w:p>
      <w:pPr>
        <w:pStyle w:val="Normal"/>
        <w:jc w:val="both"/>
        <w:rPr/>
      </w:pPr>
      <w:r>
        <w:rPr/>
      </w:r>
    </w:p>
    <w:p>
      <w:pPr>
        <w:pStyle w:val="Normal"/>
        <w:jc w:val="both"/>
        <w:rPr/>
      </w:pPr>
      <w:r>
        <w:rPr/>
        <w:t xml:space="preserve">In accordance with Section 1.7 of the Settlement Agreement, the tariff changes filed in this advice letter shall be effective at such time as indicated in a Commission decision, resolution, or letter of approval.  The Company requests that the Commission approve this filing effective </w:t>
      </w:r>
      <w:r>
        <w:rPr>
          <w:b/>
        </w:rPr>
        <w:t>October 1, 2000</w:t>
      </w:r>
      <w:r>
        <w:rPr/>
        <w:t>, or the first day of the month following approval if such approval is made after October 1, 2000.</w:t>
      </w:r>
    </w:p>
    <w:p>
      <w:pPr>
        <w:pStyle w:val="Normal"/>
        <w:jc w:val="both"/>
        <w:rPr/>
      </w:pPr>
      <w:r>
        <w:rPr/>
      </w:r>
    </w:p>
    <w:p>
      <w:pPr>
        <w:pStyle w:val="Normal"/>
        <w:jc w:val="both"/>
        <w:rPr/>
      </w:pPr>
      <w:r>
        <w:rPr/>
        <w:t>Anyone wishing to protest this advice letter may do so by sending a letter within twenty (20) days after the date of this filing.  Protests should be mailed to:</w:t>
      </w:r>
    </w:p>
    <w:p>
      <w:pPr>
        <w:pStyle w:val="Normal"/>
        <w:rPr/>
      </w:pPr>
      <w:r>
        <w:rPr/>
      </w:r>
    </w:p>
    <w:p>
      <w:pPr>
        <w:pStyle w:val="Normal"/>
        <w:ind w:start="2160" w:end="0"/>
        <w:rPr/>
      </w:pPr>
      <w:r>
        <w:rPr/>
        <w:tab/>
        <w:t>IMC Branch Chief</w:t>
      </w:r>
    </w:p>
    <w:p>
      <w:pPr>
        <w:pStyle w:val="Normal"/>
        <w:ind w:start="2160" w:end="0"/>
        <w:rPr/>
      </w:pPr>
      <w:r>
        <w:rPr/>
        <w:tab/>
        <w:t>Energy Division</w:t>
      </w:r>
    </w:p>
    <w:p>
      <w:pPr>
        <w:pStyle w:val="Normal"/>
        <w:ind w:start="2160" w:end="0"/>
        <w:rPr/>
      </w:pPr>
      <w:r>
        <w:rPr/>
        <w:tab/>
        <w:t>California Public Utilities Commission</w:t>
      </w:r>
    </w:p>
    <w:p>
      <w:pPr>
        <w:pStyle w:val="Normal"/>
        <w:ind w:start="2160" w:end="0"/>
        <w:rPr/>
      </w:pPr>
      <w:r>
        <w:rPr/>
        <w:tab/>
        <w:t>505 Van Ness Avenue, Room 4002</w:t>
      </w:r>
    </w:p>
    <w:p>
      <w:pPr>
        <w:pStyle w:val="Normal"/>
        <w:ind w:start="2160" w:end="0"/>
        <w:rPr/>
      </w:pPr>
      <w:r>
        <w:rPr/>
        <w:tab/>
        <w:t>San Francisco, California  94102</w:t>
      </w:r>
    </w:p>
    <w:p>
      <w:pPr>
        <w:pStyle w:val="Normal"/>
        <w:ind w:start="2160" w:end="0"/>
        <w:rPr/>
      </w:pPr>
      <w:r>
        <w:rPr/>
        <w:tab/>
        <w:t>Facsimile: (415) 703-2200</w:t>
      </w:r>
    </w:p>
    <w:p>
      <w:pPr>
        <w:pStyle w:val="Normal"/>
        <w:rPr/>
      </w:pPr>
      <w:r>
        <w:rPr/>
      </w:r>
    </w:p>
    <w:p>
      <w:pPr>
        <w:pStyle w:val="Normal"/>
        <w:jc w:val="both"/>
        <w:rPr/>
      </w:pPr>
      <w:r>
        <w:rPr/>
        <w:t>Copies should also be mailed to the attention of Director, Energy Division, and Jerry Royer, Energy Division, at the address above. A copy of the protest should be sent by U.S. mail and via facsimile to:</w:t>
      </w:r>
    </w:p>
    <w:p>
      <w:pPr>
        <w:pStyle w:val="Normal"/>
        <w:jc w:val="both"/>
        <w:rPr/>
      </w:pPr>
      <w:r>
        <w:rPr/>
      </w:r>
    </w:p>
    <w:p>
      <w:pPr>
        <w:pStyle w:val="Normal"/>
        <w:ind w:start="2160" w:end="0"/>
        <w:jc w:val="both"/>
        <w:rPr/>
      </w:pPr>
      <w:r>
        <w:rPr/>
        <w:tab/>
        <w:t>Pacific Gas and Electric Company</w:t>
      </w:r>
    </w:p>
    <w:p>
      <w:pPr>
        <w:pStyle w:val="Normal"/>
        <w:ind w:start="2160" w:end="0"/>
        <w:jc w:val="both"/>
        <w:rPr/>
      </w:pPr>
      <w:r>
        <w:rPr/>
        <w:tab/>
        <w:t>Attention: Les Guliasi</w:t>
      </w:r>
    </w:p>
    <w:p>
      <w:pPr>
        <w:pStyle w:val="Normal"/>
        <w:ind w:start="2160" w:end="0"/>
        <w:jc w:val="both"/>
        <w:rPr/>
      </w:pPr>
      <w:r>
        <w:rPr/>
        <w:tab/>
        <w:t>Manager, Regulatory Relations</w:t>
      </w:r>
    </w:p>
    <w:p>
      <w:pPr>
        <w:pStyle w:val="Normal"/>
        <w:ind w:start="2160" w:end="0"/>
        <w:jc w:val="both"/>
        <w:rPr/>
      </w:pPr>
      <w:r>
        <w:rPr/>
        <w:tab/>
        <w:t>77 Beale Street, Mail Code B10C</w:t>
      </w:r>
    </w:p>
    <w:p>
      <w:pPr>
        <w:pStyle w:val="Normal"/>
        <w:ind w:start="2160" w:end="0"/>
        <w:jc w:val="both"/>
        <w:rPr/>
      </w:pPr>
      <w:r>
        <w:rPr/>
        <w:tab/>
        <w:t>P.O. Box 770000</w:t>
      </w:r>
    </w:p>
    <w:p>
      <w:pPr>
        <w:pStyle w:val="Normal"/>
        <w:ind w:start="2160" w:end="0"/>
        <w:jc w:val="both"/>
        <w:rPr/>
      </w:pPr>
      <w:r>
        <w:rPr/>
        <w:tab/>
        <w:t>San Francisco, California 94177</w:t>
      </w:r>
    </w:p>
    <w:p>
      <w:pPr>
        <w:pStyle w:val="Normal"/>
        <w:ind w:start="2160" w:end="0"/>
        <w:jc w:val="both"/>
        <w:rPr/>
      </w:pPr>
      <w:r>
        <w:rPr/>
        <w:tab/>
        <w:t>Facsimile:  (415) 973-7226</w:t>
      </w:r>
    </w:p>
    <w:p>
      <w:pPr>
        <w:pStyle w:val="Normal"/>
        <w:jc w:val="both"/>
        <w:rPr/>
      </w:pPr>
      <w:r>
        <w:rPr/>
      </w:r>
    </w:p>
    <w:p>
      <w:pPr>
        <w:pStyle w:val="Normal"/>
        <w:jc w:val="both"/>
        <w:rPr/>
      </w:pPr>
      <w:r>
        <w:rPr/>
        <w:t>The protest shall set forth the grounds upon which it is based, and shall be submitted expeditiously.  There is no restriction on who may file a protest.</w:t>
      </w:r>
    </w:p>
    <w:p>
      <w:pPr>
        <w:pStyle w:val="Normal"/>
        <w:jc w:val="both"/>
        <w:rPr/>
      </w:pPr>
      <w:r>
        <w:rPr/>
      </w:r>
    </w:p>
    <w:p>
      <w:pPr>
        <w:pStyle w:val="Normal"/>
        <w:jc w:val="both"/>
        <w:rPr/>
      </w:pPr>
      <w:r>
        <w:rPr/>
        <w:t>In accordance with Section III, Paragraph G, of General Order 96-A, the Company is mailing copies of this advice letter to the utilities and interested parties shown on the attached OII Settlement Agreement service list and advice mailing list. For mailing list changes, please telephone Nelia Avendano at (415) 973-3529.</w:t>
      </w:r>
    </w:p>
    <w:p>
      <w:pPr>
        <w:pStyle w:val="Normal"/>
        <w:rPr/>
      </w:pPr>
      <w:r>
        <w:rPr/>
      </w:r>
    </w:p>
    <w:p>
      <w:pPr>
        <w:pStyle w:val="Normal"/>
        <w:rPr/>
      </w:pPr>
      <w:r>
        <w:rPr/>
      </w:r>
    </w:p>
    <w:p>
      <w:pPr>
        <w:pStyle w:val="Normal"/>
        <w:rPr/>
      </w:pPr>
      <w:r>
        <w:rPr/>
      </w:r>
    </w:p>
    <w:p>
      <w:pPr>
        <w:pStyle w:val="Normal"/>
        <w:rPr/>
      </w:pPr>
      <w:r>
        <w:rPr/>
        <w:t>Vice President – Regulatory Relations</w:t>
      </w:r>
    </w:p>
    <w:p>
      <w:pPr>
        <w:pStyle w:val="Normal"/>
        <w:rPr/>
      </w:pPr>
      <w:r>
        <w:rPr/>
      </w:r>
    </w:p>
    <w:p>
      <w:pPr>
        <w:pStyle w:val="Normal"/>
        <w:rPr/>
      </w:pPr>
      <w:r>
        <w:rPr/>
      </w:r>
    </w:p>
    <w:p>
      <w:pPr>
        <w:pStyle w:val="Normal"/>
        <w:rPr/>
      </w:pPr>
      <w:r>
        <w:rPr/>
      </w:r>
    </w:p>
    <w:p>
      <w:pPr>
        <w:pStyle w:val="Normal"/>
        <w:rPr/>
      </w:pPr>
      <w:r>
        <w:rPr/>
        <w:t>Attachments</w:t>
      </w:r>
    </w:p>
    <w:p>
      <w:pPr>
        <w:pStyle w:val="Normal"/>
        <w:rPr/>
      </w:pPr>
      <w:r>
        <w:rPr/>
      </w:r>
    </w:p>
    <w:p>
      <w:pPr>
        <w:pStyle w:val="Normal"/>
        <w:rPr/>
      </w:pPr>
      <w:r>
        <w:rPr/>
      </w:r>
    </w:p>
    <w:p>
      <w:pPr>
        <w:pStyle w:val="Normal"/>
        <w:rPr/>
      </w:pPr>
      <w:r>
        <w:rPr/>
        <w:t>cc: Service List  (I. 99-07-003)--Gas Settlement Agreement OII</w:t>
      </w:r>
    </w:p>
    <w:sectPr>
      <w:headerReference w:type="default" r:id="rId2"/>
      <w:headerReference w:type="first" r:id="rId3"/>
      <w:footerReference w:type="default" r:id="rId4"/>
      <w:footerReference w:type="first" r:id="rId5"/>
      <w:footnotePr>
        <w:numFmt w:val="decimal"/>
      </w:footnotePr>
      <w:type w:val="nextPage"/>
      <w:pgSz w:w="12240" w:h="15840"/>
      <w:pgMar w:left="1728" w:right="172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2"/>
      </w:rPr>
    </w:pPr>
    <w:r>
      <w:rPr>
        <w:sz w:val="22"/>
      </w:rPr>
      <w:t>ID U39G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PG&amp;E, Aglet Consumer Alliance (Aglet); Association of Bay Area Governments Publicly Owned Energy Resources; California Cogeneration Council; California Industrial Group and California Manufacturers Association; California Utility Buyers JPA, a California joint powers authority; Calpine Corporation; Cellnet Data Systems, Inc.; City of Palo Alto; Coalition of California Utility Employees; Dynegy, Inc.; Enron North America and Enron Energy Services, Inc.; GreenMountain.com Company; Interstate Gas Services, Inc.; Northern California Generation Coalition; Northern California Power Agency; Office of Ratepayer Advocated (ORA); PanCanadian Energy Services Inc.; School Project for Utility Rate Reduction, a California joint powers authority; Southern Energy California, L.L.C.; Suncor, Inc.; The Utility Reform Network(TURN); United Energy Management, Inc.; TXU Energy Services; Western Hub Properties, LLC; and Wild Goose Storage, Inc., State of California Department of General Services.</w:t>
      </w:r>
    </w:p>
    <w:p>
      <w:pPr>
        <w:pStyle w:val="FootnoteText"/>
        <w:rPr/>
      </w:pPr>
      <w:r>
        <w:rPr/>
      </w:r>
    </w:p>
  </w:footnote>
  <w:footnote w:id="3">
    <w:p>
      <w:pPr>
        <w:pStyle w:val="FootnoteText"/>
        <w:ind w:hanging="180" w:start="180" w:end="0"/>
        <w:rPr/>
      </w:pPr>
      <w:r>
        <w:rPr>
          <w:rStyle w:val="FootnoteCharacters"/>
        </w:rPr>
        <w:footnoteRef/>
      </w:r>
      <w:r>
        <w:rPr/>
        <w:t xml:space="preserve">  </w:t>
      </w:r>
      <w:r>
        <w:rPr/>
        <w:t>Subject to Operational Flow Orders (OFOs) or Emergency Flow Orders (EFOs).  See Section 2.1.4 of the Settlement Agreement.</w:t>
      </w:r>
    </w:p>
  </w:footnote>
  <w:footnote w:id="4">
    <w:p>
      <w:pPr>
        <w:pStyle w:val="FootnoteText"/>
        <w:ind w:hanging="180" w:start="180" w:end="0"/>
        <w:jc w:val="both"/>
        <w:rPr/>
      </w:pPr>
      <w:r>
        <w:rPr>
          <w:rStyle w:val="FootnoteCharacters"/>
        </w:rPr>
        <w:footnoteRef/>
      </w:r>
      <w:r>
        <w:rPr/>
        <w:t xml:space="preserve">  </w:t>
      </w:r>
      <w:r>
        <w:rPr/>
        <w:t>The Company will contract with Altra Energy Technologies, Inc. (ALTRA) to provide anonymous imbalance trading, OFO imbalance rights trading and firm transmission capacity trading.  The final contract will be provided to Settlement Parties subject to an OFO Imbalance Trading rights confidentiality agreement.  The sole source agreement with ALTRA will terminate December 31, 2002, at which time other TPSPs may compete with ALTRA to provide such services. (See Settlement Agreement Sections 2.2 and 2.8 for details.)</w:t>
      </w:r>
    </w:p>
  </w:footnote>
  <w:footnote w:id="5">
    <w:p>
      <w:pPr>
        <w:pStyle w:val="FootnoteText"/>
        <w:rPr/>
      </w:pPr>
      <w:r>
        <w:rPr>
          <w:rStyle w:val="FootnoteCharacters"/>
        </w:rPr>
        <w:footnoteRef/>
      </w:r>
      <w:r>
        <w:rPr/>
        <w:t xml:space="preserve"> </w:t>
      </w:r>
      <w:r>
        <w:rPr/>
        <w:t>Unbundling of core storage results in a minor change to noncore transportation rates. These</w:t>
      </w:r>
    </w:p>
    <w:p>
      <w:pPr>
        <w:pStyle w:val="FootnoteText"/>
        <w:rPr/>
      </w:pPr>
      <w:r>
        <w:rPr>
          <w:rFonts w:eastAsia="Arial"/>
        </w:rPr>
        <w:t xml:space="preserve">  </w:t>
      </w:r>
      <w:r>
        <w:rPr/>
        <w:t>changes will be filed in a separate advice filing.</w:t>
      </w:r>
    </w:p>
  </w:footnote>
  <w:footnote w:id="6">
    <w:p>
      <w:pPr>
        <w:pStyle w:val="FootnoteText"/>
        <w:rPr/>
      </w:pPr>
      <w:r>
        <w:rPr>
          <w:rStyle w:val="FootnoteCharacters"/>
        </w:rPr>
        <w:footnoteRef/>
      </w:r>
      <w:r>
        <w:rPr/>
        <w:t xml:space="preserve"> </w:t>
      </w:r>
      <w:r>
        <w:rPr/>
        <w:t>This service will be provided by ALTRA Until December 31, 2002.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Header"/>
      <w:rPr/>
    </w:pPr>
    <w:r>
      <w:rPr>
        <w:rStyle w:val="PageNumber"/>
      </w:rPr>
      <w:t>Public Utilities Commission</w:t>
    </w:r>
  </w:p>
  <w:p>
    <w:pPr>
      <w:pStyle w:val="Header"/>
      <w:rPr/>
    </w:pPr>
    <w:r>
      <w:rPr>
        <w:rStyle w:val="PageNumber"/>
      </w:rPr>
      <w:t>Advice 2250-G</w:t>
    </w:r>
  </w:p>
  <w:p>
    <w:pPr>
      <w:pStyle w:val="Header"/>
      <w:rPr/>
    </w:pPr>
    <w:r>
      <w:rPr>
        <w:rStyle w:val="PageNumber"/>
      </w:rPr>
      <w:t>July 17, 2000</w:t>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both"/>
      <w:outlineLvl w:val="2"/>
    </w:pPr>
    <w:rPr>
      <w:b/>
      <w:i/>
    </w:rPr>
  </w:style>
  <w:style w:type="paragraph" w:styleId="Heading4">
    <w:name w:val="heading 4"/>
    <w:basedOn w:val="Normal"/>
    <w:next w:val="Normal"/>
    <w:qFormat/>
    <w:pPr>
      <w:keepNext w:val="true"/>
      <w:numPr>
        <w:ilvl w:val="3"/>
        <w:numId w:val="1"/>
      </w:numPr>
      <w:outlineLvl w:val="3"/>
    </w:pPr>
    <w:rPr>
      <w:b/>
      <w:i/>
      <w:iCs/>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hanging="0" w:start="360" w:end="0"/>
      <w:jc w:val="both"/>
    </w:pPr>
    <w:rPr/>
  </w:style>
  <w:style w:type="paragraph" w:styleId="BodyTextIndent2">
    <w:name w:val="Body Text Indent 2"/>
    <w:basedOn w:val="Normal"/>
    <w:qFormat/>
    <w:pPr>
      <w:ind w:hanging="0" w:start="27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2000-07-17T13:35:00Z</dcterms:created>
  <dc:creator>Susan Shaw</dc:creator>
  <dc:description/>
  <dc:language>en-CA</dc:language>
  <cp:lastModifiedBy>Susan Shaw</cp:lastModifiedBy>
  <cp:lastPrinted>2000-07-17T10:41:00Z</cp:lastPrinted>
  <dcterms:modified xsi:type="dcterms:W3CDTF">2000-07-17T15:12:00Z</dcterms:modified>
  <cp:revision>5</cp:revision>
  <dc:subject/>
  <dc:title>ADVICE LETTER: </dc:title>
</cp:coreProperties>
</file>