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 w:val="right" w:pos="9360" w:leader="none"/>
        </w:tabs>
        <w:spacing w:before="1584" w:after="0"/>
        <w:rPr/>
      </w:pPr>
      <w:bookmarkStart w:id="0" w:name="Top"/>
      <w:bookmarkEnd w:id="0"/>
      <w:r>
        <w:rPr/>
        <w:tab/>
      </w:r>
      <w:r>
        <w:rPr/>
        <w:fldChar w:fldCharType="begin"/>
      </w:r>
      <w:r>
        <w:rPr/>
        <w:instrText xml:space="preserve"> DATE \@"MMMM\ d', 'yyyy" </w:instrText>
      </w:r>
      <w:r>
        <w:rPr/>
        <w:fldChar w:fldCharType="separate"/>
      </w:r>
      <w:r>
        <w:rPr/>
        <w:t>September 28, 2025</w:t>
      </w:r>
      <w:r>
        <w:rPr/>
        <w:fldChar w:fldCharType="end"/>
      </w:r>
    </w:p>
    <w:p>
      <w:pPr>
        <w:pStyle w:val="Normal"/>
        <w:tabs>
          <w:tab w:val="clear" w:pos="720"/>
          <w:tab w:val="center" w:pos="4680" w:leader="none"/>
          <w:tab w:val="right" w:pos="9360" w:leader="none"/>
        </w:tabs>
        <w:spacing w:before="0" w:after="240"/>
        <w:rPr/>
      </w:pPr>
      <w:r>
        <w:rPr/>
      </w:r>
    </w:p>
    <w:p>
      <w:pPr>
        <w:pStyle w:val="Normal"/>
        <w:numPr>
          <w:ilvl w:val="0"/>
          <w:numId w:val="0"/>
        </w:numPr>
        <w:tabs>
          <w:tab w:val="clear" w:pos="720"/>
          <w:tab w:val="center" w:pos="4680" w:leader="none"/>
          <w:tab w:val="right" w:pos="9360" w:leader="none"/>
        </w:tabs>
        <w:outlineLvl w:val="0"/>
        <w:rPr/>
      </w:pPr>
      <w:r>
        <w:rPr/>
        <w:t>Florida Power &amp; Light Company</w:t>
      </w:r>
    </w:p>
    <w:p>
      <w:pPr>
        <w:pStyle w:val="Normal"/>
        <w:numPr>
          <w:ilvl w:val="0"/>
          <w:numId w:val="0"/>
        </w:numPr>
        <w:tabs>
          <w:tab w:val="clear" w:pos="720"/>
          <w:tab w:val="center" w:pos="4680" w:leader="none"/>
          <w:tab w:val="right" w:pos="9360" w:leader="none"/>
        </w:tabs>
        <w:spacing w:before="0" w:after="240"/>
        <w:outlineLvl w:val="0"/>
        <w:rPr/>
      </w:pPr>
      <w:r>
        <w:rPr/>
        <w:t>Energy Marketing &amp; Trading</w:t>
        <w:br/>
        <w:t>11770 U.S. Highway One</w:t>
        <w:br/>
        <w:t>North Palm Beach, FL  33408</w:t>
      </w:r>
    </w:p>
    <w:p>
      <w:pPr>
        <w:pStyle w:val="Normal"/>
        <w:spacing w:before="0" w:after="240"/>
        <w:rPr/>
      </w:pPr>
      <w:bookmarkStart w:id="1" w:name="Salutation"/>
      <w:bookmarkEnd w:id="1"/>
      <w:r>
        <w:rPr/>
        <w:t>Gentlemen:</w:t>
      </w:r>
    </w:p>
    <w:p>
      <w:pPr>
        <w:pStyle w:val="NormalIndent"/>
        <w:rPr/>
      </w:pPr>
      <w:bookmarkStart w:id="2" w:name="Text"/>
      <w:bookmarkEnd w:id="2"/>
      <w:r>
        <w:rPr/>
        <w:t>Enron Capital &amp; Trade Resources Corp. (“ECT”) and Florida Power &amp; Light Company (“FPL”), parties to this letter agreement (this “Agreement”) dated __________, 1999 desire to replace in its entirety the Natural Gas Purchase Agreement By and Between Florida Power &amp; Light Company (“FPL”) and Citrus Trading Corp. (“Trading”) and Citrus Corp. (“Citrus”) and Citrus Industrial sales Company, Inc. (“CISCO”), and Florida Gas Transmission Company (“FGT”) dated April 1, 1994, as amended (“Trading II Agreement”) on the terms set forth herein.  Therefore, in consideration of the premises, the parties agree as follows:</w:t>
      </w:r>
    </w:p>
    <w:p>
      <w:pPr>
        <w:pStyle w:val="Heading1"/>
        <w:ind w:hanging="0" w:start="0"/>
        <w:rPr/>
      </w:pPr>
      <w:r>
        <w:rPr/>
        <w:br/>
        <w:t>TERMINATION OF FPL’S OBLIGATIONS UNDER TRADING AGREEMENT</w:t>
      </w:r>
    </w:p>
    <w:p>
      <w:pPr>
        <w:pStyle w:val="Normal"/>
        <w:numPr>
          <w:ilvl w:val="0"/>
          <w:numId w:val="2"/>
        </w:numPr>
        <w:spacing w:before="0" w:after="240"/>
        <w:jc w:val="both"/>
        <w:rPr/>
      </w:pPr>
      <w:r>
        <w:rPr/>
        <w:t>This Agreement, upon the satisfaction of the Conditions precedent in Article II, shall become a binding contract and shall replace in its entirety the Trading II Agreement and terminate of all the obligations between Citrus Trading and FPL under the Trading II Agreement.</w:t>
      </w:r>
    </w:p>
    <w:p>
      <w:pPr>
        <w:pStyle w:val="Normal"/>
        <w:numPr>
          <w:ilvl w:val="0"/>
          <w:numId w:val="2"/>
        </w:numPr>
        <w:spacing w:before="0" w:after="240"/>
        <w:jc w:val="both"/>
        <w:rPr/>
      </w:pPr>
      <w:r>
        <w:rPr/>
        <w:t>The parties hereto agree to negotiate in good faith to finalize by August 1, 1999 a written agreement that would restate in greater detail the terms and conditions of Article V , “Gas Sales,” (“the ECT Agreement”) and Article  VI , “Storage Agreement,” (“the Storage Agreement”).  The ECT Agreement and the Storage Agreement shall be based on the basic terms, conditions, and principles, that are set forth in Articles V and VI respectively of this Agreement, except to the extent that FPL and ECT mutually agree to include different provisions.</w:t>
      </w:r>
    </w:p>
    <w:p>
      <w:pPr>
        <w:pStyle w:val="Normal"/>
        <w:numPr>
          <w:ilvl w:val="0"/>
          <w:numId w:val="2"/>
        </w:numPr>
        <w:spacing w:before="0" w:after="240"/>
        <w:jc w:val="both"/>
        <w:rPr/>
      </w:pPr>
      <w:r>
        <w:rPr/>
        <w:t>(1)  The ECT Agreement, when executed and delivered by FPL and ECT and guaranteed by Enron Corp. as contemplated by Article V; and (2)  the Storage Agreement, when executed and delivered by FPL and FGT as contemplated by Article VI; shall supercede and replace Articles V and VI of this Agreement in its entirety.</w:t>
      </w:r>
    </w:p>
    <w:p>
      <w:pPr>
        <w:pStyle w:val="Normal"/>
        <w:numPr>
          <w:ilvl w:val="0"/>
          <w:numId w:val="2"/>
        </w:numPr>
        <w:spacing w:before="0" w:after="240"/>
        <w:jc w:val="both"/>
        <w:rPr/>
      </w:pPr>
      <w:r>
        <w:rPr/>
        <w:t xml:space="preserve">ECT shall indemnify, defend and hold harmless FPL for all costs, damages, penalties or other expenses that may be imposed on, or incurred by FPL, related to any claims, challenges or legal actions that may arise from, or may be related to, FPL’s obligations under the Trading II Agreement and/or this Letter Agreement (including discussions, exchange of materials or negotiations leading up to this Letter Agreement.  </w:t>
      </w:r>
    </w:p>
    <w:p>
      <w:pPr>
        <w:pStyle w:val="Heading1"/>
        <w:ind w:hanging="0" w:start="0"/>
        <w:rPr/>
      </w:pPr>
      <w:r>
        <w:rPr/>
        <w:br/>
        <w:t>CONDITIONS PRECEDENT</w:t>
      </w:r>
    </w:p>
    <w:p>
      <w:pPr>
        <w:pStyle w:val="Normal"/>
        <w:rPr/>
      </w:pPr>
      <w:r>
        <w:rPr/>
        <w:tab/>
        <w:t>This Agreement shall not become effective until each of the Conditions Precedent have been satisfied or waived.</w:t>
      </w:r>
    </w:p>
    <w:p>
      <w:pPr>
        <w:pStyle w:val="Normal"/>
        <w:rPr/>
      </w:pPr>
      <w:r>
        <w:rPr/>
      </w:r>
    </w:p>
    <w:p>
      <w:pPr>
        <w:pStyle w:val="Heading2"/>
        <w:ind w:hanging="0" w:start="0"/>
        <w:rPr/>
      </w:pPr>
      <w:r>
        <w:rPr/>
        <w:t>Receipt by FPL in writing of a resolution of the Board of Directors of Citrus Corp. that (1) Citrus Corp. agrees to the assignment and/or termination of the Trading II Agreement and (2) Citrus Corp. agrees to relieve FPL of any and all obligations under the Trading II Agreement including, without limitation, Article XIV (Right of First Refusal) of that Agreement.</w:t>
      </w:r>
    </w:p>
    <w:p>
      <w:pPr>
        <w:pStyle w:val="Heading2"/>
        <w:ind w:hanging="0" w:start="0"/>
        <w:rPr/>
      </w:pPr>
      <w:r>
        <w:rPr/>
        <w:t xml:space="preserve">The execution of the agreements contemplated in Sections I(B) and I(C).  </w:t>
      </w:r>
    </w:p>
    <w:p>
      <w:pPr>
        <w:pStyle w:val="Heading1"/>
        <w:ind w:hanging="0" w:start="0"/>
        <w:rPr/>
      </w:pPr>
      <w:r>
        <w:rPr/>
        <w:br/>
        <w:t>CONTRACT RESTRUCTURING FEE</w:t>
      </w:r>
    </w:p>
    <w:p>
      <w:pPr>
        <w:pStyle w:val="BodyTextIndent"/>
        <w:rPr/>
      </w:pPr>
      <w:r>
        <w:rPr/>
        <w:t>Upon the satisfaction of each of the Conditions Precedent in Article II, FPL shall pay ECT the sum of $26,826,000.00.</w:t>
      </w:r>
    </w:p>
    <w:p>
      <w:pPr>
        <w:pStyle w:val="Normal"/>
        <w:rPr/>
      </w:pPr>
      <w:r>
        <w:rPr/>
      </w:r>
    </w:p>
    <w:p>
      <w:pPr>
        <w:pStyle w:val="Heading1"/>
        <w:ind w:hanging="0" w:start="0"/>
        <w:rPr/>
      </w:pPr>
      <w:r>
        <w:rPr/>
        <w:br/>
        <w:t>TERM</w:t>
      </w:r>
    </w:p>
    <w:p>
      <w:pPr>
        <w:pStyle w:val="BodyTextIndent"/>
        <w:rPr/>
      </w:pPr>
      <w:r>
        <w:rPr/>
        <w:t>The term of this Letter Agreement shall run from the date first set forth above until the satisfaction of the Condition Precedents in Article II and the satisfaction of Article III.</w:t>
      </w:r>
    </w:p>
    <w:p>
      <w:pPr>
        <w:pStyle w:val="BodyTextIndent"/>
        <w:ind w:hanging="0" w:end="0"/>
        <w:rPr/>
      </w:pPr>
      <w:r>
        <w:rPr/>
      </w:r>
    </w:p>
    <w:p>
      <w:pPr>
        <w:pStyle w:val="Heading1"/>
        <w:ind w:hanging="0" w:start="0"/>
        <w:rPr/>
      </w:pPr>
      <w:r>
        <w:rPr/>
        <w:br/>
        <w:t>KEY TERMS AND CONDITIONS OF ECT AGREEMENT</w:t>
      </w:r>
    </w:p>
    <w:p>
      <w:pPr>
        <w:pStyle w:val="Heading2"/>
        <w:ind w:hanging="0" w:start="0"/>
        <w:rPr/>
      </w:pPr>
      <w:r>
        <w:rPr>
          <w:u w:val="single"/>
        </w:rPr>
        <w:t>Definitions</w:t>
      </w:r>
    </w:p>
    <w:p>
      <w:pPr>
        <w:pStyle w:val="Heading3"/>
        <w:ind w:hanging="0" w:start="0"/>
        <w:rPr/>
      </w:pPr>
      <w:r>
        <w:rPr/>
        <w:t>“</w:t>
      </w:r>
      <w:r>
        <w:rPr>
          <w:u w:val="single"/>
        </w:rPr>
        <w:t>Buyer</w:t>
      </w:r>
      <w:r>
        <w:rPr/>
        <w:t>” shall mean FPL.</w:t>
      </w:r>
    </w:p>
    <w:p>
      <w:pPr>
        <w:pStyle w:val="Heading3"/>
        <w:ind w:hanging="0" w:start="0"/>
        <w:rPr/>
      </w:pPr>
      <w:r>
        <w:rPr/>
        <w:t>“</w:t>
      </w:r>
      <w:r>
        <w:rPr>
          <w:u w:val="single"/>
        </w:rPr>
        <w:t>FGT</w:t>
      </w:r>
      <w:r>
        <w:rPr/>
        <w:t>” means Florida Gas Transmission Company.</w:t>
      </w:r>
    </w:p>
    <w:p>
      <w:pPr>
        <w:pStyle w:val="Heading3"/>
        <w:ind w:hanging="0" w:start="0"/>
        <w:rPr/>
      </w:pPr>
      <w:r>
        <w:rPr/>
        <w:t>“</w:t>
      </w:r>
      <w:r>
        <w:rPr>
          <w:u w:val="single"/>
        </w:rPr>
        <w:t>FGT’s FERC Gas Tariff</w:t>
      </w:r>
      <w:r>
        <w:rPr/>
        <w:t>”- The third Revised Volume No. 1 of FGT’s FERC Gas Tariff, as it may be amended from time to time.</w:t>
      </w:r>
    </w:p>
    <w:p>
      <w:pPr>
        <w:pStyle w:val="Heading3"/>
        <w:ind w:hanging="0" w:start="0"/>
        <w:rPr/>
      </w:pPr>
      <w:r>
        <w:rPr/>
        <w:t>“</w:t>
      </w:r>
      <w:r>
        <w:rPr>
          <w:u w:val="single"/>
        </w:rPr>
        <w:t>FGT’s Zone 1</w:t>
      </w:r>
      <w:r>
        <w:rPr/>
        <w:t>” means the geographic area west of compressor station #7 on the natural gas pipeline system of FGT.</w:t>
      </w:r>
    </w:p>
    <w:p>
      <w:pPr>
        <w:pStyle w:val="Heading3"/>
        <w:ind w:hanging="0" w:start="0"/>
        <w:rPr/>
      </w:pPr>
      <w:r>
        <w:rPr/>
        <w:t>“</w:t>
      </w:r>
      <w:r>
        <w:rPr>
          <w:u w:val="single"/>
        </w:rPr>
        <w:t>FGT’s Zone 2</w:t>
      </w:r>
      <w:r>
        <w:rPr/>
        <w:t>” means the geographic area between compressor stations #7 and #8 on the natural gas pipeline system of FGT.</w:t>
      </w:r>
    </w:p>
    <w:p>
      <w:pPr>
        <w:pStyle w:val="Heading3"/>
        <w:ind w:hanging="0" w:start="0"/>
        <w:rPr/>
      </w:pPr>
      <w:r>
        <w:rPr/>
        <w:t>“</w:t>
      </w:r>
      <w:r>
        <w:rPr>
          <w:u w:val="single"/>
        </w:rPr>
        <w:t>FGT’s Zone 3</w:t>
      </w:r>
      <w:r>
        <w:rPr/>
        <w:t>” means the geographic area east of compressor station #8 on the natural gas pipeline system of FGT, and shall include, but not be limited to, all Receipt Points on the natural gas pipeline system of SNG and on the Mobile Bay natural gas pipeline facilities of FGT and Transcontinental Gas Pipeline Company, as such Receipt Points are provided for in the FTS-2 Agreement.</w:t>
      </w:r>
    </w:p>
    <w:p>
      <w:pPr>
        <w:pStyle w:val="Heading3"/>
        <w:ind w:hanging="0" w:start="0"/>
        <w:rPr/>
      </w:pPr>
      <w:r>
        <w:rPr/>
        <w:t>“</w:t>
      </w:r>
      <w:r>
        <w:rPr>
          <w:u w:val="single"/>
        </w:rPr>
        <w:t>FGT Zone Receipt Point Pool</w:t>
      </w:r>
      <w:r>
        <w:rPr/>
        <w:t xml:space="preserve">” shall mean all “Receipt Points” under FPL’s FTS-1 and FTS-2 Transportation Agreements.  </w:t>
      </w:r>
    </w:p>
    <w:p>
      <w:pPr>
        <w:pStyle w:val="Heading3"/>
        <w:ind w:hanging="0" w:start="0"/>
        <w:rPr/>
      </w:pPr>
      <w:r>
        <w:rPr/>
        <w:t>“</w:t>
      </w:r>
      <w:r>
        <w:rPr>
          <w:u w:val="single"/>
        </w:rPr>
        <w:t>FTS-1 Agreement</w:t>
      </w:r>
      <w:r>
        <w:rPr/>
        <w:t xml:space="preserve">” means a firm transportation agreement between FGT and FPL, dated November 1, 1989, as amended from time to time, providing for the firm transportation of Natural Gas by FGT for FPL, which is incorporated by reference.  </w:t>
      </w:r>
    </w:p>
    <w:p>
      <w:pPr>
        <w:pStyle w:val="Heading3"/>
        <w:ind w:hanging="0" w:start="0"/>
        <w:rPr/>
      </w:pPr>
      <w:r>
        <w:rPr/>
        <w:t>“</w:t>
      </w:r>
      <w:r>
        <w:rPr>
          <w:u w:val="single"/>
        </w:rPr>
        <w:t>FTS-2 Agreement</w:t>
      </w:r>
      <w:r>
        <w:rPr/>
        <w:t xml:space="preserve">” means a firm transportation agreement between FGT and FPL, dated December 12, 1991, as amended from time to time, providing for the firm transportation of Natural Gas by FGT for FPL, which is incorporated by reference.  </w:t>
      </w:r>
    </w:p>
    <w:p>
      <w:pPr>
        <w:pStyle w:val="Heading3"/>
        <w:ind w:hanging="0" w:start="0"/>
        <w:rPr/>
      </w:pPr>
      <w:r>
        <w:rPr/>
        <w:t>“</w:t>
      </w:r>
      <w:r>
        <w:rPr>
          <w:u w:val="single"/>
        </w:rPr>
        <w:t>Gas Daily Common High Price</w:t>
      </w:r>
      <w:r>
        <w:rPr/>
        <w:t>” means the common high postings of prices for FGT’s supply zone as published in the “</w:t>
      </w:r>
      <w:r>
        <w:rPr>
          <w:u w:val="single"/>
        </w:rPr>
        <w:t>Daily Price Survey</w:t>
      </w:r>
      <w:r>
        <w:rPr/>
        <w:t xml:space="preserve">” under the heading “Louisiana Onshore South” in </w:t>
      </w:r>
      <w:r>
        <w:rPr>
          <w:u w:val="single"/>
        </w:rPr>
        <w:t>Gas Daily</w:t>
      </w:r>
      <w:r>
        <w:rPr/>
        <w:t xml:space="preserve"> reflecting a column of prices for the Day for which Gas Daily Common High Price is being determined.  </w:t>
      </w:r>
    </w:p>
    <w:p>
      <w:pPr>
        <w:pStyle w:val="Heading3"/>
        <w:ind w:hanging="0" w:start="0"/>
        <w:rPr/>
      </w:pPr>
      <w:r>
        <w:rPr/>
        <w:t>“</w:t>
      </w:r>
      <w:r>
        <w:rPr>
          <w:u w:val="single"/>
        </w:rPr>
        <w:t>Inside FERC Index Price – Zone 2</w:t>
      </w:r>
      <w:r>
        <w:rPr/>
        <w:t xml:space="preserve">” means the price for FGT’s Supply Zone 2 in the column labeled “Index” as published in the first issue for the applicable Month of </w:t>
      </w:r>
      <w:r>
        <w:rPr>
          <w:u w:val="single"/>
        </w:rPr>
        <w:t>Inside FERC’s Gas Market Report</w:t>
      </w:r>
      <w:r>
        <w:rPr/>
        <w:t xml:space="preserve"> in the table titled “Prices of Spot Gas Delivered to Pipelines.”  “</w:t>
      </w:r>
      <w:r>
        <w:rPr>
          <w:u w:val="single"/>
        </w:rPr>
        <w:t>Inside FERC Index Price – Zone 1, 2 or 3</w:t>
      </w:r>
      <w:r>
        <w:rPr/>
        <w:t xml:space="preserve">” means the price for FGT’s Supply Zone 1, 2 or 3, as nominated by Buyer, in the column labeled “Index” as published in the first issue for the applicable Month of </w:t>
      </w:r>
      <w:r>
        <w:rPr>
          <w:u w:val="single"/>
        </w:rPr>
        <w:t>Inside FERC’s Gas Market Report</w:t>
      </w:r>
      <w:r>
        <w:rPr/>
        <w:t xml:space="preserve"> in the table titled “Prices of Spot Gas Delivered to Pipelines.”</w:t>
      </w:r>
    </w:p>
    <w:p>
      <w:pPr>
        <w:pStyle w:val="Heading3"/>
        <w:ind w:hanging="0" w:start="0"/>
        <w:rPr/>
      </w:pPr>
      <w:r>
        <w:rPr/>
        <w:t>“</w:t>
      </w:r>
      <w:r>
        <w:rPr>
          <w:u w:val="single"/>
        </w:rPr>
        <w:t>Receipt Points</w:t>
      </w:r>
      <w:r>
        <w:rPr/>
        <w:t>” means the inlet to the respective natural gas pipeline systems of FGT and SNG at those designated input points or facilities on such pipeline systems where ECT delivers Natural Gas to FGT and to SNG on behalf of FPL.  Receipt Points shall include all primary Receipt Points and alternate Receipt Points, including in-line transfer points and pooling points to which FPL has rights under the FTS-1 Agreement and under the FTS-2 Agreement.</w:t>
      </w:r>
    </w:p>
    <w:p>
      <w:pPr>
        <w:pStyle w:val="Heading3"/>
        <w:ind w:hanging="0" w:start="0"/>
        <w:rPr/>
      </w:pPr>
      <w:r>
        <w:rPr/>
        <w:t>“</w:t>
      </w:r>
      <w:r>
        <w:rPr>
          <w:u w:val="single"/>
        </w:rPr>
        <w:t>Seller</w:t>
      </w:r>
      <w:r>
        <w:rPr/>
        <w:t>” shall mean ECT.</w:t>
      </w:r>
    </w:p>
    <w:p>
      <w:pPr>
        <w:pStyle w:val="Heading3"/>
        <w:ind w:hanging="0" w:start="0"/>
        <w:rPr/>
      </w:pPr>
      <w:r>
        <w:rPr/>
        <w:t>“</w:t>
      </w:r>
      <w:r>
        <w:rPr>
          <w:u w:val="single"/>
        </w:rPr>
        <w:t>Southern Natural Gas Company (“SNG”)</w:t>
      </w:r>
      <w:r>
        <w:rPr/>
        <w:t xml:space="preserve"> means the owner and operator of the pipeline system into which certain Natural Gas sold by ECT to FPL under this Agreement may be delivered by Trading and received for redelivery to FGT for further redelivery to FPL under the terms and conditions of the FTS-2 Agreement.  </w:t>
      </w:r>
    </w:p>
    <w:p>
      <w:pPr>
        <w:pStyle w:val="Heading2"/>
        <w:keepNext w:val="false"/>
        <w:ind w:hanging="0" w:start="0"/>
        <w:rPr>
          <w:u w:val="single"/>
        </w:rPr>
      </w:pPr>
      <w:r>
        <w:rPr>
          <w:u w:val="single"/>
        </w:rPr>
        <w:t>Contract Quantities</w:t>
      </w:r>
    </w:p>
    <w:p>
      <w:pPr>
        <w:pStyle w:val="Heading3"/>
        <w:ind w:hanging="0" w:start="0"/>
        <w:rPr/>
      </w:pPr>
      <w:r>
        <w:rPr>
          <w:u w:val="single"/>
        </w:rPr>
        <w:t>Base Quantities</w:t>
      </w:r>
      <w:r>
        <w:rPr/>
        <w:t xml:space="preserve">.  </w:t>
      </w:r>
    </w:p>
    <w:p>
      <w:pPr>
        <w:pStyle w:val="Normal"/>
        <w:ind w:start="2160" w:end="0"/>
        <w:rPr>
          <w:u w:val="single"/>
        </w:rPr>
      </w:pPr>
      <w:r>
        <w:rPr>
          <w:u w:val="single"/>
        </w:rPr>
        <w:t>Period 1:  August 1, 1999 through June 30, 2001</w:t>
      </w:r>
    </w:p>
    <w:p>
      <w:pPr>
        <w:pStyle w:val="Normal"/>
        <w:ind w:start="2160" w:end="0"/>
        <w:rPr/>
      </w:pPr>
      <w:r>
        <w:rPr/>
        <w:t>Winter (October – April)</w:t>
        <w:tab/>
        <w:tab/>
        <w:t>232,000 MMBtu/day</w:t>
      </w:r>
    </w:p>
    <w:p>
      <w:pPr>
        <w:pStyle w:val="Normal"/>
        <w:ind w:start="2160" w:end="0"/>
        <w:rPr/>
      </w:pPr>
      <w:r>
        <w:rPr/>
        <w:t>Summer (May – September)</w:t>
        <w:tab/>
        <w:tab/>
        <w:t>326,000 MMBtu/day</w:t>
      </w:r>
    </w:p>
    <w:p>
      <w:pPr>
        <w:pStyle w:val="Normal"/>
        <w:ind w:start="2160" w:end="0"/>
        <w:rPr/>
      </w:pPr>
      <w:r>
        <w:rPr/>
      </w:r>
    </w:p>
    <w:p>
      <w:pPr>
        <w:pStyle w:val="Normal"/>
        <w:ind w:start="2160" w:end="0"/>
        <w:rPr>
          <w:u w:val="single"/>
        </w:rPr>
      </w:pPr>
      <w:r>
        <w:rPr>
          <w:u w:val="single"/>
        </w:rPr>
        <w:t>Period 2:  July 1, 2001 through June 30, 2003</w:t>
      </w:r>
    </w:p>
    <w:p>
      <w:pPr>
        <w:pStyle w:val="Normal"/>
        <w:ind w:start="2160" w:end="0"/>
        <w:rPr/>
      </w:pPr>
      <w:r>
        <w:rPr/>
        <w:t>Winter (October – April)</w:t>
        <w:tab/>
        <w:tab/>
        <w:t>282,000 MMBtu/day</w:t>
      </w:r>
    </w:p>
    <w:p>
      <w:pPr>
        <w:pStyle w:val="Normal"/>
        <w:ind w:start="2160" w:end="0"/>
        <w:rPr/>
      </w:pPr>
      <w:r>
        <w:rPr/>
        <w:t>Summer (May – September)</w:t>
        <w:tab/>
        <w:tab/>
        <w:t>376,000 MMBtu/day</w:t>
      </w:r>
    </w:p>
    <w:p>
      <w:pPr>
        <w:pStyle w:val="Normal"/>
        <w:ind w:start="2160" w:end="0"/>
        <w:rPr/>
      </w:pPr>
      <w:r>
        <w:rPr/>
      </w:r>
    </w:p>
    <w:p>
      <w:pPr>
        <w:pStyle w:val="Normal"/>
        <w:ind w:start="2160" w:end="0"/>
        <w:rPr>
          <w:u w:val="single"/>
        </w:rPr>
      </w:pPr>
      <w:r>
        <w:rPr>
          <w:u w:val="single"/>
        </w:rPr>
        <w:t>Period 3:  July 1, 2003 through August 31, 2005</w:t>
      </w:r>
    </w:p>
    <w:p>
      <w:pPr>
        <w:pStyle w:val="Normal"/>
        <w:ind w:start="2160" w:end="0"/>
        <w:rPr/>
      </w:pPr>
      <w:r>
        <w:rPr/>
        <w:t>Winter (October – April)</w:t>
        <w:tab/>
        <w:tab/>
        <w:t>332,000 MMBtu/day</w:t>
      </w:r>
    </w:p>
    <w:p>
      <w:pPr>
        <w:pStyle w:val="Normal"/>
        <w:ind w:start="2160" w:end="0"/>
        <w:rPr/>
      </w:pPr>
      <w:r>
        <w:rPr/>
        <w:t>Summer (May – September)</w:t>
        <w:tab/>
        <w:tab/>
        <w:t>426,000 MMBtu/day</w:t>
      </w:r>
    </w:p>
    <w:p>
      <w:pPr>
        <w:pStyle w:val="Normal"/>
        <w:ind w:start="2160" w:end="0"/>
        <w:rPr/>
      </w:pPr>
      <w:r>
        <w:rPr/>
      </w:r>
    </w:p>
    <w:p>
      <w:pPr>
        <w:pStyle w:val="Normal"/>
        <w:ind w:start="2160" w:end="0"/>
        <w:rPr>
          <w:u w:val="single"/>
        </w:rPr>
      </w:pPr>
      <w:r>
        <w:rPr>
          <w:u w:val="single"/>
        </w:rPr>
        <w:t>Period 4:  September 1, 2005 through February 28, 2010</w:t>
      </w:r>
    </w:p>
    <w:p>
      <w:pPr>
        <w:pStyle w:val="Normal"/>
        <w:ind w:start="2160" w:end="0"/>
        <w:rPr/>
      </w:pPr>
      <w:r>
        <w:rPr/>
        <w:t>Winter (October – April)</w:t>
        <w:tab/>
        <w:tab/>
        <w:t>332,000 MMBtu/day</w:t>
      </w:r>
    </w:p>
    <w:p>
      <w:pPr>
        <w:pStyle w:val="Normal"/>
        <w:ind w:start="2160" w:end="0"/>
        <w:rPr/>
      </w:pPr>
      <w:r>
        <w:rPr/>
        <w:t>Summer (May – September)</w:t>
        <w:tab/>
        <w:tab/>
        <w:t>400,000 MMBtu/day</w:t>
      </w:r>
    </w:p>
    <w:p>
      <w:pPr>
        <w:pStyle w:val="Heading3"/>
        <w:keepNext w:val="true"/>
        <w:ind w:hanging="0" w:start="0"/>
        <w:rPr>
          <w:u w:val="single"/>
        </w:rPr>
      </w:pPr>
      <w:r>
        <w:rPr/>
        <w:t>Notwithstanding Section V(B)1, Buyer shall have the right to adjust Summer (May-September) Contract Quantities as set forth below.</w:t>
      </w:r>
    </w:p>
    <w:p>
      <w:pPr>
        <w:pStyle w:val="Heading4"/>
        <w:ind w:hanging="0" w:start="0"/>
        <w:rPr/>
      </w:pPr>
      <w:r>
        <w:rPr/>
        <w:t>Buyer shall have the right to reduce Summer Contract Quantities per day as follows:</w:t>
      </w:r>
    </w:p>
    <w:p>
      <w:pPr>
        <w:pStyle w:val="Normal"/>
        <w:ind w:start="2160" w:end="0"/>
        <w:rPr/>
      </w:pPr>
      <w:r>
        <w:rPr/>
        <w:t>Period 1:  up to 100,000 MMBtu/day</w:t>
      </w:r>
    </w:p>
    <w:p>
      <w:pPr>
        <w:pStyle w:val="Normal"/>
        <w:ind w:start="2160" w:end="0"/>
        <w:rPr/>
      </w:pPr>
      <w:r>
        <w:rPr/>
        <w:t>Period 2:  up to 150,000 MMBtu/day</w:t>
      </w:r>
    </w:p>
    <w:p>
      <w:pPr>
        <w:pStyle w:val="Normal"/>
        <w:ind w:start="2160" w:end="0"/>
        <w:rPr/>
      </w:pPr>
      <w:r>
        <w:rPr/>
        <w:t>Period 3:  up to 200,000 MMBtu/day</w:t>
      </w:r>
    </w:p>
    <w:p>
      <w:pPr>
        <w:pStyle w:val="Normal"/>
        <w:ind w:start="2160" w:end="0"/>
        <w:rPr/>
      </w:pPr>
      <w:r>
        <w:rPr/>
        <w:t>Period 4:  up to 200,000 MMBtu/day</w:t>
      </w:r>
    </w:p>
    <w:p>
      <w:pPr>
        <w:pStyle w:val="Normal"/>
        <w:ind w:start="2160" w:end="0"/>
        <w:rPr/>
      </w:pPr>
      <w:r>
        <w:rPr/>
      </w:r>
    </w:p>
    <w:p>
      <w:pPr>
        <w:pStyle w:val="Heading4"/>
        <w:ind w:hanging="0" w:start="0"/>
        <w:rPr/>
      </w:pPr>
      <w:r>
        <w:rPr/>
        <w:t>Buyer shall be obligated, on or before, September 30 of each full year of this Agreement, to increase Contract Quantities by amounts sufficient to cause the average aggregate Summer Contract Quantities to equal the Contract Quantities per day set forth in Section V(B)(1).</w:t>
      </w:r>
    </w:p>
    <w:p>
      <w:pPr>
        <w:pStyle w:val="Heading4"/>
        <w:ind w:hanging="0" w:start="0"/>
        <w:rPr/>
      </w:pPr>
      <w:r>
        <w:rPr/>
        <w:t>Buyer’s rights under this Section V(B)(2) are subject to Buyer providing written notice to Seller five (5) days prior to the first day of the month in which the reduction or addition to Contract Quantity is to be effective.</w:t>
      </w:r>
    </w:p>
    <w:p>
      <w:pPr>
        <w:pStyle w:val="Heading3"/>
        <w:keepNext w:val="true"/>
        <w:ind w:hanging="0" w:start="0"/>
        <w:rPr>
          <w:u w:val="single"/>
        </w:rPr>
      </w:pPr>
      <w:r>
        <w:rPr>
          <w:u w:val="single"/>
        </w:rPr>
        <w:t>Daily Additional Quantities</w:t>
      </w:r>
    </w:p>
    <w:p>
      <w:pPr>
        <w:pStyle w:val="Heading4"/>
        <w:ind w:hanging="0" w:start="0"/>
        <w:rPr/>
      </w:pPr>
      <w:r>
        <w:rPr/>
        <w:t xml:space="preserve">In addition to the Base Quantities in Section V(B)(1), Seller shall have the right, but not the obligation, to sell to Buyer the incremental daily quantities listed below, provided that seller provides Buyer oral and written notice of the Daily Additional Quantity by 9:15 a.m. Central Time on the day of the day-ahead nomination deadline under FGT’s FERC Gas Tariff.  </w:t>
      </w:r>
    </w:p>
    <w:p>
      <w:pPr>
        <w:pStyle w:val="Normal"/>
        <w:ind w:start="2160" w:end="0"/>
        <w:rPr>
          <w:u w:val="single"/>
        </w:rPr>
      </w:pPr>
      <w:r>
        <w:rPr>
          <w:u w:val="single"/>
        </w:rPr>
        <w:t>Period 1:  August 1, 1999 through June 30, 2001</w:t>
      </w:r>
    </w:p>
    <w:p>
      <w:pPr>
        <w:pStyle w:val="Normal"/>
        <w:ind w:start="2160" w:end="0"/>
        <w:rPr/>
      </w:pPr>
      <w:r>
        <w:rPr/>
        <w:t>Winter (October – April)</w:t>
        <w:tab/>
        <w:tab/>
        <w:t>20,000 MMBtu/day</w:t>
      </w:r>
    </w:p>
    <w:p>
      <w:pPr>
        <w:pStyle w:val="Normal"/>
        <w:ind w:start="2160" w:end="0"/>
        <w:rPr/>
      </w:pPr>
      <w:r>
        <w:rPr/>
        <w:t>Summer (May – September)</w:t>
        <w:tab/>
        <w:tab/>
        <w:t>40,000 MMBtu/day</w:t>
      </w:r>
    </w:p>
    <w:p>
      <w:pPr>
        <w:pStyle w:val="Normal"/>
        <w:ind w:start="2160" w:end="0"/>
        <w:rPr/>
      </w:pPr>
      <w:r>
        <w:rPr/>
      </w:r>
    </w:p>
    <w:p>
      <w:pPr>
        <w:pStyle w:val="Normal"/>
        <w:ind w:start="2160" w:end="0"/>
        <w:rPr>
          <w:u w:val="single"/>
        </w:rPr>
      </w:pPr>
      <w:r>
        <w:rPr>
          <w:u w:val="single"/>
        </w:rPr>
        <w:t>Period 2:  July 1 2001 through June 30, 2003</w:t>
      </w:r>
    </w:p>
    <w:p>
      <w:pPr>
        <w:pStyle w:val="Normal"/>
        <w:ind w:start="2160" w:end="0"/>
        <w:rPr/>
      </w:pPr>
      <w:r>
        <w:rPr/>
        <w:t>Winter (October – April)</w:t>
        <w:tab/>
        <w:tab/>
        <w:t>20,000 MMBtu/day</w:t>
      </w:r>
    </w:p>
    <w:p>
      <w:pPr>
        <w:pStyle w:val="Normal"/>
        <w:ind w:start="2160" w:end="0"/>
        <w:rPr/>
      </w:pPr>
      <w:r>
        <w:rPr/>
        <w:t>Summer (May – September)</w:t>
        <w:tab/>
        <w:tab/>
        <w:t>60,000 MMBtu/day</w:t>
      </w:r>
    </w:p>
    <w:p>
      <w:pPr>
        <w:pStyle w:val="Normal"/>
        <w:ind w:start="2160" w:end="0"/>
        <w:rPr/>
      </w:pPr>
      <w:r>
        <w:rPr/>
      </w:r>
    </w:p>
    <w:p>
      <w:pPr>
        <w:pStyle w:val="Normal"/>
        <w:ind w:start="2160" w:end="0"/>
        <w:rPr>
          <w:u w:val="single"/>
        </w:rPr>
      </w:pPr>
      <w:r>
        <w:rPr>
          <w:u w:val="single"/>
        </w:rPr>
        <w:t>Period 3:  July 1, 2003 through February 28, 2010</w:t>
      </w:r>
    </w:p>
    <w:p>
      <w:pPr>
        <w:pStyle w:val="Normal"/>
        <w:ind w:start="2160" w:end="0"/>
        <w:rPr/>
      </w:pPr>
      <w:r>
        <w:rPr/>
        <w:t>Winter (October – April)</w:t>
        <w:tab/>
        <w:tab/>
        <w:t>20,000 MMBtu/day</w:t>
      </w:r>
    </w:p>
    <w:p>
      <w:pPr>
        <w:pStyle w:val="Normal"/>
        <w:ind w:start="2160" w:end="0"/>
        <w:rPr/>
      </w:pPr>
      <w:r>
        <w:rPr/>
        <w:t>Summer (May – September)</w:t>
        <w:tab/>
        <w:tab/>
        <w:t>80,000 MMBtu/day</w:t>
      </w:r>
    </w:p>
    <w:p>
      <w:pPr>
        <w:pStyle w:val="Normal"/>
        <w:ind w:start="2160" w:end="0"/>
        <w:rPr/>
      </w:pPr>
      <w:r>
        <w:rPr/>
      </w:r>
    </w:p>
    <w:p>
      <w:pPr>
        <w:pStyle w:val="Heading3"/>
        <w:ind w:hanging="0" w:start="0"/>
        <w:rPr/>
      </w:pPr>
      <w:r>
        <w:rPr/>
        <w:t>For purposes of determining the Contract Price for and the location of the physical delivery of Daily Additional Quantities, such quantities shall be from the FGT Zone 2 receipt point pool.</w:t>
      </w:r>
    </w:p>
    <w:p>
      <w:pPr>
        <w:pStyle w:val="Heading3"/>
        <w:ind w:hanging="0" w:start="0"/>
        <w:rPr/>
      </w:pPr>
      <w:r>
        <w:rPr/>
        <w:t xml:space="preserve">Notwithstanding any provision to the contrary in FGT’s FERC Gas Tariff, Seller’s rights under this Section V(B)(3) shall not be exercisable more often than one time per gas day.  </w:t>
      </w:r>
    </w:p>
    <w:p>
      <w:pPr>
        <w:pStyle w:val="Heading3"/>
        <w:keepLines/>
        <w:ind w:hanging="0" w:start="0"/>
        <w:rPr/>
      </w:pPr>
      <w:r>
        <w:rPr>
          <w:u w:val="single"/>
        </w:rPr>
        <w:t>Fuel</w:t>
      </w:r>
      <w:r>
        <w:rPr/>
        <w:t>.</w:t>
      </w:r>
    </w:p>
    <w:p>
      <w:pPr>
        <w:pStyle w:val="Heading4"/>
        <w:ind w:hanging="0" w:start="0"/>
        <w:rPr/>
      </w:pPr>
      <w:r>
        <w:rPr/>
        <w:t xml:space="preserve">Base Quantities under Section V(B)(1) shall not include amounts for fuel.  Seller shall supply quantities of gas equivalent to the Fuel Percentage in FGT’s FERC Gas Tariff.  </w:t>
      </w:r>
    </w:p>
    <w:p>
      <w:pPr>
        <w:pStyle w:val="Heading4"/>
        <w:ind w:hanging="0" w:start="0"/>
        <w:rPr/>
      </w:pPr>
      <w:r>
        <w:rPr/>
        <w:t xml:space="preserve">Daily Additional Quantities, if any, under Section V(B)(2) shall not include amounts for fuel. </w:t>
      </w:r>
    </w:p>
    <w:p>
      <w:pPr>
        <w:pStyle w:val="Heading2"/>
        <w:ind w:hanging="0" w:start="0"/>
        <w:jc w:val="both"/>
        <w:rPr>
          <w:u w:val="single"/>
        </w:rPr>
      </w:pPr>
      <w:r>
        <w:rPr>
          <w:u w:val="single"/>
        </w:rPr>
        <w:t>Delivery Point(s)</w:t>
      </w:r>
    </w:p>
    <w:p>
      <w:pPr>
        <w:pStyle w:val="BodyText2"/>
        <w:ind w:hanging="0" w:start="1440" w:end="0"/>
        <w:rPr>
          <w:sz w:val="24"/>
        </w:rPr>
      </w:pPr>
      <w:r>
        <w:rPr>
          <w:sz w:val="24"/>
        </w:rPr>
        <w:t xml:space="preserve">There shall be multiple delivery points into Florida Gas Transmission (“FGT”) based upon Receipt Points in Buyer’s FGT FTS-1 and FTS-2 Agreements.  Such Receipt Points may be changed from time to time at either Party’s request and with the mutual agreement of both Parties.  Unless otherwise mutually agreed by a written amendment to Exhibit A, any change in Delivery Point(s) shall not affect the Contract Price. </w:t>
      </w:r>
    </w:p>
    <w:p>
      <w:pPr>
        <w:pStyle w:val="BodyText2"/>
        <w:ind w:firstLine="720" w:end="0"/>
        <w:rPr>
          <w:sz w:val="24"/>
        </w:rPr>
      </w:pPr>
      <w:r>
        <w:rPr>
          <w:sz w:val="24"/>
        </w:rPr>
      </w:r>
    </w:p>
    <w:p>
      <w:pPr>
        <w:pStyle w:val="Heading2"/>
        <w:ind w:hanging="0" w:start="0"/>
        <w:jc w:val="both"/>
        <w:rPr>
          <w:u w:val="single"/>
        </w:rPr>
      </w:pPr>
      <w:r>
        <w:rPr>
          <w:u w:val="single"/>
        </w:rPr>
        <w:t>Term of ECT Agreement</w:t>
      </w:r>
    </w:p>
    <w:p>
      <w:pPr>
        <w:pStyle w:val="BodyText2"/>
        <w:ind w:hanging="0" w:start="1440" w:end="0"/>
        <w:rPr>
          <w:sz w:val="24"/>
        </w:rPr>
      </w:pPr>
      <w:r>
        <w:rPr>
          <w:sz w:val="24"/>
        </w:rPr>
        <w:t xml:space="preserve">Commencing August 1, 1999 and terminating February 28, 2010. </w:t>
      </w:r>
    </w:p>
    <w:p>
      <w:pPr>
        <w:pStyle w:val="Normal"/>
        <w:ind w:firstLine="990" w:end="0"/>
        <w:jc w:val="both"/>
        <w:rPr>
          <w:sz w:val="22"/>
        </w:rPr>
      </w:pPr>
      <w:r>
        <w:rPr>
          <w:sz w:val="22"/>
        </w:rPr>
      </w:r>
    </w:p>
    <w:p>
      <w:pPr>
        <w:pStyle w:val="Heading2"/>
        <w:ind w:hanging="0" w:start="0"/>
        <w:jc w:val="both"/>
        <w:rPr>
          <w:u w:val="single"/>
        </w:rPr>
      </w:pPr>
      <w:r>
        <w:rPr>
          <w:u w:val="single"/>
        </w:rPr>
        <w:t>Contract Prices</w:t>
      </w:r>
    </w:p>
    <w:p>
      <w:pPr>
        <w:pStyle w:val="Heading3"/>
        <w:ind w:hanging="0" w:start="0"/>
        <w:jc w:val="both"/>
        <w:rPr/>
      </w:pPr>
      <w:r>
        <w:rPr/>
        <w:t xml:space="preserve">For Base Quantities sold by Seller to Buyer, Buyer shall pay Seller a price each month as set forth in Exhibit A.  </w:t>
      </w:r>
    </w:p>
    <w:p>
      <w:pPr>
        <w:pStyle w:val="Heading3"/>
        <w:ind w:hanging="0" w:start="0"/>
        <w:jc w:val="both"/>
        <w:rPr/>
      </w:pPr>
      <w:r>
        <w:rPr>
          <w:b/>
        </w:rPr>
        <w:t>[To be added]</w:t>
      </w:r>
      <w:r>
        <w:rPr/>
        <w:t xml:space="preserve">  </w:t>
      </w:r>
    </w:p>
    <w:p>
      <w:pPr>
        <w:pStyle w:val="Heading2"/>
        <w:keepLines/>
        <w:ind w:hanging="0" w:start="0"/>
        <w:rPr>
          <w:u w:val="single"/>
        </w:rPr>
      </w:pPr>
      <w:r>
        <w:rPr>
          <w:u w:val="single"/>
        </w:rPr>
        <w:t>Nominations and Scheduling of Quantities</w:t>
      </w:r>
    </w:p>
    <w:p>
      <w:pPr>
        <w:pStyle w:val="Heading3"/>
        <w:spacing w:before="0" w:after="0"/>
        <w:ind w:hanging="0" w:start="0"/>
        <w:jc w:val="both"/>
        <w:rPr/>
      </w:pPr>
      <w:r>
        <w:rPr/>
        <w:t xml:space="preserve">Seller will be responsible for nominating and scheduling all quantities sold by Seller to Buyer under Section V(B).  Nominating and scheduling means that Seller shall deliver to FGT, in accordance with the provisions of FGT’s FERC Gas Tariff, a nomination file that satisfies all the requirements of FGT’s FERC Gas Tariff for confirmation and scheduling to occur.  </w:t>
      </w:r>
    </w:p>
    <w:p>
      <w:pPr>
        <w:pStyle w:val="Normal"/>
        <w:rPr/>
      </w:pPr>
      <w:r>
        <w:rPr/>
      </w:r>
    </w:p>
    <w:p>
      <w:pPr>
        <w:pStyle w:val="Heading3"/>
        <w:spacing w:before="0" w:after="0"/>
        <w:ind w:hanging="0" w:start="0"/>
        <w:jc w:val="both"/>
        <w:rPr/>
      </w:pPr>
      <w:r>
        <w:rPr/>
        <w:t xml:space="preserve">The nomination file submitted by Seller to FGT shall include the ranking (the priority) of volumes at receipt points, as mutually agreed by Seller and Buyer under Section V(F)(3) below.  </w:t>
      </w:r>
    </w:p>
    <w:p>
      <w:pPr>
        <w:pStyle w:val="Normal"/>
        <w:rPr/>
      </w:pPr>
      <w:r>
        <w:rPr/>
      </w:r>
    </w:p>
    <w:p>
      <w:pPr>
        <w:pStyle w:val="Heading3"/>
        <w:spacing w:before="0" w:after="0"/>
        <w:ind w:hanging="0" w:start="0"/>
        <w:jc w:val="both"/>
        <w:rPr/>
      </w:pPr>
      <w:r>
        <w:rPr/>
        <w:t xml:space="preserve">Designated volumes at firm receipt points shall be ranked at the highest priority – priority 1.  Seller will rank volumes at secondary receipt points (non firm) at a priority no higher than priority 6.  </w:t>
      </w:r>
    </w:p>
    <w:p>
      <w:pPr>
        <w:pStyle w:val="Normal"/>
        <w:rPr/>
      </w:pPr>
      <w:r>
        <w:rPr/>
      </w:r>
    </w:p>
    <w:p>
      <w:pPr>
        <w:pStyle w:val="Heading3"/>
        <w:spacing w:before="0" w:after="0"/>
        <w:ind w:hanging="0" w:start="0"/>
        <w:jc w:val="both"/>
        <w:rPr/>
      </w:pPr>
      <w:r>
        <w:rPr/>
        <w:t xml:space="preserve">If, at any time, FERC approves a change to FGT FERC Gas Tariff that adversely affects ranking of volumes at receipt points, Seller and Buyer agree to resolve promptly conflicts, if any, in order to restore the respective rights of the parties. </w:t>
      </w:r>
    </w:p>
    <w:p>
      <w:pPr>
        <w:pStyle w:val="Normal"/>
        <w:ind w:hanging="1440" w:end="0"/>
        <w:jc w:val="both"/>
        <w:rPr>
          <w:sz w:val="22"/>
        </w:rPr>
      </w:pPr>
      <w:r>
        <w:rPr>
          <w:sz w:val="22"/>
        </w:rPr>
      </w:r>
    </w:p>
    <w:p>
      <w:pPr>
        <w:pStyle w:val="Heading2"/>
        <w:ind w:hanging="0" w:start="0"/>
        <w:rPr>
          <w:u w:val="single"/>
        </w:rPr>
      </w:pPr>
      <w:r>
        <w:rPr>
          <w:u w:val="single"/>
        </w:rPr>
        <w:t>Re-Call Quantities</w:t>
      </w:r>
    </w:p>
    <w:p>
      <w:pPr>
        <w:pStyle w:val="Heading3"/>
        <w:ind w:hanging="0" w:start="0"/>
        <w:rPr/>
      </w:pPr>
      <w:r>
        <w:rPr/>
        <w:t>Seller shall have certain rights to recall quantities of gas up to the quantities set forth below provided that Seller has provided Buyer oral and written notice of the quantities to be recalled by 9:15 a.m. Central Time on the day of the day-ahead nomination deadline in FGT’s FERC Gas Tariff.</w:t>
      </w:r>
    </w:p>
    <w:p>
      <w:pPr>
        <w:pStyle w:val="Normal"/>
        <w:ind w:start="2160" w:end="0"/>
        <w:rPr>
          <w:u w:val="single"/>
        </w:rPr>
      </w:pPr>
      <w:r>
        <w:rPr>
          <w:u w:val="single"/>
        </w:rPr>
        <w:t>Period (August 1, 1999 through February 28,2010)</w:t>
      </w:r>
    </w:p>
    <w:p>
      <w:pPr>
        <w:pStyle w:val="Normal"/>
        <w:ind w:start="2160" w:end="0"/>
        <w:rPr/>
      </w:pPr>
      <w:r>
        <w:rPr/>
        <w:t>Winter (October – April)</w:t>
        <w:tab/>
        <w:tab/>
        <w:t>50,000 MMBtu/day</w:t>
      </w:r>
    </w:p>
    <w:p>
      <w:pPr>
        <w:pStyle w:val="Normal"/>
        <w:rPr/>
      </w:pPr>
      <w:r>
        <w:rPr/>
      </w:r>
    </w:p>
    <w:p>
      <w:pPr>
        <w:pStyle w:val="Heading3"/>
        <w:ind w:hanging="0" w:start="0"/>
        <w:rPr/>
      </w:pPr>
      <w:r>
        <w:rPr/>
        <w:t xml:space="preserve">In the event that Seller exercises its rights under this Section G, Buyer shall have the right to financially settle the quantities of gas recalled based on the </w:t>
      </w:r>
      <w:r>
        <w:rPr>
          <w:b/>
          <w:i/>
        </w:rPr>
        <w:t>Gas Daily</w:t>
      </w:r>
      <w:r>
        <w:rPr/>
        <w:t xml:space="preserve"> Common High plus $0.025 per MMBtu.  </w:t>
      </w:r>
    </w:p>
    <w:p>
      <w:pPr>
        <w:pStyle w:val="Heading3"/>
        <w:ind w:hanging="0" w:start="0"/>
        <w:jc w:val="both"/>
        <w:rPr/>
      </w:pPr>
      <w:r>
        <w:rPr/>
        <w:t xml:space="preserve">For purposes of determining the Contract Price for and the location of the physical delivery of any quantities under this section V(G), such quantities shall be from the FGT Zone 2 receipt point pool. </w:t>
      </w:r>
    </w:p>
    <w:p>
      <w:pPr>
        <w:pStyle w:val="Heading3"/>
        <w:ind w:hanging="0" w:start="0"/>
        <w:jc w:val="both"/>
        <w:rPr/>
      </w:pPr>
      <w:r>
        <w:rPr/>
        <w:t>Notwithstanding any provision to the contrary in FGT’s FERC Gas Tariff, Seller’s rights under this Section V(G) shall not be exercisable more often than one time per gas day.</w:t>
      </w:r>
    </w:p>
    <w:p>
      <w:pPr>
        <w:pStyle w:val="Heading2"/>
        <w:ind w:hanging="0" w:start="0"/>
        <w:rPr/>
      </w:pPr>
      <w:r>
        <w:rPr>
          <w:u w:val="single"/>
        </w:rPr>
        <w:t>Default and Remedies</w:t>
      </w:r>
    </w:p>
    <w:p>
      <w:pPr>
        <w:pStyle w:val="Normal"/>
        <w:ind w:start="1440" w:end="0"/>
        <w:rPr/>
      </w:pPr>
      <w:r>
        <w:rPr/>
        <w:t>This Agreement shall include a “Default and Remedies” provision that is the same as or comparable to the “Default and Remedies” provision in the Trading II Agreement.</w:t>
      </w:r>
    </w:p>
    <w:p>
      <w:pPr>
        <w:pStyle w:val="Normal"/>
        <w:rPr/>
      </w:pPr>
      <w:r>
        <w:rPr/>
      </w:r>
    </w:p>
    <w:p>
      <w:pPr>
        <w:pStyle w:val="Heading2"/>
        <w:ind w:hanging="0" w:start="0"/>
        <w:rPr>
          <w:smallCaps/>
          <w:u w:val="single"/>
        </w:rPr>
      </w:pPr>
      <w:r>
        <w:rPr>
          <w:u w:val="single"/>
        </w:rPr>
        <w:t>Payment</w:t>
      </w:r>
    </w:p>
    <w:p>
      <w:pPr>
        <w:pStyle w:val="Heading3"/>
        <w:ind w:hanging="0" w:start="0"/>
        <w:rPr>
          <w:smallCaps/>
        </w:rPr>
      </w:pPr>
      <w:r>
        <w:rPr/>
        <w:t>Buyer shall pay Seller for Base Quantities by the 15</w:t>
      </w:r>
      <w:r>
        <w:rPr>
          <w:vertAlign w:val="superscript"/>
        </w:rPr>
        <w:t>th</w:t>
      </w:r>
      <w:r>
        <w:rPr/>
        <w:t xml:space="preserve"> of the month which volumes are to be consumed.  Seller shall bill Buyer for Daily Additional Quantities at the beginning of the month following the month in which such quantities are sold and delivered.</w:t>
      </w:r>
    </w:p>
    <w:p>
      <w:pPr>
        <w:pStyle w:val="Heading3"/>
        <w:ind w:hanging="0" w:start="0"/>
        <w:rPr>
          <w:smallCaps/>
        </w:rPr>
      </w:pPr>
      <w:r>
        <w:rPr/>
        <w:t>Typical payment terms will apply.</w:t>
      </w:r>
      <w:r>
        <w:rPr>
          <w:smallCaps/>
        </w:rPr>
        <w:t xml:space="preserve">  </w:t>
      </w:r>
    </w:p>
    <w:p>
      <w:pPr>
        <w:pStyle w:val="Heading3"/>
        <w:ind w:hanging="0" w:start="0"/>
        <w:rPr/>
      </w:pPr>
      <w:r>
        <w:rPr/>
        <w:t xml:space="preserve">In the event that, for any reason, Buyer is unable to include in its fuel adjustment submission to the Florida Public Utilities Commission the costs of gas not yet delivered to and purchased by Buyer, the payment provisions in Section V(I)(1) shall be adjusted to provide for payment in the month following the month in which quantities of gas are delivered and sold under the ECT Agreement.  </w:t>
      </w:r>
    </w:p>
    <w:p>
      <w:pPr>
        <w:pStyle w:val="Heading3"/>
        <w:ind w:hanging="0" w:start="0"/>
        <w:rPr/>
      </w:pPr>
      <w:r>
        <w:rPr/>
        <w:t>In the event that Buyer sells, assigns or otherwise relinquishes control over one ore more of its electric generation plants and Buyer assigns all or a portion of this ECT Agreement to such new generation plant owner, the payment provisions of Section V(I)(1) shall be adjusted to provide for payment in the month following the month in which quantities of gas are delivered and sold under the ECT Agreement.</w:t>
      </w:r>
    </w:p>
    <w:p>
      <w:pPr>
        <w:pStyle w:val="Heading2"/>
        <w:ind w:hanging="0" w:start="0"/>
        <w:rPr/>
      </w:pPr>
      <w:r>
        <w:rPr>
          <w:u w:val="single"/>
        </w:rPr>
        <w:t>Assignment</w:t>
      </w:r>
    </w:p>
    <w:p>
      <w:pPr>
        <w:pStyle w:val="Heading3"/>
        <w:ind w:hanging="0" w:start="0"/>
        <w:rPr/>
      </w:pPr>
      <w:r>
        <w:rPr/>
        <w:t>Buyer shall have the right to assign any or all of its rights and obligations under the ECT Agreement to any entity which satisfies the creditworthiness standards set forth in FGT’s FERC Gas Tariff.</w:t>
      </w:r>
    </w:p>
    <w:p>
      <w:pPr>
        <w:pStyle w:val="Heading3"/>
        <w:ind w:hanging="0" w:start="0"/>
        <w:rPr/>
      </w:pPr>
      <w:r>
        <w:rPr/>
        <w:t xml:space="preserve">Seller shall have the right, subject to Section V(K), to assign any or all of its rights and obligations under the ECT Agreement to any creditworthy affiliate.  </w:t>
      </w:r>
    </w:p>
    <w:p>
      <w:pPr>
        <w:pStyle w:val="Heading2"/>
        <w:ind w:hanging="0" w:start="0"/>
        <w:rPr/>
      </w:pPr>
      <w:r>
        <w:rPr>
          <w:u w:val="single"/>
        </w:rPr>
        <w:t>Guarantee</w:t>
      </w:r>
    </w:p>
    <w:p>
      <w:pPr>
        <w:pStyle w:val="Normal"/>
        <w:rPr/>
      </w:pPr>
      <w:r>
        <w:rPr/>
        <w:tab/>
        <w:tab/>
        <w:t>Enron Corp. will guarantee ECT’s performance under the ECT Agreement.</w:t>
      </w:r>
    </w:p>
    <w:p>
      <w:pPr>
        <w:pStyle w:val="Normal"/>
        <w:rPr/>
      </w:pPr>
      <w:r>
        <w:rPr/>
      </w:r>
    </w:p>
    <w:p>
      <w:pPr>
        <w:pStyle w:val="Heading2"/>
        <w:ind w:hanging="0" w:start="0"/>
        <w:rPr/>
      </w:pPr>
      <w:r>
        <w:rPr/>
        <w:t>There shall be a provision comparable to Section 15.3 in the Trading II Agreement relating procedures in the event (1) there are changes to methodology for determining the indices to set Contract Prices or Section V(E) or Termination Payments under Section V(H) or Buyout Payments under Section V(M) and/or (2) the publications in which the indices to set Contract Prices under Section V(E)or Termination Payments under Section V(H) or Buyout Payments under Section V(M) are discontinued.</w:t>
      </w:r>
    </w:p>
    <w:p>
      <w:pPr>
        <w:pStyle w:val="Heading2"/>
        <w:ind w:hanging="0" w:start="0"/>
        <w:rPr/>
      </w:pPr>
      <w:r>
        <w:rPr>
          <w:u w:val="single"/>
        </w:rPr>
        <w:t>BuyOut Rights</w:t>
      </w:r>
    </w:p>
    <w:p>
      <w:pPr>
        <w:pStyle w:val="Heading3"/>
        <w:ind w:hanging="0" w:start="0"/>
        <w:rPr/>
      </w:pPr>
      <w:r>
        <w:rPr/>
        <w:t>In the event that Buyer sells, assigns or otherwise relinquishes control over one or more of its electric generation plants as a result of electric industry restructuring requirements or incentives, Buyer shall have the right, but not the obligation to buyout all or a portion of the ECT Agreement upon (1) ninety (90) days written notice to Seller of the intent to Buyout and the percentage to be bought out and (2) payment of the applicable amount set forth below.</w:t>
      </w:r>
    </w:p>
    <w:p>
      <w:pPr>
        <w:pStyle w:val="Heading3"/>
        <w:ind w:hanging="0" w:start="0"/>
        <w:rPr/>
      </w:pPr>
      <w:r>
        <w:rPr/>
        <w:t>The Buyout Payment Schedule shall be</w:t>
      </w:r>
    </w:p>
    <w:p>
      <w:pPr>
        <w:pStyle w:val="Heading4"/>
        <w:ind w:hanging="0" w:start="0"/>
        <w:rPr/>
      </w:pPr>
      <w:r>
        <w:rPr/>
        <w:t>If Buyer elects to Buyout of 100% of the ECT Agreement:</w:t>
      </w:r>
    </w:p>
    <w:p>
      <w:pPr>
        <w:pStyle w:val="Normal"/>
        <w:jc w:val="end"/>
        <w:rPr/>
      </w:pPr>
      <w:r>
        <w:rPr>
          <w:u w:val="single"/>
        </w:rPr>
        <w:t>100% BUYOUT</w:t>
      </w:r>
      <w:r>
        <w:rPr/>
        <w:tab/>
      </w:r>
    </w:p>
    <w:p>
      <w:pPr>
        <w:pStyle w:val="Normal"/>
        <w:jc w:val="end"/>
        <w:rPr/>
      </w:pPr>
      <w:r>
        <w:rPr/>
      </w:r>
    </w:p>
    <w:p>
      <w:pPr>
        <w:pStyle w:val="Normal"/>
        <w:rPr/>
      </w:pPr>
      <w:r>
        <w:rPr/>
        <w:tab/>
        <w:t xml:space="preserve">Contract Year 1 </w:t>
        <w:tab/>
        <w:t>(August 1, 1999 – February 29, 2000)</w:t>
        <w:tab/>
        <w:t>$              million</w:t>
      </w:r>
    </w:p>
    <w:p>
      <w:pPr>
        <w:pStyle w:val="Normal"/>
        <w:rPr/>
      </w:pPr>
      <w:r>
        <w:rPr/>
        <w:tab/>
        <w:t xml:space="preserve">Contract Year 2 </w:t>
        <w:tab/>
        <w:t>(March 1, 2000  – February 28, 2001)</w:t>
        <w:tab/>
        <w:t>$              million</w:t>
      </w:r>
    </w:p>
    <w:p>
      <w:pPr>
        <w:pStyle w:val="Normal"/>
        <w:rPr/>
      </w:pPr>
      <w:r>
        <w:rPr/>
        <w:tab/>
        <w:t xml:space="preserve">Contract Year 3 </w:t>
        <w:tab/>
        <w:t>(March 1, 2001  – February 28, 2002)</w:t>
        <w:tab/>
        <w:t>$              million</w:t>
      </w:r>
    </w:p>
    <w:p>
      <w:pPr>
        <w:pStyle w:val="Normal"/>
        <w:rPr/>
      </w:pPr>
      <w:r>
        <w:rPr/>
        <w:tab/>
        <w:t xml:space="preserve">Contract Year 4 </w:t>
        <w:tab/>
        <w:t>(March 1, 2002  – February 28, 2003)</w:t>
        <w:tab/>
        <w:t>$              million</w:t>
      </w:r>
    </w:p>
    <w:p>
      <w:pPr>
        <w:pStyle w:val="Normal"/>
        <w:rPr/>
      </w:pPr>
      <w:r>
        <w:rPr/>
        <w:tab/>
        <w:t xml:space="preserve">Contract Year 5 </w:t>
        <w:tab/>
        <w:t>(March 1, 2003  – February 29, 2004)</w:t>
        <w:tab/>
        <w:t>$              million</w:t>
      </w:r>
    </w:p>
    <w:p>
      <w:pPr>
        <w:pStyle w:val="Normal"/>
        <w:rPr/>
      </w:pPr>
      <w:r>
        <w:rPr/>
        <w:tab/>
        <w:t xml:space="preserve">Contract Year 6 </w:t>
        <w:tab/>
        <w:t>(March 1, 2004  – February 28, 2005)</w:t>
        <w:tab/>
        <w:t>$              million</w:t>
      </w:r>
    </w:p>
    <w:p>
      <w:pPr>
        <w:pStyle w:val="Normal"/>
        <w:rPr/>
      </w:pPr>
      <w:r>
        <w:rPr/>
        <w:tab/>
        <w:t xml:space="preserve">Contract Year 7 </w:t>
        <w:tab/>
        <w:t>(March 1, 2005  – February 28, 2006)</w:t>
        <w:tab/>
        <w:t>$              million</w:t>
      </w:r>
    </w:p>
    <w:p>
      <w:pPr>
        <w:pStyle w:val="Normal"/>
        <w:rPr/>
      </w:pPr>
      <w:r>
        <w:rPr/>
        <w:tab/>
        <w:t xml:space="preserve">Contract Year 8 </w:t>
        <w:tab/>
        <w:t>(March 1, 2006  – February 28, 2007)</w:t>
        <w:tab/>
        <w:t>$              million</w:t>
      </w:r>
    </w:p>
    <w:p>
      <w:pPr>
        <w:pStyle w:val="Normal"/>
        <w:rPr/>
      </w:pPr>
      <w:r>
        <w:rPr/>
        <w:tab/>
        <w:t xml:space="preserve">Contract Year 9 </w:t>
        <w:tab/>
        <w:t>(March 1, 2007  – February 29, 2008)</w:t>
        <w:tab/>
        <w:t>$              million</w:t>
      </w:r>
    </w:p>
    <w:p>
      <w:pPr>
        <w:pStyle w:val="Normal"/>
        <w:rPr/>
      </w:pPr>
      <w:r>
        <w:rPr/>
        <w:tab/>
        <w:t xml:space="preserve">Contract Year 10 </w:t>
        <w:tab/>
        <w:t>(March 1, 2008  – February 28, 2009)</w:t>
        <w:tab/>
        <w:t>$              million</w:t>
      </w:r>
    </w:p>
    <w:p>
      <w:pPr>
        <w:pStyle w:val="Normal"/>
        <w:rPr/>
      </w:pPr>
      <w:r>
        <w:rPr/>
        <w:tab/>
        <w:t xml:space="preserve">Contract Year 11 </w:t>
        <w:tab/>
        <w:t>(March 1, 2009  – February 28, 2010)</w:t>
        <w:tab/>
        <w:t>$              million</w:t>
      </w:r>
    </w:p>
    <w:p>
      <w:pPr>
        <w:pStyle w:val="Normal"/>
        <w:rPr/>
      </w:pPr>
      <w:r>
        <w:rPr/>
      </w:r>
    </w:p>
    <w:p>
      <w:pPr>
        <w:pStyle w:val="Heading4"/>
        <w:ind w:hanging="0" w:start="0"/>
        <w:rPr/>
      </w:pPr>
      <w:r>
        <w:rPr/>
        <w:t>If Buyer elects to buyout less than 100 percent of the ECT Agreement, the Buyout Payment Schedule will be adjusted to reflect a Buyout Payment equal to the product of (1) the 100% Buyout Payment for the year of the buyout and (2) the percentage of the ECT Agreement that Buyer elects to buyout.</w:t>
      </w:r>
    </w:p>
    <w:p>
      <w:pPr>
        <w:pStyle w:val="Normal"/>
        <w:rPr/>
      </w:pPr>
      <w:r>
        <w:rPr/>
      </w:r>
    </w:p>
    <w:p>
      <w:pPr>
        <w:pStyle w:val="Heading1"/>
        <w:ind w:hanging="0" w:start="0"/>
        <w:rPr/>
      </w:pPr>
      <w:r>
        <w:rPr/>
        <w:br/>
        <w:t>TERMS AND CONDITIONS OF GAS STORAGE AGREEMENT</w:t>
      </w:r>
    </w:p>
    <w:p>
      <w:pPr>
        <w:pStyle w:val="Heading2"/>
        <w:ind w:hanging="0" w:start="0"/>
        <w:rPr>
          <w:u w:val="single"/>
        </w:rPr>
      </w:pPr>
      <w:r>
        <w:rPr>
          <w:u w:val="single"/>
        </w:rPr>
        <w:t>Definitions</w:t>
      </w:r>
    </w:p>
    <w:p>
      <w:pPr>
        <w:pStyle w:val="Heading3"/>
        <w:ind w:hanging="0" w:start="0"/>
        <w:rPr/>
      </w:pPr>
      <w:r>
        <w:rPr/>
        <w:t>“</w:t>
      </w:r>
      <w:r>
        <w:rPr/>
        <w:t xml:space="preserve">Buyer” shall mean FPL.  </w:t>
      </w:r>
    </w:p>
    <w:p>
      <w:pPr>
        <w:pStyle w:val="Heading3"/>
        <w:ind w:hanging="0" w:start="0"/>
        <w:rPr/>
      </w:pPr>
      <w:r>
        <w:rPr/>
        <w:t>“</w:t>
      </w:r>
      <w:r>
        <w:rPr/>
        <w:t>Napoleon Storage Facility” shall mean the salt dome storage facility owned and operated by Enron Storage Company (“ESC”).</w:t>
      </w:r>
    </w:p>
    <w:p>
      <w:pPr>
        <w:pStyle w:val="Heading3"/>
        <w:ind w:hanging="0" w:start="0"/>
        <w:rPr/>
      </w:pPr>
      <w:r>
        <w:rPr/>
        <w:t>“</w:t>
      </w:r>
      <w:r>
        <w:rPr/>
        <w:t>Operator of the Napoleon Storage Facility” shall mean ESC.</w:t>
      </w:r>
    </w:p>
    <w:p>
      <w:pPr>
        <w:pStyle w:val="Heading3"/>
        <w:ind w:hanging="0" w:start="0"/>
        <w:rPr/>
      </w:pPr>
      <w:r>
        <w:rPr/>
        <w:t>“</w:t>
      </w:r>
      <w:r>
        <w:rPr/>
        <w:t>FGT” shall mean Florida Gas Transmission Company, an interstate pipeline which shall interconnect with the Napoleon Storage Facility at the Napoleonville receipt point.</w:t>
      </w:r>
    </w:p>
    <w:p>
      <w:pPr>
        <w:pStyle w:val="Heading3"/>
        <w:ind w:hanging="0" w:start="0"/>
        <w:rPr/>
      </w:pPr>
      <w:r>
        <w:rPr/>
        <w:t>“</w:t>
      </w:r>
      <w:r>
        <w:rPr/>
        <w:t>Interconnection Point” shall mean the point at which the Napoleon Storage Facility interconnects with FGT and any other points that are mutually agreed.</w:t>
      </w:r>
    </w:p>
    <w:p>
      <w:pPr>
        <w:pStyle w:val="Heading3"/>
        <w:ind w:hanging="0" w:start="0"/>
        <w:rPr/>
      </w:pPr>
      <w:r>
        <w:rPr/>
        <w:t>“</w:t>
      </w:r>
      <w:r>
        <w:rPr/>
        <w:t>MSQ” shall mean Maximum Storage Quantity.</w:t>
      </w:r>
    </w:p>
    <w:p>
      <w:pPr>
        <w:pStyle w:val="Heading3"/>
        <w:ind w:hanging="0" w:start="0"/>
        <w:rPr/>
      </w:pPr>
      <w:r>
        <w:rPr/>
        <w:t>“</w:t>
      </w:r>
      <w:r>
        <w:rPr/>
        <w:t>MDIQ” shall mean Maximum Daily Injection Quantity.</w:t>
      </w:r>
    </w:p>
    <w:p>
      <w:pPr>
        <w:pStyle w:val="Heading3"/>
        <w:ind w:hanging="0" w:start="0"/>
        <w:rPr/>
      </w:pPr>
      <w:r>
        <w:rPr/>
        <w:t>“</w:t>
      </w:r>
      <w:r>
        <w:rPr/>
        <w:t>MDWQ” shall mean Maximum Daily Withdrawal Quantity.</w:t>
      </w:r>
    </w:p>
    <w:p>
      <w:pPr>
        <w:pStyle w:val="Heading3"/>
        <w:ind w:hanging="0" w:start="0"/>
        <w:rPr/>
      </w:pPr>
      <w:r>
        <w:rPr/>
        <w:t>“</w:t>
      </w:r>
      <w:r>
        <w:rPr/>
        <w:t>LRC” shall mean Louisiana Resources Pipeline Co.</w:t>
      </w:r>
    </w:p>
    <w:p>
      <w:pPr>
        <w:pStyle w:val="Heading2"/>
        <w:ind w:hanging="0" w:start="0"/>
        <w:rPr/>
      </w:pPr>
      <w:r>
        <w:rPr>
          <w:u w:val="single"/>
        </w:rPr>
        <w:t>Storage Quantities</w:t>
      </w:r>
    </w:p>
    <w:p>
      <w:pPr>
        <w:pStyle w:val="Heading3"/>
        <w:ind w:hanging="0" w:start="0"/>
        <w:rPr/>
      </w:pPr>
      <w:r>
        <w:rPr/>
        <w:t>The MSQ shall be 250,000 MMBtu</w:t>
      </w:r>
    </w:p>
    <w:p>
      <w:pPr>
        <w:pStyle w:val="Heading3"/>
        <w:ind w:hanging="0" w:start="0"/>
        <w:rPr/>
      </w:pPr>
      <w:r>
        <w:rPr/>
        <w:t>The MDIQ shall be 12,500 MMBtu/day for twenty (20) days service.</w:t>
      </w:r>
    </w:p>
    <w:p>
      <w:pPr>
        <w:pStyle w:val="Heading3"/>
        <w:ind w:hanging="0" w:start="0"/>
        <w:rPr/>
      </w:pPr>
      <w:r>
        <w:rPr/>
        <w:t>The MDWQ shall be 25,000 MMBtu/day for ten (10) days service.</w:t>
      </w:r>
    </w:p>
    <w:p>
      <w:pPr>
        <w:pStyle w:val="Heading2"/>
        <w:ind w:hanging="0" w:start="0"/>
        <w:rPr>
          <w:u w:val="single"/>
        </w:rPr>
      </w:pPr>
      <w:r>
        <w:rPr>
          <w:u w:val="single"/>
        </w:rPr>
        <w:t>Recycling Rights</w:t>
      </w:r>
    </w:p>
    <w:p>
      <w:pPr>
        <w:pStyle w:val="Normal"/>
        <w:ind w:start="1440" w:end="0"/>
        <w:jc w:val="both"/>
        <w:rPr/>
      </w:pPr>
      <w:r>
        <w:rPr/>
        <w:t>Subject to Section VI (B) Buyer shall have the unlimited right to cycle gas into and out of storage.</w:t>
      </w:r>
    </w:p>
    <w:p>
      <w:pPr>
        <w:pStyle w:val="Normal"/>
        <w:rPr>
          <w:u w:val="single"/>
        </w:rPr>
      </w:pPr>
      <w:r>
        <w:rPr>
          <w:u w:val="single"/>
        </w:rPr>
      </w:r>
    </w:p>
    <w:p>
      <w:pPr>
        <w:pStyle w:val="Heading2"/>
        <w:ind w:hanging="0" w:start="0"/>
        <w:rPr/>
      </w:pPr>
      <w:r>
        <w:rPr>
          <w:u w:val="single"/>
        </w:rPr>
        <w:t>Term</w:t>
      </w:r>
    </w:p>
    <w:p>
      <w:pPr>
        <w:pStyle w:val="Normal"/>
        <w:ind w:start="1440" w:end="0"/>
        <w:jc w:val="both"/>
        <w:rPr/>
      </w:pPr>
      <w:r>
        <w:rPr/>
        <w:t>The term of this Gas Storage Agreement shall commence August 1, 1999 and extend to February 28, 2010.</w:t>
      </w:r>
    </w:p>
    <w:p>
      <w:pPr>
        <w:pStyle w:val="Normal"/>
        <w:rPr/>
      </w:pPr>
      <w:r>
        <w:rPr/>
      </w:r>
    </w:p>
    <w:p>
      <w:pPr>
        <w:pStyle w:val="Heading2"/>
        <w:ind w:hanging="0" w:start="0"/>
        <w:rPr/>
      </w:pPr>
      <w:r>
        <w:rPr>
          <w:u w:val="single"/>
        </w:rPr>
        <w:t>Rate</w:t>
      </w:r>
    </w:p>
    <w:p>
      <w:pPr>
        <w:pStyle w:val="Heading3"/>
        <w:ind w:hanging="0" w:start="0"/>
        <w:jc w:val="both"/>
        <w:rPr/>
      </w:pPr>
      <w:r>
        <w:rPr/>
        <w:t>Buyer shall pay the Operator of the Napoleon Storage Facility a rate of $0.0115 for each MMBtu injected or withdrawn by Buyer</w:t>
      </w:r>
    </w:p>
    <w:p>
      <w:pPr>
        <w:pStyle w:val="Heading3"/>
        <w:ind w:hanging="0" w:start="0"/>
        <w:jc w:val="both"/>
        <w:rPr/>
      </w:pPr>
      <w:r>
        <w:rPr/>
        <w:t>Buyer shall compensate the Operator of the Napoleon Storage Facility for a fuel charge of 1.03% for each MMBtu injected by Buyer.</w:t>
      </w:r>
    </w:p>
    <w:p>
      <w:pPr>
        <w:pStyle w:val="Heading2"/>
        <w:ind w:hanging="0" w:start="0"/>
        <w:rPr/>
      </w:pPr>
      <w:r>
        <w:rPr>
          <w:u w:val="single"/>
        </w:rPr>
        <w:t>Interconnection Points</w:t>
      </w:r>
    </w:p>
    <w:p>
      <w:pPr>
        <w:pStyle w:val="Heading3"/>
        <w:ind w:hanging="0" w:start="0"/>
        <w:rPr/>
      </w:pPr>
      <w:r>
        <w:rPr/>
        <w:t>ERC will assure that the facilities of the Napoleon Storage Facility to interconnect with the Facilities of FGT and LRC.</w:t>
      </w:r>
    </w:p>
    <w:p>
      <w:pPr>
        <w:pStyle w:val="Heading3"/>
        <w:ind w:hanging="0" w:start="0"/>
        <w:rPr/>
      </w:pPr>
      <w:r>
        <w:rPr/>
        <w:t xml:space="preserve">ERC and FPL agree to negotiate in good faith as to future interconnections between the Napoleon Storage Facility and other pipeline service providers if and when available.  </w:t>
      </w:r>
    </w:p>
    <w:p>
      <w:pPr>
        <w:pStyle w:val="Heading2"/>
        <w:ind w:hanging="0" w:start="0"/>
        <w:jc w:val="both"/>
        <w:rPr>
          <w:u w:val="single"/>
        </w:rPr>
      </w:pPr>
      <w:r>
        <w:rPr>
          <w:u w:val="single"/>
        </w:rPr>
        <w:t>Delay Fee</w:t>
      </w:r>
    </w:p>
    <w:p>
      <w:pPr>
        <w:pStyle w:val="Normal"/>
        <w:rPr/>
      </w:pPr>
      <w:r>
        <w:rPr/>
        <w:tab/>
        <w:tab/>
        <w:t>ECT shall pay Buyer a delay fee of $1,000.00 for each day after August 1, 1999 that the Napoleon Storage Facility is not interconnected to FGT or is otherwise unable to commence service to Buyer under this Gas Storage Agreement.  In no event shall ECT be obligated to pay Buyer aggregate delay fees in excess of $1,800,000.00.</w:t>
      </w:r>
      <w:r>
        <w:br w:type="page"/>
      </w:r>
    </w:p>
    <w:p>
      <w:pPr>
        <w:pStyle w:val="Normal"/>
        <w:rPr/>
      </w:pPr>
      <w:r>
        <w:rPr/>
      </w:r>
    </w:p>
    <w:p>
      <w:pPr>
        <w:pStyle w:val="Heading1"/>
        <w:ind w:hanging="0" w:start="0"/>
        <w:rPr/>
      </w:pPr>
      <w:r>
        <w:rPr/>
        <w:br/>
        <w:t>CONFIDENTIALITY</w:t>
      </w:r>
    </w:p>
    <w:p>
      <w:pPr>
        <w:pStyle w:val="Normal"/>
        <w:rPr/>
      </w:pPr>
      <w:r>
        <w:rPr/>
        <w:tab/>
        <w:tab/>
        <w:t>All terms and conditions of this Letter Agreement are confidential between the parties, their respective affiliates, subsidiaries and their duly appointed agents.</w:t>
      </w:r>
    </w:p>
    <w:p>
      <w:pPr>
        <w:pStyle w:val="Normal"/>
        <w:keepNext w:val="true"/>
        <w:keepLines/>
        <w:jc w:val="both"/>
        <w:rPr/>
      </w:pPr>
      <w:r>
        <w:rPr/>
      </w:r>
    </w:p>
    <w:p>
      <w:pPr>
        <w:pStyle w:val="Normal"/>
        <w:keepLines/>
        <w:jc w:val="both"/>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5058"/>
        <w:gridCol w:w="4860"/>
      </w:tblGrid>
      <w:tr>
        <w:trPr/>
        <w:tc>
          <w:tcPr>
            <w:tcW w:w="5058" w:type="dxa"/>
            <w:tcBorders/>
          </w:tcPr>
          <w:p>
            <w:pPr>
              <w:pStyle w:val="Normal"/>
              <w:keepLines/>
              <w:rPr>
                <w:b/>
                <w:sz w:val="22"/>
              </w:rPr>
            </w:pPr>
            <w:r>
              <w:rPr>
                <w:b/>
                <w:sz w:val="22"/>
              </w:rPr>
              <w:t>FLORIDA POWER &amp; LIGHT COMPANY</w:t>
            </w:r>
          </w:p>
        </w:tc>
        <w:tc>
          <w:tcPr>
            <w:tcW w:w="4860" w:type="dxa"/>
            <w:tcBorders/>
          </w:tcPr>
          <w:p>
            <w:pPr>
              <w:pStyle w:val="Normal"/>
              <w:keepLines/>
              <w:rPr>
                <w:b/>
                <w:sz w:val="22"/>
              </w:rPr>
            </w:pPr>
            <w:r>
              <w:rPr>
                <w:b/>
                <w:sz w:val="22"/>
              </w:rPr>
              <w:t>ENRON CAPITAL &amp; TRADE RESOURCES CORP.</w:t>
            </w:r>
          </w:p>
        </w:tc>
      </w:tr>
      <w:tr>
        <w:trPr/>
        <w:tc>
          <w:tcPr>
            <w:tcW w:w="5058" w:type="dxa"/>
            <w:tcBorders/>
          </w:tcPr>
          <w:p>
            <w:pPr>
              <w:pStyle w:val="Normal"/>
              <w:keepLines/>
              <w:snapToGrid w:val="false"/>
              <w:jc w:val="both"/>
              <w:rPr>
                <w:b/>
                <w:sz w:val="22"/>
              </w:rPr>
            </w:pPr>
            <w:r>
              <w:rPr>
                <w:b/>
                <w:sz w:val="22"/>
              </w:rPr>
            </w:r>
          </w:p>
          <w:p>
            <w:pPr>
              <w:pStyle w:val="Normal"/>
              <w:keepLines/>
              <w:jc w:val="both"/>
              <w:rPr>
                <w:sz w:val="22"/>
              </w:rPr>
            </w:pPr>
            <w:r>
              <w:rPr>
                <w:sz w:val="22"/>
              </w:rPr>
              <w:t>By:________________________</w:t>
            </w:r>
          </w:p>
        </w:tc>
        <w:tc>
          <w:tcPr>
            <w:tcW w:w="4860" w:type="dxa"/>
            <w:tcBorders/>
          </w:tcPr>
          <w:p>
            <w:pPr>
              <w:pStyle w:val="Normal"/>
              <w:keepLines/>
              <w:snapToGrid w:val="false"/>
              <w:jc w:val="both"/>
              <w:rPr>
                <w:sz w:val="22"/>
              </w:rPr>
            </w:pPr>
            <w:r>
              <w:rPr>
                <w:sz w:val="22"/>
              </w:rPr>
            </w:r>
          </w:p>
          <w:p>
            <w:pPr>
              <w:pStyle w:val="Normal"/>
              <w:keepLines/>
              <w:jc w:val="both"/>
              <w:rPr>
                <w:sz w:val="22"/>
              </w:rPr>
            </w:pPr>
            <w:r>
              <w:rPr>
                <w:sz w:val="22"/>
              </w:rPr>
              <w:t>By:__________________________</w:t>
            </w:r>
          </w:p>
        </w:tc>
      </w:tr>
      <w:tr>
        <w:trPr/>
        <w:tc>
          <w:tcPr>
            <w:tcW w:w="5058" w:type="dxa"/>
            <w:tcBorders/>
          </w:tcPr>
          <w:p>
            <w:pPr>
              <w:pStyle w:val="Normal"/>
              <w:keepLines/>
              <w:snapToGrid w:val="false"/>
              <w:jc w:val="both"/>
              <w:rPr>
                <w:sz w:val="22"/>
              </w:rPr>
            </w:pPr>
            <w:r>
              <w:rPr>
                <w:sz w:val="22"/>
              </w:rPr>
            </w:r>
          </w:p>
          <w:p>
            <w:pPr>
              <w:pStyle w:val="Normal"/>
              <w:keepLines/>
              <w:jc w:val="both"/>
              <w:rPr>
                <w:sz w:val="22"/>
              </w:rPr>
            </w:pPr>
            <w:r>
              <w:rPr>
                <w:sz w:val="22"/>
              </w:rPr>
              <w:t>Name:______________________</w:t>
            </w:r>
          </w:p>
          <w:p>
            <w:pPr>
              <w:pStyle w:val="Normal"/>
              <w:keepLines/>
              <w:jc w:val="both"/>
              <w:rPr>
                <w:sz w:val="22"/>
              </w:rPr>
            </w:pPr>
            <w:r>
              <w:rPr>
                <w:sz w:val="22"/>
              </w:rPr>
            </w:r>
          </w:p>
        </w:tc>
        <w:tc>
          <w:tcPr>
            <w:tcW w:w="4860" w:type="dxa"/>
            <w:tcBorders/>
          </w:tcPr>
          <w:p>
            <w:pPr>
              <w:pStyle w:val="Normal"/>
              <w:keepLines/>
              <w:snapToGrid w:val="false"/>
              <w:jc w:val="both"/>
              <w:rPr>
                <w:sz w:val="22"/>
              </w:rPr>
            </w:pPr>
            <w:r>
              <w:rPr>
                <w:sz w:val="22"/>
              </w:rPr>
            </w:r>
          </w:p>
          <w:p>
            <w:pPr>
              <w:pStyle w:val="Normal"/>
              <w:keepLines/>
              <w:jc w:val="both"/>
              <w:rPr>
                <w:sz w:val="22"/>
              </w:rPr>
            </w:pPr>
            <w:r>
              <w:rPr>
                <w:sz w:val="22"/>
              </w:rPr>
              <w:t>Name:________________________</w:t>
            </w:r>
          </w:p>
        </w:tc>
      </w:tr>
      <w:tr>
        <w:trPr/>
        <w:tc>
          <w:tcPr>
            <w:tcW w:w="5058" w:type="dxa"/>
            <w:tcBorders/>
          </w:tcPr>
          <w:p>
            <w:pPr>
              <w:pStyle w:val="Normal"/>
              <w:keepLines/>
              <w:jc w:val="both"/>
              <w:rPr>
                <w:sz w:val="22"/>
              </w:rPr>
            </w:pPr>
            <w:r>
              <w:rPr>
                <w:sz w:val="22"/>
              </w:rPr>
              <w:t>Title:_______________________</w:t>
            </w:r>
          </w:p>
        </w:tc>
        <w:tc>
          <w:tcPr>
            <w:tcW w:w="4860" w:type="dxa"/>
            <w:tcBorders/>
          </w:tcPr>
          <w:p>
            <w:pPr>
              <w:pStyle w:val="Normal"/>
              <w:keepLines/>
              <w:jc w:val="both"/>
              <w:rPr>
                <w:sz w:val="22"/>
              </w:rPr>
            </w:pPr>
            <w:r>
              <w:rPr>
                <w:sz w:val="22"/>
              </w:rPr>
              <w:t>Title:_________________________</w:t>
            </w:r>
          </w:p>
        </w:tc>
      </w:tr>
    </w:tbl>
    <w:p>
      <w:pPr>
        <w:pStyle w:val="Normal"/>
        <w:keepLines/>
        <w:jc w:val="both"/>
        <w:rPr>
          <w:b/>
          <w:smallCaps/>
          <w:sz w:val="22"/>
        </w:rPr>
      </w:pPr>
      <w:r>
        <w:rPr>
          <w:b/>
          <w:smallCaps/>
          <w:sz w:val="22"/>
        </w:rPr>
      </w:r>
    </w:p>
    <w:p>
      <w:pPr>
        <w:pStyle w:val="Normal"/>
        <w:keepLines/>
        <w:jc w:val="both"/>
        <w:rPr>
          <w:b/>
          <w:smallCaps/>
          <w:sz w:val="22"/>
        </w:rPr>
      </w:pPr>
      <w:r>
        <w:rPr>
          <w:b/>
          <w:smallCaps/>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DC01:224135.4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DC01:224135.4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t>Florida Power &amp; Light Company</w:t>
      <w:tab/>
      <w:t>For Discussion Purposes Only</w:t>
    </w:r>
  </w:p>
  <w:p>
    <w:pPr>
      <w:pStyle w:val="Header"/>
      <w:tabs>
        <w:tab w:val="clear" w:pos="4320"/>
        <w:tab w:val="clear" w:pos="8640"/>
        <w:tab w:val="center" w:pos="4680" w:leader="none"/>
        <w:tab w:val="right" w:pos="9360" w:leader="none"/>
      </w:tabs>
      <w:rPr/>
    </w:pPr>
    <w:r>
      <w:rPr/>
      <w:fldChar w:fldCharType="begin"/>
    </w:r>
    <w:r>
      <w:rPr/>
      <w:instrText xml:space="preserve"> DATE \@"MMMM\ d', 'yyyy" </w:instrText>
    </w:r>
    <w:r>
      <w:rPr/>
      <w:fldChar w:fldCharType="separate"/>
    </w:r>
    <w:r>
      <w:rPr/>
      <w:t>September 28, 2025</w:t>
    </w:r>
    <w:r>
      <w:rPr/>
      <w:fldChar w:fldCharType="end"/>
    </w:r>
    <w:r>
      <w:rPr/>
      <w:tab/>
      <w:tab/>
      <w:t>DRAFT</w:t>
    </w:r>
  </w:p>
  <w:p>
    <w:pPr>
      <w:pStyle w:val="Header"/>
      <w:tabs>
        <w:tab w:val="clear" w:pos="4320"/>
        <w:tab w:val="clear" w:pos="8640"/>
        <w:tab w:val="center" w:pos="4680" w:leader="none"/>
        <w:tab w:val="right" w:pos="9360" w:leader="none"/>
      </w:tabs>
      <w:rPr/>
    </w:pPr>
    <w:r>
      <w:rPr/>
      <w:t xml:space="preserve">Page </w:t>
    </w:r>
    <w:r>
      <w:rPr/>
      <w:fldChar w:fldCharType="begin"/>
    </w:r>
    <w:r>
      <w:rPr/>
      <w:instrText xml:space="preserve"> PAGE </w:instrText>
    </w:r>
    <w:r>
      <w:rPr/>
      <w:fldChar w:fldCharType="separate"/>
    </w:r>
    <w:r>
      <w:rPr/>
      <w:t>12</w:t>
    </w:r>
    <w:r>
      <w:rPr/>
      <w:fldChar w:fldCharType="end"/>
    </w:r>
    <w:r>
      <w:rPr/>
      <w:tab/>
      <w:tab/>
      <w:t>6/25/99</w:t>
    </w:r>
  </w:p>
  <w:p>
    <w:pPr>
      <w:pStyle w:val="Header"/>
      <w:tabs>
        <w:tab w:val="clear" w:pos="4320"/>
        <w:tab w:val="clear" w:pos="8640"/>
        <w:tab w:val="center" w:pos="4680" w:leader="none"/>
        <w:tab w:val="right" w:pos="9360" w:leader="none"/>
      </w:tabs>
      <w:jc w:val="end"/>
      <w:rPr/>
    </w:pPr>
    <w:r>
      <w:rPr/>
      <w:t>8 p.m.</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jc w:val="end"/>
      <w:rPr/>
    </w:pPr>
    <w:r>
      <w:rPr/>
      <w:t>For Discussion Purposes Only</w:t>
    </w:r>
  </w:p>
  <w:p>
    <w:pPr>
      <w:pStyle w:val="Header"/>
      <w:tabs>
        <w:tab w:val="clear" w:pos="8640"/>
        <w:tab w:val="center" w:pos="4320" w:leader="none"/>
        <w:tab w:val="right" w:pos="9360" w:leader="none"/>
      </w:tabs>
      <w:jc w:val="end"/>
      <w:rPr/>
    </w:pPr>
    <w:r>
      <w:rPr/>
      <w:t>DRAFT</w:t>
    </w:r>
  </w:p>
  <w:p>
    <w:pPr>
      <w:pStyle w:val="Header"/>
      <w:tabs>
        <w:tab w:val="clear" w:pos="8640"/>
        <w:tab w:val="center" w:pos="4320" w:leader="none"/>
        <w:tab w:val="right" w:pos="9360" w:leader="none"/>
      </w:tabs>
      <w:jc w:val="end"/>
      <w:rPr/>
    </w:pPr>
    <w:r>
      <w:rPr/>
      <w:t>6/25/99</w:t>
    </w:r>
  </w:p>
  <w:p>
    <w:pPr>
      <w:pStyle w:val="Header"/>
      <w:tabs>
        <w:tab w:val="clear" w:pos="8640"/>
        <w:tab w:val="center" w:pos="4320" w:leader="none"/>
        <w:tab w:val="right" w:pos="9360" w:leader="none"/>
      </w:tabs>
      <w:jc w:val="end"/>
      <w:rPr/>
    </w:pPr>
    <w:r>
      <w:rPr/>
      <w:t>8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rPr>
    </w:lvl>
    <w:lvl w:ilvl="1">
      <w:start w:val="1"/>
      <w:pStyle w:val="Heading2"/>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pStyle w:val="Heading3"/>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3600"/>
        </w:tabs>
        <w:ind w:start="3600" w:hanging="720"/>
      </w:pPr>
      <w:rPr>
        <w:i w:val="false"/>
        <w:b w:val="false"/>
        <w:rFonts w:ascii="Times New Roman" w:hAnsi="Times New Roman" w:cs="Times New Roman"/>
      </w:rPr>
    </w:lvl>
    <w:lvl w:ilvl="5">
      <w:start w:val="27"/>
      <w:pStyle w:val="Heading6"/>
      <w:numFmt w:val="lowerLetter"/>
      <w:lvlText w:val="%6"/>
      <w:lvlJc w:val="start"/>
      <w:pPr>
        <w:tabs>
          <w:tab w:val="num" w:pos="3960"/>
        </w:tabs>
        <w:ind w:start="3600" w:hanging="0"/>
      </w:pPr>
      <w:rPr>
        <w:i w:val="false"/>
        <w:b w:val="false"/>
        <w:rFonts w:ascii="Times New Roman" w:hAnsi="Times New Roman" w:cs="Times New Roman"/>
      </w:r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upperLetter"/>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b/>
      <w:kern w:val="2"/>
    </w:rPr>
  </w:style>
  <w:style w:type="paragraph" w:styleId="Heading2">
    <w:name w:val="heading 2"/>
    <w:basedOn w:val="Normal"/>
    <w:next w:val="Normal"/>
    <w:qFormat/>
    <w:pPr>
      <w:keepNext w:val="true"/>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Times New Roman" w:hAnsi="Times New Roman" w:cs="Times New Roman"/>
      <w:b/>
      <w:i w:val="false"/>
      <w:caps w:val="false"/>
      <w:smallCaps w:val="false"/>
      <w:strike w:val="false"/>
      <w:dstrike w:val="false"/>
      <w:outline w:val="false"/>
      <w:shadow w:val="false"/>
      <w:vanish w:val="false"/>
      <w:position w:val="0"/>
      <w:sz w:val="24"/>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2">
    <w:name w:val="WW8Num3z2"/>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3z3">
    <w:name w:val="WW8Num3z3"/>
    <w:qFormat/>
    <w:rPr>
      <w:rFonts w:ascii="Times New Roman" w:hAnsi="Times New Roman" w:cs="Times New Roman"/>
      <w:b w:val="false"/>
      <w:i w:val="false"/>
      <w:sz w:val="24"/>
    </w:rPr>
  </w:style>
  <w:style w:type="character" w:styleId="WW8Num3z4">
    <w:name w:val="WW8Num3z4"/>
    <w:qFormat/>
    <w:rPr>
      <w:rFonts w:ascii="Times New Roman" w:hAnsi="Times New Roman" w:cs="Times New Roman"/>
      <w:b w:val="false"/>
      <w:i w:val="false"/>
    </w:rPr>
  </w:style>
  <w:style w:type="character" w:styleId="WW8Num4z1">
    <w:name w:val="WW8Num4z1"/>
    <w:qFormat/>
    <w:rPr>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NormalIndent">
    <w:name w:val="Normal Indent"/>
    <w:basedOn w:val="Normal"/>
    <w:qFormat/>
    <w:pPr>
      <w:spacing w:before="0" w:after="240"/>
      <w:ind w:firstLine="1440" w:start="0" w:end="0"/>
      <w:jc w:val="both"/>
    </w:pPr>
    <w:rPr/>
  </w:style>
  <w:style w:type="paragraph" w:styleId="Signature">
    <w:name w:val="Signature"/>
    <w:basedOn w:val="Normal"/>
    <w:pPr>
      <w:ind w:hanging="0" w:start="4320" w:end="0"/>
    </w:pPr>
    <w:rPr/>
  </w:style>
  <w:style w:type="paragraph" w:styleId="FootnoteText">
    <w:name w:val="footnote text"/>
    <w:basedOn w:val="Normal"/>
    <w:pPr>
      <w:tabs>
        <w:tab w:val="clear" w:pos="720"/>
        <w:tab w:val="left" w:pos="360" w:leader="none"/>
        <w:tab w:val="left" w:pos="634" w:leader="none"/>
      </w:tabs>
      <w:spacing w:before="0" w:after="240"/>
      <w:jc w:val="both"/>
    </w:pPr>
    <w:rPr/>
  </w:style>
  <w:style w:type="paragraph" w:styleId="EnvelopeAddress">
    <w:name w:val="envelope address"/>
    <w:basedOn w:val="Normal"/>
    <w:pPr>
      <w:ind w:hanging="0" w:start="2880" w:end="0"/>
      <w:jc w:val="both"/>
    </w:pPr>
    <w:rPr/>
  </w:style>
  <w:style w:type="paragraph" w:styleId="EnvelopeReturn">
    <w:name w:val="envelope return"/>
    <w:basedOn w:val="Normal"/>
    <w:pPr>
      <w:jc w:val="both"/>
    </w:pPr>
    <w:rPr/>
  </w:style>
  <w:style w:type="paragraph" w:styleId="BodyTextIndent">
    <w:name w:val="Body Text Indent"/>
    <w:basedOn w:val="Normal"/>
    <w:pPr>
      <w:ind w:firstLine="720" w:start="0" w:end="0"/>
    </w:pPr>
    <w:rPr/>
  </w:style>
  <w:style w:type="paragraph" w:styleId="BodyText2">
    <w:name w:val="Body Text 2"/>
    <w:basedOn w:val="Normal"/>
    <w:qFormat/>
    <w:pPr>
      <w:ind w:firstLine="99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1999-06-25T21:40:00Z</dcterms:created>
  <dc:creator>Baker &amp; Botts, L.L.P.</dc:creator>
  <dc:description>DC01:224135.4</dc:description>
  <dc:language>en-CA</dc:language>
  <cp:lastModifiedBy>Baker &amp; Botts, L.L.P.</cp:lastModifiedBy>
  <cp:lastPrinted>1999-06-25T20:07:00Z</cp:lastPrinted>
  <dcterms:modified xsi:type="dcterms:W3CDTF">1999-06-25T21:40:00Z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Disabled</vt:lpwstr>
  </property>
</Properties>
</file>