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04/09/2001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napToGrid w:val="false"/>
              <w:jc w:val="center"/>
              <w:rPr>
                <w:b/>
                <w:bCs/>
                <w:sz w:val="22"/>
                <w:szCs w:val="22"/>
              </w:rPr>
            </w:pPr>
            <w:r>
              <w:rPr>
                <w:b/>
                <w:bCs/>
                <w:sz w:val="22"/>
                <w:szCs w:val="22"/>
              </w:rPr>
            </w:r>
          </w:p>
          <w:p>
            <w:pPr>
              <w:pStyle w:val="Normal"/>
              <w:tabs>
                <w:tab w:val="clear" w:pos="720"/>
                <w:tab w:val="center" w:pos="5760" w:leader="none"/>
              </w:tabs>
              <w:jc w:val="center"/>
              <w:rPr>
                <w:b/>
                <w:bCs/>
                <w:sz w:val="22"/>
                <w:szCs w:val="22"/>
              </w:rPr>
            </w:pPr>
            <w:r>
              <w:rPr>
                <w:b/>
                <w:bCs/>
                <w:sz w:val="22"/>
                <w:szCs w:val="22"/>
              </w:rPr>
              <w:t>ENRON CANADA CORP., a corporation organized under the law of the Province of Alberta (“Party A”), and</w:t>
            </w:r>
          </w:p>
        </w:tc>
        <w:tc>
          <w:tcPr>
            <w:tcW w:w="4788" w:type="dxa"/>
            <w:tcBorders/>
          </w:tcPr>
          <w:p>
            <w:pPr>
              <w:pStyle w:val="Expanded"/>
              <w:tabs>
                <w:tab w:val="clear" w:pos="720"/>
                <w:tab w:val="center" w:pos="5760" w:leader="none"/>
              </w:tabs>
              <w:spacing w:before="240" w:after="0"/>
              <w:rPr>
                <w:caps w:val="false"/>
                <w:smallCaps w:val="false"/>
                <w:spacing w:val="0"/>
              </w:rPr>
            </w:pPr>
            <w:r>
              <w:rPr>
                <w:caps w:val="false"/>
                <w:smallCaps w:val="false"/>
                <w:spacing w:val="0"/>
              </w:rPr>
              <w:t>LOBLAW COMPANIES LIMITED, a corporation organized under the law of the Province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$60,000,000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720" w:end="720"/>
        <w:jc w:val="both"/>
        <w:rPr>
          <w:sz w:val="22"/>
          <w:szCs w:val="22"/>
        </w:rPr>
      </w:pPr>
      <w:r>
        <w:rPr>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2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2 above</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color w:val="FF0000"/>
                <w:sz w:val="22"/>
                <w:szCs w:val="22"/>
              </w:rPr>
            </w:pPr>
            <w:r>
              <w:rPr>
                <w:sz w:val="22"/>
                <w:szCs w:val="22"/>
              </w:rPr>
              <w:t>Quarterly Unaudited Consolidated Financial Statement of Party B</w:t>
            </w:r>
          </w:p>
          <w:p>
            <w:pPr>
              <w:pStyle w:val="Normal"/>
              <w:spacing w:lineRule="atLeast" w:line="240" w:before="240" w:after="0"/>
              <w:jc w:val="both"/>
              <w:rPr>
                <w:color w:val="FF0000"/>
                <w:sz w:val="22"/>
                <w:szCs w:val="22"/>
              </w:rPr>
            </w:pPr>
            <w:r>
              <w:rPr>
                <w:color w:val="FF0000"/>
                <w:sz w:val="22"/>
                <w:szCs w:val="22"/>
              </w:rPr>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pPr>
      <w:r>
        <w:rPr/>
        <w:t>Address for notices or communications to Party A:</w:t>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Justified"/>
              <w:widowControl/>
              <w:tabs>
                <w:tab w:val="left" w:pos="720" w:leader="none"/>
                <w:tab w:val="right" w:pos="9360" w:leader="dot"/>
              </w:tabs>
              <w:spacing w:lineRule="exact" w:line="240" w:before="0" w:after="0"/>
              <w:rPr>
                <w:rFonts w:ascii="Times New Roman" w:hAnsi="Times New Roman" w:cs="Times New Roman"/>
              </w:rPr>
            </w:pPr>
            <w:r>
              <w:rPr>
                <w:rFonts w:cs="Times New Roman" w:ascii="Times New Roman" w:hAnsi="Times New Roman"/>
              </w:rPr>
              <w:t xml:space="preserve">Address: </w:t>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400-3rd Avenue, Suite 3500</w:t>
            </w:r>
          </w:p>
          <w:p>
            <w:pPr>
              <w:pStyle w:val="Normal"/>
              <w:tabs>
                <w:tab w:val="clear" w:pos="720"/>
                <w:tab w:val="left" w:pos="4230" w:leader="none"/>
                <w:tab w:val="left" w:pos="9360" w:leader="none"/>
              </w:tabs>
              <w:spacing w:lineRule="exact" w:line="240"/>
              <w:jc w:val="both"/>
              <w:rPr>
                <w:sz w:val="22"/>
                <w:szCs w:val="22"/>
              </w:rPr>
            </w:pPr>
            <w:r>
              <w:rPr>
                <w:sz w:val="22"/>
                <w:szCs w:val="22"/>
              </w:rPr>
              <w:t>Calgary, Alberta T2P 4H2</w:t>
            </w:r>
          </w:p>
          <w:p>
            <w:pPr>
              <w:pStyle w:val="Normal"/>
              <w:tabs>
                <w:tab w:val="clear" w:pos="720"/>
                <w:tab w:val="left" w:pos="4230" w:leader="none"/>
                <w:tab w:val="left" w:pos="9360" w:leader="none"/>
              </w:tabs>
              <w:spacing w:lineRule="exact" w:line="240"/>
              <w:jc w:val="both"/>
              <w:rPr>
                <w:sz w:val="22"/>
                <w:szCs w:val="22"/>
              </w:rPr>
            </w:pPr>
            <w:r>
              <w:rPr>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(403) 974-6706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Loblaw Companies Limited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3563 Lakeshore Boulevard West</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Toronto, Ontario M8W 1P4</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240" w:after="0"/>
        <w:ind w:firstLine="720" w:end="0"/>
        <w:jc w:val="both"/>
        <w:rPr/>
      </w:pPr>
      <w:r>
        <w:rPr>
          <w:sz w:val="22"/>
          <w:szCs w:val="22"/>
        </w:rPr>
        <w:t xml:space="preserve"> </w:t>
      </w:r>
      <w:r>
        <w:rPr>
          <w:sz w:val="22"/>
          <w:szCs w:val="22"/>
        </w:rPr>
        <w:t>(i)</w:t>
        <w:tab/>
      </w:r>
      <w:r>
        <w:rPr>
          <w:b/>
          <w:bCs/>
          <w:sz w:val="22"/>
          <w:szCs w:val="22"/>
        </w:rPr>
        <w:t>Process Agent.</w:t>
      </w:r>
      <w:r>
        <w:rPr>
          <w:sz w:val="22"/>
          <w:szCs w:val="22"/>
        </w:rPr>
        <w:t xml:space="preserve">  For the purpose of Section 13(c): Party A appoints as its Process Agent, its Corporate Secretary having an office in Calgary, Alberta on the date of this Agreement at 400-3rd Avenue, Suite 3500, Calgary, Alberta T2P 4H2; Party B appoints as its Process Agent, </w:t>
      </w:r>
      <w:r>
        <w:rPr>
          <w:sz w:val="22"/>
          <w:szCs w:val="22"/>
          <w:u w:val="single"/>
        </w:rPr>
        <w:t xml:space="preserve">     _________________</w:t>
      </w:r>
      <w:r>
        <w:rPr>
          <w:sz w:val="22"/>
          <w:szCs w:val="22"/>
        </w:rPr>
        <w:t xml:space="preserve">, having an office in </w:t>
      </w:r>
      <w:r>
        <w:rPr>
          <w:sz w:val="22"/>
          <w:szCs w:val="22"/>
          <w:u w:val="single"/>
        </w:rPr>
        <w:t xml:space="preserve">                    _______ </w:t>
      </w:r>
      <w:r>
        <w:rPr>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 xml:space="preserve"> </w:t>
      </w:r>
      <w:r>
        <w:rPr>
          <w:sz w:val="22"/>
          <w:szCs w:val="22"/>
        </w:rPr>
        <w:t>(g)</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sz w:val="22"/>
          <w:szCs w:val="22"/>
        </w:rPr>
        <w:t>(h)</w:t>
        <w:tab/>
      </w:r>
      <w:r>
        <w:rPr>
          <w:b/>
          <w:bCs/>
          <w:sz w:val="22"/>
          <w:szCs w:val="22"/>
        </w:rPr>
        <w:t>Canadian Securities Matters.</w:t>
      </w:r>
      <w:r>
        <w:rPr>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Maximum Rate; Disclosure, etc.</w:t>
      </w:r>
      <w:r>
        <w:rPr>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800080"/>
                <w:sz w:val="22"/>
                <w:szCs w:val="22"/>
              </w:rPr>
            </w:pPr>
            <w:r>
              <w:rPr>
                <w:b/>
                <w:bCs/>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LOBLAW COMPANIES LIMITED</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pPr>
            <w:r>
              <w:rPr>
                <w:sz w:val="22"/>
                <w:szCs w:val="22"/>
              </w:rPr>
              <w:t>By:</w:t>
              <w:tab/>
            </w:r>
            <w:r>
              <w:rPr>
                <w:sz w:val="22"/>
                <w:szCs w:val="22"/>
                <w:u w:val="single"/>
              </w:rPr>
              <w:tab/>
              <w:tab/>
              <w:tab/>
              <w:tab/>
              <w:tab/>
            </w:r>
          </w:p>
          <w:p>
            <w:pPr>
              <w:pStyle w:val="Normal"/>
              <w:spacing w:lineRule="exact" w:line="240"/>
              <w:jc w:val="both"/>
              <w:rPr>
                <w:sz w:val="22"/>
                <w:szCs w:val="22"/>
              </w:rPr>
            </w:pPr>
            <w:r>
              <w:rPr>
                <w:sz w:val="22"/>
                <w:szCs w:val="22"/>
              </w:rPr>
              <w:t>Name:</w:t>
              <w:tab/>
            </w:r>
            <w:r>
              <w:rPr>
                <w:sz w:val="22"/>
                <w:szCs w:val="22"/>
                <w:u w:val="single"/>
              </w:rPr>
              <w:tab/>
              <w:tab/>
              <w:tab/>
              <w:tab/>
              <w:tab/>
            </w:r>
          </w:p>
          <w:p>
            <w:pPr>
              <w:pStyle w:val="Normal"/>
              <w:spacing w:lineRule="exact" w:line="240"/>
              <w:jc w:val="both"/>
              <w:rPr/>
            </w:pPr>
            <w:r>
              <w:rPr>
                <w:sz w:val="22"/>
                <w:szCs w:val="22"/>
              </w:rPr>
              <w:t>Title:</w:t>
              <w:tab/>
            </w:r>
            <w:r>
              <w:rPr>
                <w:sz w:val="22"/>
                <w:szCs w:val="22"/>
                <w:u w:val="single"/>
              </w:rPr>
              <w:tab/>
              <w:tab/>
              <w:tab/>
              <w:tab/>
              <w:tab/>
            </w:r>
          </w:p>
          <w:p>
            <w:pPr>
              <w:pStyle w:val="Normal"/>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Expanded"/>
        <w:spacing w:before="0" w:after="0"/>
        <w:rPr>
          <w:caps w:val="false"/>
          <w:smallCaps w:val="false"/>
          <w:spacing w:val="0"/>
        </w:rPr>
      </w:pPr>
      <w:r>
        <w:rPr>
          <w:caps w:val="false"/>
          <w:smallCaps w:val="false"/>
          <w:spacing w:val="0"/>
        </w:rPr>
        <w:t>dated as of _________________, 2001</w:t>
      </w:r>
    </w:p>
    <w:p>
      <w:pPr>
        <w:pStyle w:val="Normal"/>
        <w:jc w:val="center"/>
        <w:rPr>
          <w:b/>
          <w:bCs/>
          <w:caps/>
          <w:spacing w:val="0"/>
          <w:sz w:val="22"/>
          <w:szCs w:val="22"/>
        </w:rPr>
      </w:pPr>
      <w:r>
        <w:rPr>
          <w:b/>
          <w:bCs/>
          <w:caps/>
          <w:spacing w:val="0"/>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napToGrid w:val="false"/>
              <w:jc w:val="center"/>
              <w:rPr>
                <w:b/>
                <w:bCs/>
                <w:sz w:val="22"/>
                <w:szCs w:val="22"/>
              </w:rPr>
            </w:pPr>
            <w:r>
              <w:rPr>
                <w:b/>
                <w:bCs/>
                <w:sz w:val="22"/>
                <w:szCs w:val="22"/>
              </w:rPr>
            </w:r>
          </w:p>
          <w:p>
            <w:pPr>
              <w:pStyle w:val="Normal"/>
              <w:tabs>
                <w:tab w:val="clear" w:pos="720"/>
                <w:tab w:val="center" w:pos="5760" w:leader="none"/>
              </w:tabs>
              <w:jc w:val="center"/>
              <w:rPr>
                <w:b/>
                <w:bCs/>
                <w:sz w:val="22"/>
                <w:szCs w:val="22"/>
              </w:rPr>
            </w:pPr>
            <w:r>
              <w:rPr>
                <w:b/>
                <w:bCs/>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LOBLAW COMPANIES LIMITED, a corporation organized under the law of the Province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color w:val="993300"/>
          <w:sz w:val="22"/>
          <w:szCs w:val="22"/>
        </w:rPr>
      </w:pPr>
      <w:r>
        <w:rPr>
          <w:color w:val="993300"/>
          <w:sz w:val="22"/>
          <w:szCs w:val="22"/>
        </w:rPr>
      </w:r>
    </w:p>
    <w:p>
      <w:pPr>
        <w:pStyle w:val="Normal"/>
        <w:keepNext w:val="true"/>
        <w:ind w:start="720" w:end="0"/>
        <w:jc w:val="both"/>
        <w:rPr>
          <w:color w:val="FF0000"/>
          <w:sz w:val="22"/>
          <w:szCs w:val="22"/>
        </w:rPr>
      </w:pPr>
      <w:r>
        <w:rPr>
          <w:color w:val="000000"/>
          <w:sz w:val="22"/>
          <w:szCs w:val="22"/>
        </w:rPr>
        <w:t xml:space="preserve"> </w:t>
      </w: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S&amp;P, or (ii) an Event of Default or Potential Event of Default with respect to such party has occurred and is continuing:</w:t>
      </w:r>
    </w:p>
    <w:p>
      <w:pPr>
        <w:pStyle w:val="Normal"/>
        <w:keepNext w:val="true"/>
        <w:ind w:hanging="720" w:start="2160" w:end="0"/>
        <w:jc w:val="both"/>
        <w:rPr>
          <w:color w:val="FF0000"/>
          <w:sz w:val="22"/>
          <w:szCs w:val="22"/>
        </w:rPr>
      </w:pPr>
      <w:r>
        <w:rPr>
          <w:color w:val="FF0000"/>
          <w:sz w:val="22"/>
          <w:szCs w:val="22"/>
        </w:rPr>
      </w:r>
    </w:p>
    <w:tbl>
      <w:tblPr>
        <w:tblW w:w="4901" w:type="dxa"/>
        <w:jc w:val="start"/>
        <w:tblInd w:w="2088" w:type="dxa"/>
        <w:tblLayout w:type="fixed"/>
        <w:tblCellMar>
          <w:top w:w="0" w:type="dxa"/>
          <w:start w:w="108" w:type="dxa"/>
          <w:bottom w:w="0" w:type="dxa"/>
          <w:end w:w="108" w:type="dxa"/>
        </w:tblCellMar>
      </w:tblPr>
      <w:tblGrid>
        <w:gridCol w:w="2520"/>
        <w:gridCol w:w="2381"/>
      </w:tblGrid>
      <w:tr>
        <w:trPr/>
        <w:tc>
          <w:tcPr>
            <w:tcW w:w="2520" w:type="dxa"/>
            <w:tcBorders/>
          </w:tcPr>
          <w:p>
            <w:pPr>
              <w:pStyle w:val="Normal"/>
              <w:keepNext w:val="true"/>
              <w:rPr>
                <w:sz w:val="22"/>
                <w:szCs w:val="22"/>
              </w:rPr>
            </w:pPr>
            <w:r>
              <w:rPr>
                <w:b/>
                <w:bCs/>
                <w:sz w:val="22"/>
                <w:szCs w:val="22"/>
                <w:u w:val="single"/>
              </w:rPr>
              <w:t>THRESHOLD</w:t>
            </w:r>
          </w:p>
        </w:tc>
        <w:tc>
          <w:tcPr>
            <w:tcW w:w="2381" w:type="dxa"/>
            <w:tcBorders/>
          </w:tcPr>
          <w:p>
            <w:pPr>
              <w:pStyle w:val="Heading7"/>
              <w:rPr>
                <w:sz w:val="22"/>
                <w:szCs w:val="22"/>
              </w:rPr>
            </w:pPr>
            <w:r>
              <w:rPr>
                <w:sz w:val="22"/>
              </w:rPr>
              <w:t>S&amp;P CREDIT RATING</w:t>
            </w:r>
          </w:p>
        </w:tc>
      </w:tr>
      <w:tr>
        <w:trPr/>
        <w:tc>
          <w:tcPr>
            <w:tcW w:w="2520" w:type="dxa"/>
            <w:tcBorders/>
          </w:tcPr>
          <w:p>
            <w:pPr>
              <w:pStyle w:val="Normal"/>
              <w:keepNext w:val="true"/>
              <w:rPr>
                <w:sz w:val="22"/>
                <w:szCs w:val="22"/>
              </w:rPr>
            </w:pPr>
            <w:r>
              <w:rPr>
                <w:sz w:val="22"/>
                <w:szCs w:val="22"/>
              </w:rPr>
              <w:t>U.S. $ 25,000,000</w:t>
            </w:r>
          </w:p>
        </w:tc>
        <w:tc>
          <w:tcPr>
            <w:tcW w:w="2381" w:type="dxa"/>
            <w:tcBorders/>
          </w:tcPr>
          <w:p>
            <w:pPr>
              <w:pStyle w:val="Normal"/>
              <w:keepNext w:val="true"/>
              <w:ind w:start="-18" w:end="0"/>
              <w:rPr>
                <w:sz w:val="22"/>
                <w:szCs w:val="22"/>
              </w:rPr>
            </w:pPr>
            <w:r>
              <w:rPr>
                <w:sz w:val="22"/>
                <w:szCs w:val="22"/>
              </w:rPr>
              <w:t>A- or above</w:t>
            </w:r>
          </w:p>
        </w:tc>
      </w:tr>
      <w:tr>
        <w:trPr/>
        <w:tc>
          <w:tcPr>
            <w:tcW w:w="2520" w:type="dxa"/>
            <w:tcBorders/>
          </w:tcPr>
          <w:p>
            <w:pPr>
              <w:pStyle w:val="Normal"/>
              <w:keepNext w:val="true"/>
              <w:rPr>
                <w:sz w:val="22"/>
                <w:szCs w:val="22"/>
              </w:rPr>
            </w:pPr>
            <w:r>
              <w:rPr>
                <w:sz w:val="22"/>
                <w:szCs w:val="22"/>
              </w:rPr>
              <w:t>U.S. $ 20,000,000</w:t>
            </w:r>
          </w:p>
        </w:tc>
        <w:tc>
          <w:tcPr>
            <w:tcW w:w="2381" w:type="dxa"/>
            <w:tcBorders/>
          </w:tcPr>
          <w:p>
            <w:pPr>
              <w:pStyle w:val="Normal"/>
              <w:keepNext w:val="true"/>
              <w:ind w:start="-18" w:end="0"/>
              <w:rPr>
                <w:sz w:val="22"/>
                <w:szCs w:val="22"/>
              </w:rPr>
            </w:pPr>
            <w:r>
              <w:rPr>
                <w:sz w:val="22"/>
                <w:szCs w:val="22"/>
              </w:rPr>
              <w:t>BBB and BBB+</w:t>
            </w:r>
          </w:p>
        </w:tc>
      </w:tr>
      <w:tr>
        <w:trPr/>
        <w:tc>
          <w:tcPr>
            <w:tcW w:w="2520" w:type="dxa"/>
            <w:tcBorders/>
          </w:tcPr>
          <w:p>
            <w:pPr>
              <w:pStyle w:val="Normal"/>
              <w:keepNext w:val="true"/>
              <w:rPr>
                <w:sz w:val="22"/>
                <w:szCs w:val="22"/>
              </w:rPr>
            </w:pPr>
            <w:r>
              <w:rPr>
                <w:sz w:val="22"/>
                <w:szCs w:val="22"/>
              </w:rPr>
              <w:t>U.S. $ 5,000,000</w:t>
            </w:r>
          </w:p>
        </w:tc>
        <w:tc>
          <w:tcPr>
            <w:tcW w:w="2381" w:type="dxa"/>
            <w:tcBorders/>
          </w:tcPr>
          <w:p>
            <w:pPr>
              <w:pStyle w:val="Normal"/>
              <w:keepNext w:val="true"/>
              <w:ind w:start="-18" w:end="0"/>
              <w:rPr>
                <w:sz w:val="22"/>
                <w:szCs w:val="22"/>
              </w:rPr>
            </w:pPr>
            <w:r>
              <w:rPr>
                <w:sz w:val="22"/>
                <w:szCs w:val="22"/>
              </w:rPr>
              <w:t>BBB-</w:t>
            </w:r>
          </w:p>
        </w:tc>
      </w:tr>
      <w:tr>
        <w:trPr/>
        <w:tc>
          <w:tcPr>
            <w:tcW w:w="2520" w:type="dxa"/>
            <w:tcBorders/>
          </w:tcPr>
          <w:p>
            <w:pPr>
              <w:pStyle w:val="Normal"/>
              <w:keepNext w:val="true"/>
              <w:rPr>
                <w:sz w:val="22"/>
                <w:szCs w:val="22"/>
              </w:rPr>
            </w:pPr>
            <w:r>
              <w:rPr>
                <w:sz w:val="22"/>
                <w:szCs w:val="22"/>
              </w:rPr>
              <w:t>U.S. $ 0</w:t>
            </w:r>
          </w:p>
        </w:tc>
        <w:tc>
          <w:tcPr>
            <w:tcW w:w="2381" w:type="dxa"/>
            <w:tcBorders/>
          </w:tcPr>
          <w:p>
            <w:pPr>
              <w:pStyle w:val="Normal"/>
              <w:keepNext w:val="true"/>
              <w:ind w:start="-18" w:end="0"/>
              <w:rPr>
                <w:sz w:val="22"/>
                <w:szCs w:val="22"/>
              </w:rPr>
            </w:pPr>
            <w:r>
              <w:rPr>
                <w:sz w:val="22"/>
                <w:szCs w:val="22"/>
              </w:rPr>
              <w:t>Below BBB-</w:t>
            </w:r>
          </w:p>
        </w:tc>
      </w:tr>
    </w:tbl>
    <w:p>
      <w:pPr>
        <w:pStyle w:val="Normal"/>
        <w:ind w:start="720" w:end="0"/>
        <w:jc w:val="both"/>
        <w:rPr>
          <w:sz w:val="22"/>
          <w:szCs w:val="22"/>
        </w:rPr>
      </w:pPr>
      <w:r>
        <w:rPr>
          <w:b/>
          <w:bCs/>
          <w:color w:val="000000"/>
          <w:sz w:val="22"/>
          <w:szCs w:val="22"/>
        </w:rPr>
        <w:t xml:space="preserve"> </w:t>
      </w:r>
    </w:p>
    <w:p>
      <w:pPr>
        <w:pStyle w:val="Normal"/>
        <w:ind w:start="720" w:end="0"/>
        <w:jc w:val="both"/>
        <w:rPr/>
      </w:pPr>
      <w:r>
        <w:rPr>
          <w:sz w:val="22"/>
          <w:szCs w:val="22"/>
        </w:rPr>
        <w:t xml:space="preserve"> </w:t>
      </w: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r>
        <w:rPr>
          <w:sz w:val="22"/>
          <w:szCs w:val="22"/>
        </w:rPr>
        <w:t xml:space="preserve"> and the lowest Credit Rating for it is “BBB-” or higher by S&amp;P.</w:t>
      </w:r>
    </w:p>
    <w:p>
      <w:pPr>
        <w:pStyle w:val="Normal"/>
        <w:ind w:start="1080" w:end="0"/>
        <w:jc w:val="both"/>
        <w:rPr>
          <w:sz w:val="22"/>
          <w:szCs w:val="22"/>
        </w:rPr>
      </w:pPr>
      <w:r>
        <w:rPr>
          <w:sz w:val="22"/>
          <w:szCs w:val="22"/>
        </w:rPr>
        <w:t xml:space="preserve"> </w:t>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ind w:hanging="0" w:end="0"/>
        <w:rPr>
          <w:color w:val="0000FF"/>
          <w:sz w:val="22"/>
          <w:szCs w:val="22"/>
        </w:rPr>
      </w:pPr>
      <w:r>
        <w:rPr>
          <w:color w:val="0000FF"/>
          <w:sz w:val="22"/>
          <w:szCs w:val="22"/>
        </w:rPr>
      </w:r>
    </w:p>
    <w:p>
      <w:pPr>
        <w:pStyle w:val="BodyTextIndent3"/>
        <w:ind w:hanging="0" w:end="0"/>
        <w:rPr/>
      </w:pPr>
      <w:r>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BodyTextIndent3"/>
        <w:ind w:hanging="0" w:end="0"/>
        <w:rPr/>
      </w:pPr>
      <w:r>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b/>
          <w:bCs/>
          <w:color w:val="FF0000"/>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(h)</w:t>
        <w:tab/>
      </w:r>
      <w:r>
        <w:rPr>
          <w:b/>
          <w:bCs/>
          <w:sz w:val="22"/>
          <w:szCs w:val="22"/>
        </w:rPr>
        <w:t>Distributions and Interest Amount.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keepNext w:val="true"/>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LOBLAW COMPANIES LIMITED, a </w:t>
      </w:r>
      <w:r>
        <w:rPr>
          <w:sz w:val="22"/>
          <w:szCs w:val="22"/>
          <w:u w:val="single"/>
        </w:rPr>
        <w:tab/>
        <w:tab/>
        <w:tab/>
      </w:r>
      <w:r>
        <w:rPr>
          <w:sz w:val="22"/>
          <w:szCs w:val="22"/>
        </w:rPr>
        <w:t xml:space="preserv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Loblaw Companies Limited</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3563 Lakeshore Boulevard West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Toronto, Ontario M8W 1P4</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jc w:val="center"/>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/mnt/main-storage/datasets/enron-docs/doc/222ctr_loblaw_.doc</w:t>
    </w:r>
    <w:r>
      <w:rPr>
        <w:rStyle w:val="PageNumber"/>
        <w:sz w:val="16"/>
        <w:szCs w:val="16"/>
      </w:rPr>
      <w:fldChar w:fldCharType="end"/>
    </w:r>
    <w:r>
      <mc:AlternateContent>
        <mc:Choice Requires="wps">
          <w:drawing>
            <wp:anchor behindDoc="0" distT="0" distB="0" distL="0" distR="0" simplePos="0" locked="0" layoutInCell="0" allowOverlap="1" relativeHeight="10">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9</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9</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/mnt/main-storage/datasets/enron-docs/doc/222ctr_loblaw_.doc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/mnt/main-storage/datasets/enron-docs/doc/222ctr_loblaw_.doc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/mnt/main-storage/datasets/enron-docs/doc/222ctr_loblaw_.doc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/mnt/main-storage/datasets/enron-docs/doc/222ctr_loblaw_.doc</w:t>
    </w:r>
    <w:r>
      <w:rPr>
        <w:sz w:val="16"/>
        <w:szCs w:val="16"/>
      </w:rPr>
      <w:fldChar w:fldCharType="end"/>
    </w:r>
  </w:p>
  <w:p>
    <w:pPr>
      <w:pStyle w:val="Footer"/>
      <w:jc w:val="center"/>
      <w:rPr>
        <w:sz w:val="20"/>
        <w:szCs w:val="16"/>
      </w:rPr>
    </w:pPr>
    <w:r>
      <w:rPr>
        <w:sz w:val="20"/>
        <w:szCs w:val="16"/>
      </w:rPr>
      <w:t>Exhibit A</w:t>
    </w:r>
  </w:p>
  <w:p>
    <w:pPr>
      <w:pStyle w:val="Footer"/>
      <w:jc w:val="center"/>
      <w:rPr>
        <w:sz w:val="20"/>
        <w:szCs w:val="16"/>
      </w:rPr>
    </w:pPr>
    <w:r>
      <w:rPr>
        <w:sz w:val="20"/>
        <w:szCs w:val="16"/>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rPr>
        <w:sz w:val="20"/>
        <w:szCs w:val="8"/>
      </w:rPr>
    </w:pPr>
    <w:r>
      <w:rPr>
        <w:sz w:val="20"/>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7">
    <w:name w:val="heading 7"/>
    <w:basedOn w:val="Normal"/>
    <w:next w:val="Normal"/>
    <w:qFormat/>
    <w:pPr>
      <w:keepNext w:val="true"/>
      <w:numPr>
        <w:ilvl w:val="6"/>
        <w:numId w:val="1"/>
      </w:numPr>
      <w:ind w:hanging="0" w:start="-18" w:end="0"/>
      <w:outlineLvl w:val="6"/>
    </w:pPr>
    <w:rPr>
      <w:b/>
      <w:bCs/>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2001-04-09T18:47:00Z</dcterms:created>
  <dc:creator>mheard</dc:creator>
  <dc:description/>
  <dc:language>en-CA</dc:language>
  <cp:lastModifiedBy>sbaile2</cp:lastModifiedBy>
  <cp:lastPrinted>2001-04-10T08:50:00Z</cp:lastPrinted>
  <dcterms:modified xsi:type="dcterms:W3CDTF">2001-04-10T11:22:00Z</dcterms:modified>
  <cp:revision>8</cp:revision>
  <dc:subject/>
  <dc:title>ISDA Multicurrency Agreement</dc:title>
</cp:coreProperties>
</file>