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1.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footer7.xml" ContentType="application/vnd.openxmlformats-officedocument.wordprocessingml.footer+xml"/>
  <Override PartName="/word/footer9.xml" ContentType="application/vnd.openxmlformats-officedocument.wordprocessingml.footer+xml"/>
  <Override PartName="/word/_rels/document.xml.rels" ContentType="application/vnd.openxmlformats-package.relationships+xml"/>
  <Override PartName="/word/header8.xml" ContentType="application/vnd.openxmlformats-officedocument.wordprocessingml.header+xml"/>
  <Override PartName="/word/footer8.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end"/>
        <w:rPr>
          <w:rFonts w:ascii="Times New Roman" w:hAnsi="Times New Roman"/>
          <w:sz w:val="24"/>
        </w:rPr>
      </w:pPr>
      <w:r>
        <w:rPr>
          <w:rFonts w:ascii="Times New Roman" w:hAnsi="Times New Roman"/>
          <w:b/>
          <w:sz w:val="18"/>
        </w:rPr>
        <w:t>General Opinion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center"/>
        <w:rPr>
          <w:rFonts w:ascii="Times New Roman" w:hAnsi="Times New Roman"/>
          <w:sz w:val="24"/>
        </w:rPr>
      </w:pPr>
      <w:r>
        <w:rPr>
          <w:rFonts w:ascii="Times New Roman" w:hAnsi="Times New Roman"/>
          <w:sz w:val="24"/>
        </w:rPr>
        <w:t>December 22, 1999</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To Each of the Addresses</w:t>
      </w:r>
    </w:p>
    <w:p>
      <w:pPr>
        <w:pStyle w:val="Normal"/>
        <w:bidi w:val="0"/>
        <w:spacing w:lineRule="atLeast" w:line="0"/>
        <w:jc w:val="both"/>
        <w:rPr>
          <w:rFonts w:ascii="Times New Roman" w:hAnsi="Times New Roman"/>
          <w:sz w:val="24"/>
        </w:rPr>
      </w:pPr>
      <w:r>
        <w:rPr>
          <w:rFonts w:ascii="Times New Roman" w:hAnsi="Times New Roman"/>
          <w:sz w:val="24"/>
        </w:rPr>
        <w:t>Listed in the Attached Schedule I</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Ladies and Gentlemen: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We have acted as counsel for Enron Corp., an Oregon corporation (“</w:t>
      </w:r>
      <w:r>
        <w:rPr>
          <w:rFonts w:ascii="Times New Roman" w:hAnsi="Times New Roman"/>
          <w:i/>
          <w:sz w:val="24"/>
        </w:rPr>
        <w:t>Enron</w:t>
      </w:r>
      <w:r>
        <w:rPr>
          <w:rFonts w:ascii="Times New Roman" w:hAnsi="Times New Roman"/>
          <w:sz w:val="24"/>
        </w:rPr>
        <w:t>”), Enron Energy Services Operations, Inc. a Delaware corporation (“</w:t>
      </w:r>
      <w:r>
        <w:rPr>
          <w:rFonts w:ascii="Times New Roman" w:hAnsi="Times New Roman"/>
          <w:i/>
          <w:sz w:val="24"/>
        </w:rPr>
        <w:t>EESO</w:t>
      </w:r>
      <w:r>
        <w:rPr>
          <w:rFonts w:ascii="Times New Roman" w:hAnsi="Times New Roman"/>
          <w:sz w:val="24"/>
        </w:rPr>
        <w:t>”), Blackbird 1 LLC (“</w:t>
      </w:r>
      <w:r>
        <w:rPr>
          <w:rFonts w:ascii="Times New Roman" w:hAnsi="Times New Roman"/>
          <w:i/>
          <w:sz w:val="24"/>
        </w:rPr>
        <w:t>Blackbird 1</w:t>
      </w:r>
      <w:r>
        <w:rPr>
          <w:rFonts w:ascii="Times New Roman" w:hAnsi="Times New Roman"/>
          <w:sz w:val="24"/>
        </w:rPr>
        <w:t>”), and Blackbird 2 LLC (“</w:t>
      </w:r>
      <w:r>
        <w:rPr>
          <w:rFonts w:ascii="Times New Roman" w:hAnsi="Times New Roman"/>
          <w:i/>
          <w:sz w:val="24"/>
        </w:rPr>
        <w:t>Blackbird 2</w:t>
      </w:r>
      <w:r>
        <w:rPr>
          <w:rFonts w:ascii="Times New Roman" w:hAnsi="Times New Roman"/>
          <w:sz w:val="24"/>
        </w:rPr>
        <w:t>”), each a Delaware limited liability company, in connection with the transactions contemplated by that certain Facility Agreement dated as of December 22, 1999 (the “</w:t>
      </w:r>
      <w:r>
        <w:rPr>
          <w:rFonts w:ascii="Times New Roman" w:hAnsi="Times New Roman"/>
          <w:i/>
          <w:sz w:val="24"/>
        </w:rPr>
        <w:t>Facility Agreement</w:t>
      </w:r>
      <w:r>
        <w:rPr>
          <w:rFonts w:ascii="Times New Roman" w:hAnsi="Times New Roman"/>
          <w:sz w:val="24"/>
        </w:rPr>
        <w:t>”), among Blackbird 1 Interest Owner Trust, a Delaware business trust (the “</w:t>
      </w:r>
      <w:r>
        <w:rPr>
          <w:rFonts w:ascii="Times New Roman" w:hAnsi="Times New Roman"/>
          <w:i/>
          <w:sz w:val="24"/>
        </w:rPr>
        <w:t>Trust</w:t>
      </w:r>
      <w:r>
        <w:rPr>
          <w:rFonts w:ascii="Times New Roman" w:hAnsi="Times New Roman"/>
          <w:sz w:val="24"/>
        </w:rPr>
        <w:t>”), as issuer of the Notes, the Lenders party thereto and Barclays Bank PLC, as Agent.    Capitalized terms used but not defined in this opinion have the meaning assigned to them in the Facility Agreement.    This opinion letter is furnished to you pursuant to Section 4.1(a)(iii)(a) of 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As such counsel, we have examined the following documents (with the documents described in clauses (1) through (9) below herein referred to collectively as the “</w:t>
      </w:r>
      <w:r>
        <w:rPr>
          <w:rFonts w:ascii="Times New Roman" w:hAnsi="Times New Roman"/>
          <w:i/>
          <w:sz w:val="24"/>
        </w:rPr>
        <w:t>Transaction Documents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t>The Facility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t>The Notes;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(3)</w:t>
        <w:tab/>
        <w:t>The Total Return Swap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(4)</w:t>
        <w:tab/>
        <w:t>The Reimbursement and Disclosure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(5)</w:t>
        <w:tab/>
        <w:t>The Blackbird 1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(6)</w:t>
        <w:tab/>
        <w:t>The Blackbird 2 Agreement;</w:t>
      </w:r>
    </w:p>
    <w:p>
      <w:pPr>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1440" w:top="1497" w:footer="1344" w:bottom="1401"/>
          <w:pgNumType w:fmt="decimal"/>
          <w:formProt w:val="false"/>
          <w:titlePg/>
          <w:textDirection w:val="lrTb"/>
        </w:sectPr>
      </w:pPr>
    </w:p>
    <w:p>
      <w:pPr>
        <w:pStyle w:val="Normal"/>
        <w:tabs>
          <w:tab w:val="left" w:pos="720" w:leader="none"/>
          <w:tab w:val="left" w:pos="1440" w:leader="none"/>
        </w:tabs>
        <w:bidi w:val="0"/>
        <w:spacing w:lineRule="atLeast" w:line="0"/>
        <w:ind w:hanging="720" w:start="1440"/>
        <w:jc w:val="both"/>
        <w:rPr>
          <w:rFonts w:ascii="Times New Roman" w:hAnsi="Times New Roman"/>
          <w:sz w:val="24"/>
        </w:rPr>
      </w:pPr>
      <w:r>
        <w:rPr>
          <w:rFonts w:ascii="Times New Roman" w:hAnsi="Times New Roman"/>
          <w:sz w:val="24"/>
        </w:rPr>
        <w:t>(7)</w:t>
        <w:tab/>
        <w:t>The Trust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(8)</w:t>
        <w:tab/>
        <w:t>The Certificate;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(9)</w:t>
        <w:tab/>
        <w:t>The Sale and Auction Agreement;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tabs>
          <w:tab w:val="left" w:pos="720" w:leader="none"/>
          <w:tab w:val="left" w:pos="1440" w:leader="none"/>
        </w:tabs>
        <w:bidi w:val="0"/>
        <w:spacing w:lineRule="atLeast" w:line="0"/>
        <w:ind w:hanging="1440" w:start="1440"/>
        <w:jc w:val="both"/>
        <w:rPr>
          <w:rFonts w:ascii="Times New Roman" w:hAnsi="Times New Roman"/>
          <w:sz w:val="24"/>
        </w:rPr>
      </w:pPr>
      <w:r>
        <w:rPr>
          <w:rFonts w:ascii="Times New Roman" w:hAnsi="Times New Roman"/>
          <w:sz w:val="24"/>
        </w:rPr>
        <w:tab/>
        <w:t>(10)</w:t>
        <w:tab/>
        <w:t>Such corporate, trust and limited liability company records of Enron, EESO, Blackbird 1, Blackbird 2 and the Trust (the “</w:t>
      </w:r>
      <w:r>
        <w:rPr>
          <w:rFonts w:ascii="Times New Roman" w:hAnsi="Times New Roman"/>
          <w:i/>
          <w:sz w:val="24"/>
        </w:rPr>
        <w:t>Designated Companies</w:t>
      </w:r>
      <w:r>
        <w:rPr>
          <w:rFonts w:ascii="Times New Roman" w:hAnsi="Times New Roman"/>
          <w:sz w:val="24"/>
        </w:rPr>
        <w:t>”) as we have considered necessary or appropriate for this opinion.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addition, we have (i) investigated such questions of law and (ii) relied, as to factual matters, on such certificates from officers and representatives of the Designated Companies and from public officials, as we have deemed necessary or appropriate for the purposes of this opinion.</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In rendering the opinions herein set forth, we have assumed (i) the genuineness of all signatures, (ii) the authenticity of all documents submitted to us as originals, (iii) the conformity to original documents of all documents submitted to us as copies and (iv) that the Transaction Documents have been duly authorized, executed and delivered by, and are valid, binding and enforceable obligations of, all parties thereto other than the Designated Companies.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Based upon the foregoing and upon such investigation as we have deemed necessary, and subject to the assumptions, qualifications, exceptions and limitations set forth herein, we are of the following opinions: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1.</w:t>
        <w:tab/>
        <w:t>Blackbird 1 and Blackbird 2 are limited liability companies duly formed, validly existing and in good standing under the laws of the State of Delaware.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2.</w:t>
        <w:tab/>
        <w:t>(a)</w:t>
        <w:tab/>
        <w:t>At the “Effective Time” (when used in this paragraph 2 and paragraph 8, as defined in the Blackbird 1 Agreement) EESO and Blackbird 2 are validly admitted as the only members of Blackbird1 and each of EESO and Blackbird 2 is entitled to its membership interest pursuant to the Blackbird 1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(b)</w:t>
        <w:tab/>
        <w:t>EESO is validly admitted as the only member of Blackbird 2 and EESO is entitled to its membership interest pursuant to the Blackbird 2 Agreement.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3.</w:t>
        <w:tab/>
        <w:t>(a)</w:t>
        <w:tab/>
        <w:t>The execution, delivery and performance by Blackbird 1 of the Transaction Documents to which it is a party are within the limited liability company powers of Blackbird 1, have been duly authorized by all necessary limited liability company action on the part of Blackbird 1, and do not contravene (i) the Blackbird 1 Agreement or (ii) any law, statute, rule or regulation applicable to Blackbird 1.</w:t>
      </w:r>
    </w:p>
    <w:p>
      <w:pPr>
        <w:pStyle w:val="Normal"/>
        <w:bidi w:val="0"/>
        <w:spacing w:lineRule="atLeast" w:line="0"/>
        <w:jc w:val="both"/>
        <w:rPr>
          <w:rFonts w:ascii="Times New Roman" w:hAnsi="Times New Roman"/>
          <w:sz w:val="24"/>
        </w:rPr>
      </w:pPr>
      <w:r>
        <w:rPr>
          <w:rFonts w:ascii="Times New Roman" w:hAnsi="Times New Roman"/>
          <w:sz w:val="24"/>
        </w:rPr>
        <w:tab/>
        <w:tab/>
        <w:t>(b)</w:t>
        <w:tab/>
        <w:t>The execution, delivery and performance by Blackbird 2 of the Transaction Documents to which it is a party are within the limited liability company powers of Blackbird 2, have been duly authorized by all necessary limited liability company action on the part of Blackbird 2, and do not contravene (i) the Blackbird 2 Agreement or (ii) any law, statute, rule or regulation applicable to Blackbird 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(c)</w:t>
        <w:tab/>
        <w:t>The execution, delivery and performance by each of Enron and EESO (individually or on behalf of Blackbird 1 or Blackbird 2) of the Transaction Documents to which it is a party do not contravene any law, statute, rule or regulation applicable to Enron or EESC.</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4.</w:t>
        <w:tab/>
        <w:t>(a)</w:t>
        <w:tab/>
        <w:t>Except as set forth in paragraph (D) below, no authorization, approval or other action by, and no notice to or filing with, any governmental authority or regulatory body is required to be made or obtained by Blackbird 1 or Blackbird 2 for the execution, delivery and performance by Blackbird 1 and Blackbird 2 of the Transaction Documents to which it is a 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(b)</w:t>
        <w:tab/>
        <w:t>Except as set forth in paragraph (D) below, no authorization, approval or other action by, and no notice to or filing with, any governmental authority or regulatory body is required to be made or obtained by Enron or EESO (individually or on behalf of Blackbird 1 or Blackbird 2) for the execution, delivery and performance by Enron or EESO (individually or on behalf Blackbird 1 or Blackbird 2) of the Transaction Documents to which it is a party.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5.</w:t>
        <w:tab/>
        <w:t>To our knowledge, there is no action, suit or proceeding pending or threatened against Blackbird 1 or Blackbird 2 before any court or arbitrator or any governmental authority (a) with respect to any Transaction Document or (b) in which there is a reasonable possibility of an adverse decision that could materially and adversely affect the business or financial position of Blackbird 1 or Blackbird 2.</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6.</w:t>
        <w:tab/>
        <w:t>(a)</w:t>
        <w:tab/>
        <w:t>A New York court, or a federal court applying New York conflict-of-laws rules, would give effect to the choice of the laws of (i) Delaware as the governing law in the Blackbird 1 Agreement, the Blackbird 2 Agreement, the Trust Agreement and the Certificate and (ii) New York as the governing law in the other Transaction Documents (such other Transaction Documents collectively, the “</w:t>
      </w:r>
      <w:r>
        <w:rPr>
          <w:rFonts w:ascii="Times New Roman" w:hAnsi="Times New Roman"/>
          <w:i/>
          <w:sz w:val="24"/>
        </w:rPr>
        <w:t>New York Law Documents</w:t>
      </w:r>
      <w:r>
        <w:rPr>
          <w:rFonts w:ascii="Times New Roman" w:hAnsi="Times New Roman"/>
          <w:sz w:val="24"/>
        </w:rPr>
        <w:t>”).</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(b)</w:t>
        <w:tab/>
        <w:t>A Texas court, or a federal court applying Texas conflict-of-laws rules, would give effect to the choice of the laws of (i) Delaware as the governing law in the Blackbird 1 Agreement, Blackbird 2 Agreement, the Trust Agreement and the Certificate and (ii) New York as the governing law for the New York Law Documents.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7.</w:t>
        <w:tab/>
        <w:t>Each New York Law Document constitutes the legal, valid and binding obligation of each of the Designated Companies party thereto, enforceable against such Designated Companies party thereto in accordance with its terms (other than the choice of law provisions of such documents, which are addressed in the opinions set forth in paragraph 6 above).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8.</w:t>
        <w:tab/>
        <w:t>(a)</w:t>
        <w:tab/>
        <w:t>At the “Effective Time” (when used in this paragraph 8 and paragraph 2, as defined in the Blackbird 1 Agreement), the Blackbird 1 Agreement constitutes the legal, valid and binding obligations of each of EESO and Blackbird 2, enforceable in accordance with its terms.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b/>
        <w:t>(b)</w:t>
        <w:tab/>
        <w:t>The Blackbird 2 Agreement constitutes the legal, valid and binding obligations of EESO, enforceable in accordance with its terms.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9.</w:t>
        <w:tab/>
        <w:t>The Trust Agreement does not need to be qualified under the Trust Indenture Act of 1939, as amended.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The opinions set forth above are subject to the following qualifications: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A.</w:t>
        <w:tab/>
        <w:t>We assume that the Transaction Documents have been duly authorized, executed and delivered by, and are valid, binding and enforceable obligations of, all parties thereto other than the Designated Companies.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B.</w:t>
        <w:tab/>
        <w:t>The opinions set forth above are subject, as to enforceability, to bankruptcy, insolvency, reorganization, moratorium, rearrangement, liquidation, conservatorship, fraudulent conveyance, and other similar laws (including court decisions) now or hereafter in effect relating to or affecting the rights of creditors generally and to general principles of equity (including, without limitation, concepts of materiality, reasonableness, good faith and fair dealing, and the award of injunctive relief or other equitable remedies being in the discretion of the court to which application for such relief is made), regardless of whether enforceability of the applicable agreements is considered in a proceeding in equity or at law, except that (i) enforceability of rights to indemnification and contribution may be limited by applicable securities laws and considerations of public policy, and (ii) enforceability of certain remedial or procedural provisions of the applicable agreements may be limited by applicable federal and state laws (including court decisions), but such laws and court decisions should not, in our opinion, subject to the other matters specifically referred to in this paragraph, substantially interfere with the practical realization of the benefits purported to be provided by the remedial and procedural provisions of the applicable agreements, except for the economic consequences of any delay which may result therefrom.</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C.</w:t>
        <w:tab/>
        <w:t>We express no opinion with respect to the following provisions to the extent that the same are contained in the Transaction Documents: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w:t>
        <w:tab/>
        <w:t>provisions purporting to waive rights to notices, objections, demands, legal defenses, statutes of limitations, rights to trial by jury, or other similar benefits or rights that cannot be waived under applicable law;</w:t>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w:t>
        <w:tab/>
        <w:t>provisions purporting to affect the jurisdiction or venue of courts;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(iii)</w:t>
        <w:tab/>
        <w:t>provisions releasing, exculpating or exempting a party from, or requiring indemnification of a party for, liability for its own action or inaction, to the extent the same are inconsistent with public policy;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(iv)</w:t>
        <w:tab/>
        <w:t>provisions purporting to establish evidentiary standards for suits or proceeds to enforce the Transaction Documents; and</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ind w:hanging="0" w:start="720"/>
        <w:jc w:val="both"/>
        <w:rPr>
          <w:rFonts w:ascii="Times New Roman" w:hAnsi="Times New Roman"/>
          <w:sz w:val="24"/>
        </w:rPr>
      </w:pPr>
      <w:r>
        <w:rPr>
          <w:rFonts w:ascii="Times New Roman" w:hAnsi="Times New Roman"/>
          <w:sz w:val="24"/>
        </w:rPr>
        <w:tab/>
        <w:t>(v)</w:t>
        <w:tab/>
        <w:t>provisions that decisions by a party are conclusive.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D.</w:t>
        <w:tab/>
        <w:t>In rendering our opinions set forth in paragraph 4, we note that the completion of the auction procedure under Section 3.03(b) of the Blackbird 1 Agreement may require compliance with and filings pursuant to the Hart-Scott-Rodino Antitrust Improvements Act of 1976 if the winning bidder is a person or entity other than Enron or one of Enron’s majority-owned subsidiaries.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E.</w:t>
        <w:tab/>
        <w:t>The opinions in paragraph 6(a) (insofar as such opinions relate to the enforceability under New York law of the choice-of-law provisions of the New York Law Documents) are rendered in reliance upon the Act of July 19, 1984, ch. 421, 1984 McKinney’s Sess. Law of N.Y. 1406 (codified at N.Y. Gen. Oblig. Law §§ 5</w:t>
        <w:noBreakHyphen/>
        <w:t>1401, 5</w:t>
        <w:noBreakHyphen/>
        <w:t>1402 (McKinney 1989) and N.Y. CPLR 327(b) (McKinney (1990)) (the “</w:t>
      </w:r>
      <w:r>
        <w:rPr>
          <w:rFonts w:ascii="Times New Roman" w:hAnsi="Times New Roman"/>
          <w:i/>
          <w:sz w:val="24"/>
        </w:rPr>
        <w:t>Act</w:t>
      </w:r>
      <w:r>
        <w:rPr>
          <w:rFonts w:ascii="Times New Roman" w:hAnsi="Times New Roman"/>
          <w:sz w:val="24"/>
        </w:rPr>
        <w:t>”) and are subject to the qualification that such enforceability as specified in the Act (a) does not apply to the extent provided to the contrary in subsection two of Section 1</w:t>
        <w:noBreakHyphen/>
        <w:t>105 of the New York UCC and (b) does not apply to a contract for labor or personal services.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F.</w:t>
        <w:tab/>
        <w:t>The opinions in paragraph 6(b) (insofar as such opinions relate to the enforceability under Texas law of the choice-of-law provisions of the New York Law Documents) are rendered in reliance upon our reading of Tex. Bus. &amp; Com. Code Ann. § 35.51 (Vernon’s 1987) (</w:t>
      </w:r>
      <w:r>
        <w:rPr>
          <w:rFonts w:ascii="Times New Roman" w:hAnsi="Times New Roman"/>
          <w:i/>
          <w:sz w:val="24"/>
        </w:rPr>
        <w:t>“Section 35.51"</w:t>
      </w:r>
      <w:r>
        <w:rPr>
          <w:rFonts w:ascii="Times New Roman" w:hAnsi="Times New Roman"/>
          <w:sz w:val="24"/>
        </w:rPr>
        <w:t>).    In this regard, we call your attention to the fact that Section 35.51 became effective in 1993 and that we are not aware of any interpretive case rulings in regard thereto.    Furthermore, for purposes of rendering such opinion, we note that payments under the New York Law Documents are to be made in New York.</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G.</w:t>
        <w:tab/>
        <w:t>In rendering our opinions set forth above, we have relied with your permission and without independent verification on the opinions rendered to you of even date herewith by James V. Derrick, Jr., Senior Vice President and General Counsel of Enron and Deborah Culver, General Counsel of EESO.</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H.</w:t>
        <w:tab/>
        <w:t>We have not been called upon to, and accordingly do not, express any opinion as to the various state and federal laws regulating banks, the Trustee, the Trust or any Certificate Holder or Lender or the conduct of their business that may relate to the Transaction Documents or the transactions contemplated thereby.</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I.</w:t>
        <w:tab/>
        <w:t>We note that under applicable law, for various reasons, including the public policy of the applicable jurisdiction, certain claims may not be found to be legally arbitrable.    Accordingly, for purposes of this opinion, we have assumed (i) that any claim sought to be arbitrated does not involve either (x) a matter of statutory interpretation or (y) a matter of public policy or illegality, which would preclude the arbitrability of such claim and (ii) that the public policy of the applicable jurisdiction is to favor compelling the parties to arbitrate.    We further wish to note that we have based our opinion upon an assessment of legal authorities which would be applicable to judicial proceedings, and we call to your attention the existence of differences between arbitral and judicial processes.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J.</w:t>
        <w:tab/>
        <w:t>Our opinions with respect to the New York Law Documents are limited to the Transaction Documents and we express no opinion as to any other documents or agreement referred to or incorporated therein by reference.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K.</w:t>
        <w:tab/>
        <w:t>The opinions expressed herein are as of the date hereof only, and we assume no obligation to update or supplement such opinions to reflect any fact or circumstance that may hereafter come to our attention or any change in law that may hereafter occur or become effective.</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L.</w:t>
        <w:tab/>
        <w:t>As used herein, the phrase “to our knowledge” means the current actual knowledge of the lawyers currently in our Houston and Dallas offices who, during the past month, have devoted substantive attention to matters involving the Designated Companies in regard to the negotiation and preparation of the Transaction Documents.    We have undertaken no investigation of court records or performed any other investigation or inquiry in regard to the matters stated in the first sentence of this paragraph; nor do we believe that such inquiry would be productive, given that Blackbird 1 and Blackbird 2 are new, limited-purpose entities.</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bidi w:val="0"/>
        <w:spacing w:lineRule="atLeast" w:line="0"/>
        <w:jc w:val="both"/>
        <w:rPr>
          <w:rFonts w:ascii="Times New Roman" w:hAnsi="Times New Roman"/>
          <w:sz w:val="24"/>
        </w:rPr>
      </w:pPr>
      <w:r>
        <w:rPr>
          <w:rFonts w:ascii="Times New Roman" w:hAnsi="Times New Roman"/>
          <w:sz w:val="24"/>
        </w:rPr>
        <w:tab/>
        <w:t>M.</w:t>
        <w:tab/>
        <w:t xml:space="preserve">This opinion letter is limited to the laws of the States of Texas, New York and (subject to the qualification expressed in the next sentence) Delaware and the applicable federal laws of the United States.    To the extent our opinions relate to Delaware law, we have relied upon, and our opinion is subject to all qualifications, assumptions and exceptions set forth in the opinions, as applicable, of Prickett, Jones &amp; Elliott and Richards, Layton &amp; Finger, each dated the date hereof and addressed to us.    </w:t>
      </w:r>
    </w:p>
    <w:p>
      <w:pPr>
        <w:pStyle w:val="Normal"/>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b/>
        <w:t>The opinions herein are solely for your benefit, and the benefit of your successors and permitted assigns, and may not be relied upon by any other person, or by you or any other person in any other context, without the prior written consent of the undersigned.</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sectPr>
          <w:headerReference w:type="even" r:id="rId8"/>
          <w:headerReference w:type="default" r:id="rId9"/>
          <w:headerReference w:type="first" r:id="rId10"/>
          <w:footerReference w:type="even" r:id="rId11"/>
          <w:footerReference w:type="default" r:id="rId12"/>
          <w:footerReference w:type="first" r:id="rId13"/>
          <w:type w:val="nextPage"/>
          <w:pgSz w:w="12240" w:h="15840"/>
          <w:pgMar w:left="1440" w:right="1440" w:gutter="0" w:header="1440" w:top="1497" w:footer="1344" w:bottom="1401"/>
          <w:pgNumType w:fmt="decimal"/>
          <w:formProt w:val="false"/>
          <w:titlePg/>
          <w:textDirection w:val="lrTb"/>
          <w:docGrid w:type="default" w:linePitch="100" w:charSpace="0"/>
        </w:sectPr>
      </w:pPr>
    </w:p>
    <w:p>
      <w:pPr>
        <w:pStyle w:val="Normal"/>
        <w:keepNext w:val="true"/>
        <w:keepLines/>
        <w:bidi w:val="0"/>
        <w:spacing w:lineRule="atLeast" w:line="0"/>
        <w:jc w:val="both"/>
        <w:rPr>
          <w:rFonts w:ascii="Times New Roman" w:hAnsi="Times New Roman"/>
          <w:sz w:val="24"/>
        </w:rPr>
      </w:pPr>
      <w:r>
        <w:rPr>
          <w:rFonts w:ascii="Times New Roman" w:hAnsi="Times New Roman"/>
          <w:sz w:val="24"/>
        </w:rPr>
        <w:t>Very truly yours,</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t>ANDREWS &amp; KURTH L.L.P.</w:t>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bidi w:val="0"/>
        <w:spacing w:lineRule="atLeast" w:line="0"/>
        <w:jc w:val="both"/>
        <w:rPr>
          <w:rFonts w:ascii="Times New Roman" w:hAnsi="Times New Roman"/>
          <w:sz w:val="24"/>
        </w:rPr>
      </w:pPr>
      <w:r>
        <w:rPr>
          <w:rFonts w:ascii="Times New Roman" w:hAnsi="Times New Roman"/>
          <w:sz w:val="24"/>
        </w:rPr>
      </w:r>
    </w:p>
    <w:p>
      <w:pPr>
        <w:pStyle w:val="Normal"/>
        <w:keepNext w:val="true"/>
        <w:keepLines/>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By:</w:t>
      </w:r>
      <w:r>
        <w:rPr>
          <w:rFonts w:ascii="Times New Roman" w:hAnsi="Times New Roman"/>
          <w:sz w:val="24"/>
          <w:u w:val="single"/>
        </w:rPr>
        <w:tab/>
      </w:r>
    </w:p>
    <w:p>
      <w:pPr>
        <w:pStyle w:val="Normal"/>
        <w:keepNext w:val="true"/>
        <w:keepLines/>
        <w:tabs>
          <w:tab w:val="left" w:pos="-1440" w:leader="none"/>
          <w:tab w:val="left" w:pos="-720" w:leader="none"/>
          <w:tab w:val="left" w:pos="0" w:leader="none"/>
          <w:tab w:val="left" w:pos="36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s>
        <w:bidi w:val="0"/>
        <w:spacing w:lineRule="atLeast" w:line="0"/>
        <w:jc w:val="start"/>
        <w:rPr>
          <w:rFonts w:ascii="Times New Roman" w:hAnsi="Times New Roman"/>
          <w:sz w:val="24"/>
        </w:rPr>
      </w:pPr>
      <w:r>
        <w:rPr>
          <w:rFonts w:ascii="Times New Roman" w:hAnsi="Times New Roman"/>
          <w:sz w:val="24"/>
        </w:rPr>
        <w:tab/>
        <w:t>      David Barbour, Partner</w:t>
      </w:r>
    </w:p>
    <w:p>
      <w:pPr>
        <w:sectPr>
          <w:type w:val="continuous"/>
          <w:pgSz w:w="12240" w:h="15840"/>
          <w:pgMar w:left="1440" w:right="1440" w:gutter="0" w:header="1440" w:top="1497" w:footer="1344" w:bottom="1401"/>
          <w:formProt w:val="false"/>
          <w:titlePg/>
          <w:textDirection w:val="lrTb"/>
          <w:docGrid w:type="default" w:linePitch="100" w:charSpace="0"/>
        </w:sectPr>
      </w:pPr>
    </w:p>
    <w:p>
      <w:pPr>
        <w:pStyle w:val="Normal"/>
        <w:keepNext w:val="true"/>
        <w:keepLines/>
        <w:bidi w:val="0"/>
        <w:spacing w:lineRule="atLeast" w:line="0"/>
        <w:jc w:val="start"/>
        <w:rPr>
          <w:rFonts w:ascii="Times New Roman" w:hAnsi="Times New Roman"/>
          <w:sz w:val="24"/>
        </w:rPr>
      </w:pPr>
      <w:r>
        <w:rPr>
          <w:rFonts w:ascii="Times New Roman" w:hAnsi="Times New Roman"/>
          <w:sz w:val="24"/>
        </w:rPr>
      </w:r>
    </w:p>
    <w:p>
      <w:pPr>
        <w:pStyle w:val="Normal"/>
        <w:keepLines/>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18"/>
        </w:rPr>
        <w:t>2601:1567:1569:1807(NY Law)</w:t>
      </w:r>
    </w:p>
    <w:p>
      <w:pPr>
        <w:sectPr>
          <w:type w:val="continuous"/>
          <w:pgSz w:w="12240" w:h="15840"/>
          <w:pgMar w:left="1440" w:right="1440" w:gutter="0" w:header="1440" w:top="1497" w:footer="1344" w:bottom="1401"/>
          <w:formProt w:val="false"/>
          <w:titlePg/>
          <w:textDirection w:val="lrTb"/>
          <w:docGrid w:type="default" w:linePitch="100" w:charSpace="0"/>
        </w:sectPr>
        <w:pStyle w:val="Normal"/>
        <w:bidi w:val="0"/>
        <w:spacing w:lineRule="atLeast" w:line="0"/>
        <w:jc w:val="start"/>
        <w:rPr>
          <w:rFonts w:ascii="Times New Roman" w:hAnsi="Times New Roman"/>
          <w:sz w:val="24"/>
        </w:rPr>
      </w:pPr>
      <w:r>
        <w:rPr>
          <w:rFonts w:ascii="Times New Roman" w:hAnsi="Times New Roman"/>
          <w:sz w:val="24"/>
        </w:rPr>
      </w:r>
      <w:r>
        <w:br w:type="page"/>
      </w:r>
    </w:p>
    <w:p>
      <w:pPr>
        <w:pStyle w:val="Normal"/>
        <w:bidi w:val="0"/>
        <w:jc w:val="start"/>
        <w:rPr>
          <w:rFonts w:ascii="Times New Roman" w:hAnsi="Times New Roman"/>
          <w:sz w:val="24"/>
        </w:rPr>
      </w:pPr>
      <w:r>
        <w:rPr>
          <w:rFonts w:ascii="Times New Roman" w:hAnsi="Times New Roman"/>
          <w:sz w:val="24"/>
        </w:rPr>
      </w:r>
    </w:p>
    <w:p>
      <w:pPr>
        <w:sectPr>
          <w:headerReference w:type="even" r:id="rId14"/>
          <w:headerReference w:type="default" r:id="rId15"/>
          <w:headerReference w:type="first" r:id="rId16"/>
          <w:footerReference w:type="even" r:id="rId17"/>
          <w:footerReference w:type="default" r:id="rId18"/>
          <w:footerReference w:type="first" r:id="rId19"/>
          <w:type w:val="nextPage"/>
          <w:pgSz w:w="12240" w:h="15840"/>
          <w:pgMar w:left="1440" w:right="1440" w:gutter="0" w:header="1440" w:top="1497" w:footer="1344" w:bottom="1401"/>
          <w:pgNumType w:fmt="decimal"/>
          <w:formProt w:val="false"/>
          <w:textDirection w:val="lrTb"/>
          <w:docGrid w:type="default" w:linePitch="312" w:charSpace="2047"/>
        </w:sectPr>
      </w:pPr>
    </w:p>
    <w:p>
      <w:pPr>
        <w:pStyle w:val="Normal"/>
        <w:bidi w:val="0"/>
        <w:spacing w:lineRule="atLeast" w:line="0"/>
        <w:jc w:val="center"/>
        <w:rPr>
          <w:rFonts w:ascii="Times New Roman" w:hAnsi="Times New Roman"/>
          <w:sz w:val="24"/>
        </w:rPr>
      </w:pPr>
      <w:r>
        <w:rPr>
          <w:rFonts w:ascii="Times New Roman" w:hAnsi="Times New Roman"/>
          <w:b/>
          <w:sz w:val="24"/>
        </w:rPr>
        <w:t>SCHEDULE I</w:t>
      </w:r>
    </w:p>
    <w:p>
      <w:pPr>
        <w:pStyle w:val="Normal"/>
        <w:bidi w:val="0"/>
        <w:spacing w:lineRule="atLeast" w:line="0"/>
        <w:jc w:val="start"/>
        <w:rPr>
          <w:rFonts w:ascii="Times New Roman" w:hAnsi="Times New Roman"/>
          <w:sz w:val="24"/>
        </w:rPr>
      </w:pPr>
      <w:r>
        <w:rPr>
          <w:rFonts w:ascii="Times New Roman" w:hAnsi="Times New Roman"/>
          <w:sz w:val="24"/>
        </w:rPr>
      </w:r>
    </w:p>
    <w:p>
      <w:pPr>
        <w:pStyle w:val="Normal"/>
        <w:bidi w:val="0"/>
        <w:spacing w:lineRule="atLeast" w:line="0"/>
        <w:jc w:val="start"/>
        <w:rPr>
          <w:rFonts w:ascii="Times New Roman" w:hAnsi="Times New Roman"/>
          <w:sz w:val="24"/>
        </w:rPr>
      </w:pPr>
      <w:r>
        <w:rPr>
          <w:rFonts w:ascii="Times New Roman" w:hAnsi="Times New Roman"/>
          <w:sz w:val="24"/>
        </w:rPr>
      </w:r>
    </w:p>
    <w:p>
      <w:pPr>
        <w:sectPr>
          <w:type w:val="continuous"/>
          <w:pgSz w:w="12240" w:h="15840"/>
          <w:pgMar w:left="1440" w:right="1440" w:gutter="0" w:header="1440" w:top="1497" w:footer="1344" w:bottom="1401"/>
          <w:formProt w:val="false"/>
          <w:textDirection w:val="lrTb"/>
          <w:docGrid w:type="default" w:linePitch="312" w:charSpace="2047"/>
        </w:sectPr>
      </w:pPr>
    </w:p>
    <w:p>
      <w:pPr>
        <w:pStyle w:val="Normal"/>
        <w:bidi w:val="0"/>
        <w:spacing w:lineRule="atLeast" w:line="0"/>
        <w:jc w:val="start"/>
        <w:rPr>
          <w:rFonts w:ascii="Times New Roman" w:hAnsi="Times New Roman"/>
          <w:b/>
          <w:sz w:val="24"/>
        </w:rPr>
      </w:pPr>
      <w:r>
        <w:rPr>
          <w:rFonts w:ascii="Times New Roman" w:hAnsi="Times New Roman"/>
          <w:b/>
          <w:sz w:val="24"/>
        </w:rPr>
        <w:t>Blackbird 1 Interest Owner Trust, c/o Wilmington Trust Company, as owner trustee for the benefit of the Certificate Holders</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t>Enron Corp.</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t>Enron Energy Services Operations, Inc.</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t>Blackbird 1 LLC</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t>Blackbird 2 LLC</w:t>
      </w:r>
    </w:p>
    <w:p>
      <w:pPr>
        <w:pStyle w:val="Normal"/>
        <w:bidi w:val="0"/>
        <w:spacing w:lineRule="atLeast" w:line="0"/>
        <w:jc w:val="start"/>
        <w:rPr>
          <w:rFonts w:ascii="Times New Roman" w:hAnsi="Times New Roman"/>
          <w:b/>
          <w:sz w:val="24"/>
        </w:rPr>
      </w:pPr>
      <w:r>
        <w:rPr>
          <w:rFonts w:ascii="Times New Roman" w:hAnsi="Times New Roman"/>
          <w:b/>
          <w:sz w:val="24"/>
        </w:rPr>
      </w:r>
    </w:p>
    <w:p>
      <w:pPr>
        <w:pStyle w:val="Normal"/>
        <w:bidi w:val="0"/>
        <w:spacing w:lineRule="atLeast" w:line="0"/>
        <w:jc w:val="start"/>
        <w:rPr>
          <w:rFonts w:ascii="Times New Roman" w:hAnsi="Times New Roman"/>
          <w:b/>
          <w:sz w:val="24"/>
        </w:rPr>
      </w:pPr>
      <w:r>
        <w:rPr>
          <w:rFonts w:ascii="Times New Roman" w:hAnsi="Times New Roman"/>
          <w:b/>
          <w:sz w:val="24"/>
        </w:rPr>
        <w:t>Barclays Bank PLC</w:t>
      </w:r>
    </w:p>
    <w:p>
      <w:pPr>
        <w:pStyle w:val="Normal"/>
        <w:bidi w:val="0"/>
        <w:spacing w:lineRule="atLeast" w:line="0"/>
        <w:jc w:val="start"/>
        <w:rPr>
          <w:rFonts w:ascii="Times New Roman" w:hAnsi="Times New Roman"/>
          <w:b/>
          <w:sz w:val="24"/>
        </w:rPr>
      </w:pPr>
      <w:r>
        <w:rPr>
          <w:rFonts w:ascii="Times New Roman" w:hAnsi="Times New Roman"/>
          <w:b/>
          <w:sz w:val="24"/>
        </w:rPr>
      </w:r>
    </w:p>
    <w:sectPr>
      <w:type w:val="continuous"/>
      <w:pgSz w:w="12240" w:h="15840"/>
      <w:pgMar w:left="1440" w:right="1440" w:gutter="0" w:header="1440" w:top="1497" w:footer="1344" w:bottom="1401"/>
      <w:formProt w:val="false"/>
      <w:textDirection w:val="lrTb"/>
      <w:docGrid w:type="default" w:linePitch="312" w:charSpace="2047"/>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DAL:222126.2</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DAL:222126.2</w: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pPr>
    <w:r>
      <w:rPr/>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DAL:222126.2</w: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rFonts w:ascii="Times New Roman" w:hAnsi="Times New Roman"/>
        <w:sz w:val="14"/>
      </w:rPr>
    </w:pPr>
    <w:r>
      <w:rPr>
        <w:rFonts w:ascii="Times New Roman" w:hAnsi="Times New Roman"/>
        <w:sz w:val="14"/>
      </w:rPr>
      <w:t>DAL:222126.2</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December 22, 1999</w:t>
    </w:r>
  </w:p>
  <w:p>
    <w:pPr>
      <w:pStyle w:val="Normal"/>
      <w:bidi w:val="0"/>
      <w:spacing w:lineRule="atLeast" w:line="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0</w:t>
    </w:r>
    <w:r>
      <w:rPr>
        <w:sz w:val="24"/>
      </w:rPr>
      <w:fldChar w:fldCharType="end"/>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December 22, 1999</w:t>
    </w:r>
  </w:p>
  <w:p>
    <w:pPr>
      <w:pStyle w:val="Normal"/>
      <w:bidi w:val="0"/>
      <w:spacing w:lineRule="atLeast" w:line="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6</w:t>
    </w:r>
    <w:r>
      <w:rPr>
        <w:sz w:val="24"/>
      </w:rPr>
      <w:fldChar w:fldCharType="end"/>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start"/>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December 22, 1999</w:t>
    </w:r>
  </w:p>
  <w:p>
    <w:pPr>
      <w:pStyle w:val="Normal"/>
      <w:bidi w:val="0"/>
      <w:spacing w:lineRule="atLeast" w:line="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7</w:t>
    </w:r>
    <w:r>
      <w:rPr>
        <w:sz w:val="24"/>
      </w:rPr>
      <w:fldChar w:fldCharType="end"/>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atLeast" w:line="0"/>
      <w:jc w:val="both"/>
      <w:rPr>
        <w:sz w:val="24"/>
      </w:rPr>
    </w:pPr>
    <w:r>
      <w:rPr>
        <w:sz w:val="24"/>
      </w:rPr>
      <w:t>December 22, 1999</w:t>
    </w:r>
  </w:p>
  <w:p>
    <w:pPr>
      <w:pStyle w:val="Normal"/>
      <w:bidi w:val="0"/>
      <w:spacing w:lineRule="atLeast" w:line="0"/>
      <w:jc w:val="both"/>
      <w:rPr>
        <w:sz w:val="24"/>
      </w:rPr>
    </w:pPr>
    <w:r>
      <w:rPr>
        <w:sz w:val="24"/>
      </w:rPr>
      <w:t xml:space="preserve">Page </w:t>
    </w:r>
    <w:r>
      <w:rPr>
        <w:sz w:val="24"/>
      </w:rPr>
      <w:fldChar w:fldCharType="begin"/>
    </w:r>
    <w:r>
      <w:rPr>
        <w:sz w:val="24"/>
      </w:rPr>
      <w:instrText xml:space="preserve"> PAGE </w:instrText>
    </w:r>
    <w:r>
      <w:rPr>
        <w:sz w:val="24"/>
      </w:rPr>
      <w:fldChar w:fldCharType="separate"/>
    </w:r>
    <w:r>
      <w:rPr>
        <w:sz w:val="24"/>
      </w:rPr>
      <w:t>7</w:t>
    </w:r>
    <w:r>
      <w:rPr>
        <w:sz w:val="24"/>
      </w:rPr>
      <w:fldChar w:fldCharType="end"/>
    </w:r>
  </w:p>
</w:hdr>
</file>

<file path=word/settings.xml><?xml version="1.0" encoding="utf-8"?>
<w:settings xmlns:w="http://schemas.openxmlformats.org/wordprocessingml/2006/main">
  <w:zoom w:percent="100"/>
  <w:defaultTabStop w:val="720"/>
  <w:autoHyphenation w:val="true"/>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suppressAutoHyphens w:val="true"/>
      <w:bidi w:val="0"/>
    </w:pPr>
    <w:rPr>
      <w:rFonts w:ascii="Liberation Serif" w:hAnsi="Liberation Serif" w:eastAsia="Liberation Sans" w:cs="NotoSans NF"/>
      <w:color w:val="auto"/>
      <w:kern w:val="2"/>
      <w:sz w:val="20"/>
      <w:szCs w:val="24"/>
      <w:lang w:val="en-CA" w:eastAsia="zh-CN" w:bidi="hi-IN"/>
    </w:rPr>
  </w:style>
  <w:style w:type="character" w:styleId="FootnoteCharacters">
    <w:name w:val="Footnote Characters"/>
    <w:qForma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HeaderandFooter"/>
    <w:pPr/>
    <w:rPr/>
  </w:style>
  <w:style w:type="paragraph" w:styleId="Footer">
    <w:name w:val="footer"/>
    <w:basedOn w:val="HeaderandFooter"/>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header" Target="header4.xml"/><Relationship Id="rId9" Type="http://schemas.openxmlformats.org/officeDocument/2006/relationships/header" Target="header5.xml"/><Relationship Id="rId10" Type="http://schemas.openxmlformats.org/officeDocument/2006/relationships/header" Target="header6.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header" Target="header7.xml"/><Relationship Id="rId15" Type="http://schemas.openxmlformats.org/officeDocument/2006/relationships/header" Target="header8.xml"/><Relationship Id="rId16" Type="http://schemas.openxmlformats.org/officeDocument/2006/relationships/header" Target="header9.xml"/><Relationship Id="rId17" Type="http://schemas.openxmlformats.org/officeDocument/2006/relationships/footer" Target="footer7.xml"/><Relationship Id="rId18" Type="http://schemas.openxmlformats.org/officeDocument/2006/relationships/footer" Target="footer8.xml"/><Relationship Id="rId19" Type="http://schemas.openxmlformats.org/officeDocument/2006/relationships/footer" Target="footer9.xml"/><Relationship Id="rId20" Type="http://schemas.openxmlformats.org/officeDocument/2006/relationships/fontTable" Target="fontTable.xml"/><Relationship Id="rId21" Type="http://schemas.openxmlformats.org/officeDocument/2006/relationships/settings" Target="settings.xml"/><Relationship Id="rId2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