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u w:val="single"/>
        </w:rPr>
        <w:t>TOTAL RETURN SWAP CONFIRMATION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b/>
          <w:i/>
          <w:sz w:val="24"/>
        </w:rPr>
        <w:t>[                                                ]</w:t>
      </w:r>
      <w:r>
        <w:rPr>
          <w:rFonts w:ascii="Times New Roman" w:hAnsi="Times New Roman"/>
          <w:sz w:val="24"/>
        </w:rPr>
        <w:t>,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Enron Corp. </w:t>
      </w:r>
    </w:p>
    <w:p>
      <w:pPr>
        <w:pStyle w:val="Normal"/>
        <w:bidi w:val="0"/>
        <w:spacing w:lineRule="atLeast" w:line="0"/>
        <w:jc w:val="both"/>
        <w:rPr>
          <w:rFonts w:ascii="Times New Roman" w:hAnsi="Times New Roman"/>
          <w:sz w:val="24"/>
        </w:rPr>
      </w:pPr>
      <w:r>
        <w:rPr>
          <w:rFonts w:ascii="Times New Roman" w:hAnsi="Times New Roman"/>
          <w:sz w:val="24"/>
        </w:rPr>
        <w:t xml:space="preserve">1400 Smith Street </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xml:space="preserve">”) entered into between us as of </w:t>
      </w:r>
      <w:r>
        <w:rPr>
          <w:rFonts w:ascii="Times New Roman" w:hAnsi="Times New Roman"/>
          <w:b/>
          <w:i/>
          <w:sz w:val="24"/>
        </w:rPr>
        <w:t>[                                                ]</w:t>
      </w:r>
      <w:r>
        <w:rPr>
          <w:rFonts w:ascii="Times New Roman" w:hAnsi="Times New Roman"/>
          <w:sz w:val="24"/>
        </w:rPr>
        <w:t>, 1999,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In the event of any inconsistency between those definitions and provisions and this Confirmation, this Confirmation will prevail.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This Confirmation forms part of, and is subject to, the Master Agreement between us dated as of the date hereof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It is our intention to have this Confirmation serve as the final documentation for this trade and, accordingly, no letter confirmation will follow.    This Confirmation will be governed by and construed in accordance with the laws of New York, without reference to choice of law doctrine.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1.1</w:t>
        <w:tab/>
        <w:t>The parties 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w:t>
        <w:tab/>
        <w:t>Blackbird 1 Interest Owner Trust, a Delaware business trust (the “</w:t>
      </w:r>
      <w:r>
        <w:rPr>
          <w:rFonts w:ascii="Times New Roman" w:hAnsi="Times New Roman"/>
          <w:b/>
          <w:sz w:val="24"/>
        </w:rPr>
        <w:t>Trust</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(2)</w:t>
        <w:tab/>
        <w:t>Enron Corp., an Oregon corporation (the “</w:t>
      </w:r>
      <w:r>
        <w:rPr>
          <w:rFonts w:ascii="Times New Roman" w:hAnsi="Times New Roman"/>
          <w:b/>
          <w:sz w:val="24"/>
        </w:rPr>
        <w:t>Counterparty</w:t>
      </w:r>
      <w:r>
        <w:rPr>
          <w:rFonts w:ascii="Times New Roman" w:hAnsi="Times New Roman"/>
          <w:sz w:val="24"/>
        </w:rPr>
        <w: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1.2</w:t>
        <w:tab/>
        <w:t>In this Confirmation:</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Blackbird 1 Agreement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xml:space="preserve">” means </w:t>
      </w:r>
      <w:r>
        <w:rPr>
          <w:rFonts w:ascii="Times New Roman" w:hAnsi="Times New Roman"/>
          <w:b/>
          <w:sz w:val="24"/>
        </w:rPr>
        <w:t>[Barclays]</w:t>
      </w:r>
      <w:r>
        <w:rPr>
          <w:rFonts w:ascii="Times New Roman" w:hAnsi="Times New Roman"/>
          <w:sz w:val="24"/>
        </w:rPr>
        <w:t>.    All determinations and calculations by the Calculation Agent or one of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t>
      </w:r>
      <w:r>
        <w:rPr>
          <w:rFonts w:ascii="Times New Roman" w:hAnsi="Times New Roman"/>
          <w:b/>
          <w:sz w:val="24"/>
        </w:rPr>
        <w:t>Certificate Holder</w:t>
      </w:r>
      <w:r>
        <w:rPr>
          <w:rFonts w:ascii="Times New Roman" w:hAnsi="Times New Roman"/>
          <w:sz w:val="24"/>
        </w:rPr>
        <w:t>”    shall have the meaning given to that term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Class B Interest</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2.6.</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2.6.</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xml:space="preserve">” means that certain Term Facility Agreement dated the date hereof executed by    the Trust, as the issuer of the Notes, </w:t>
      </w:r>
      <w:r>
        <w:rPr>
          <w:rFonts w:ascii="Times New Roman" w:hAnsi="Times New Roman"/>
          <w:b/>
          <w:sz w:val="24"/>
        </w:rPr>
        <w:t>[Barclays]</w:t>
      </w:r>
      <w:r>
        <w:rPr>
          <w:rFonts w:ascii="Times New Roman" w:hAnsi="Times New Roman"/>
          <w:sz w:val="24"/>
        </w:rPr>
        <w:t>, as Agent, and the other financial institutions named therein, and any other document expressed to be made supplemental to, amending or modifying any of the foregoing or entered into pursuant thereto.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Final Distribution Date</w:t>
      </w:r>
      <w:r>
        <w:rPr>
          <w:rFonts w:ascii="Times New Roman" w:hAnsi="Times New Roman"/>
          <w:sz w:val="24"/>
        </w:rPr>
        <w:t>” shall have the meaning given to that term in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to any of the Finance Parties (as defined in the Facility Agreement) pursuant to Sections 8.4, 8.6 and 8.8 of the Facility Agreement, calculated in accordance with the requirements set forth in the definition of “Calculation Agent.”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(a) by way of a distribution under the Class B Interest or (b) pursuant to a disposal of the Class B Interest by way of an auction under Section 3.03(b)(B) of the Blackbird 1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r>
        <w:rPr>
          <w:rFonts w:ascii="Times New Roman" w:hAnsi="Times New Roman"/>
          <w:b/>
          <w:sz w:val="24"/>
        </w:rPr>
        <w:t>“Notional Amount”</w:t>
      </w:r>
      <w:r>
        <w:rPr>
          <w:rFonts w:ascii="Times New Roman" w:hAnsi="Times New Roman"/>
          <w:sz w:val="24"/>
        </w:rPr>
        <w:t xml:space="preserve"> means $</w:t>
      </w:r>
      <w:r>
        <w:rPr>
          <w:rFonts w:ascii="Times New Roman" w:hAnsi="Times New Roman"/>
          <w:b/>
          <w:sz w:val="24"/>
        </w:rPr>
        <w:t>[                        ]</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Termination Date</w:t>
      </w:r>
      <w:r>
        <w:rPr>
          <w:rFonts w:ascii="Times New Roman" w:hAnsi="Times New Roman"/>
          <w:sz w:val="24"/>
        </w:rPr>
        <w:t>” means the date determined to be an Early Termination Date under the Master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xml:space="preserve">” means, for any date, the reasonable out of pocket costs and expenses actually incurred by </w:t>
      </w:r>
      <w:r>
        <w:rPr>
          <w:rFonts w:ascii="Times New Roman" w:hAnsi="Times New Roman"/>
          <w:b/>
          <w:sz w:val="24"/>
        </w:rPr>
        <w:t>[Barclays]</w:t>
      </w:r>
      <w:r>
        <w:rPr>
          <w:rFonts w:ascii="Times New Roman" w:hAnsi="Times New Roman"/>
          <w:sz w:val="24"/>
        </w:rPr>
        <w:t>,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Agent”.    [Need to pick up claims of Trust Institution under Sections 8.01 and 8.02 of 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means that certain Trust Agreement constituting Blackbird 1 Interest Owner Trust dated the date hereof and executed by Wilmington Trust Company, as Owner Trustee and the Certificate Holder party thereto.</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Trade Date: ___________December,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Effective Date: __________ December,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Fixed Rate Payer: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Floating Rate Payer: the Counterparty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Business Day Convention: Following</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Fixed Payment Date:    The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Fixed Amount: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t>Floating Payment Date:    The Final Distribution Date.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Floating Amount: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sum of (a) the Interest Payable; (b) the Increased Amounts (if any) (c) the Costs of Carry (if any);(d) the Transaction Costs (if any), and (e) the Notional Amount.</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bidi w:val="0"/>
        <w:spacing w:lineRule="atLeast" w:line="0"/>
        <w:jc w:val="both"/>
        <w:rPr>
          <w:rFonts w:ascii="Times New Roman" w:hAnsi="Times New Roman"/>
          <w:sz w:val="24"/>
        </w:rPr>
      </w:pPr>
      <w:r>
        <w:rPr>
          <w:rFonts w:ascii="Times New Roman" w:hAnsi="Times New Roman"/>
          <w:sz w:val="24"/>
        </w:rPr>
        <w:t>2.4</w:t>
        <w:tab/>
      </w:r>
      <w:r>
        <w:rPr>
          <w:rFonts w:ascii="Times New Roman" w:hAnsi="Times New Roman"/>
          <w:sz w:val="24"/>
          <w:u w:val="single"/>
        </w:rPr>
        <w:t>Assignment of Class B Interest</w:t>
      </w:r>
      <w:r>
        <w:rPr>
          <w:rFonts w:ascii="Times New Roman" w:hAnsi="Times New Roman"/>
          <w:sz w:val="24"/>
        </w:rPr>
        <w:t xml:space="preserve"> </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ind w:hanging="0" w:start="720"/>
        <w:jc w:val="both"/>
        <w:rPr>
          <w:rFonts w:ascii="Times New Roman" w:hAnsi="Times New Roman"/>
          <w:sz w:val="24"/>
        </w:rPr>
      </w:pPr>
      <w:r>
        <w:rPr>
          <w:rFonts w:ascii="Times New Roman" w:hAnsi="Times New Roman"/>
          <w:sz w:val="24"/>
        </w:rPr>
        <w:t>In the event that there is no Winning Bidder (as defined in the Blackbird 1 Agreement) on the Final Distribution Date, the Trust shall assign the Class B Interest to the Counterparty (subject to the Counterparty having fulfilled its payment obligations hereunder on the Final Distribution Date).</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2.5</w:t>
        <w:tab/>
      </w:r>
      <w:r>
        <w:rPr>
          <w:rFonts w:ascii="Times New Roman" w:hAnsi="Times New Roman"/>
          <w:sz w:val="24"/>
          <w:u w:val="single"/>
        </w:rPr>
        <w:t>Interest on Unpaid Sums</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[2.6</w:t>
        <w:tab/>
      </w:r>
      <w:r>
        <w:rPr>
          <w:rFonts w:ascii="Times New Roman" w:hAnsi="Times New Roman"/>
          <w:sz w:val="24"/>
          <w:u w:val="single"/>
        </w:rPr>
        <w:t>Condition of Payment Obligations</w:t>
      </w:r>
      <w:r>
        <w:rPr>
          <w:rFonts w:ascii="Times New Roman" w:hAnsi="Times New Roman"/>
          <w:sz w:val="24"/>
        </w:rPr>
        <w:t>.    The payment obligations of the Counterparty under the Master Agreement and this Confirmation are not conditioned on the receipt of payments under the Notes and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2.7</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720"/>
        <w:jc w:val="both"/>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Credit Bank:</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Address:</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ABA #:</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Account No.:</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Attention:</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tabs>
                <w:tab w:val="clear" w:pos="720"/>
              </w:tabs>
              <w:bidi w:val="0"/>
              <w:jc w:val="start"/>
              <w:rPr>
                <w:rFonts w:ascii="Times New Roman" w:hAnsi="Times New Roman"/>
                <w:sz w:val="24"/>
              </w:rPr>
            </w:pPr>
            <w:r>
              <w:rPr>
                <w:rFonts w:ascii="Times New Roman" w:hAnsi="Times New Roman"/>
                <w:sz w:val="24"/>
              </w:rPr>
            </w:r>
          </w:p>
        </w:tc>
      </w:tr>
      <w:tr>
        <w:trPr>
          <w:trHeight w:val="360" w:hRule="exact"/>
          <w:cantSplit w:val="true"/>
        </w:trPr>
        <w:tc>
          <w:tcPr>
            <w:tcW w:w="2520" w:type="dxa"/>
            <w:tcBorders/>
          </w:tcPr>
          <w:p>
            <w:pPr>
              <w:pStyle w:val="Normal"/>
              <w:keepNext w:val="true"/>
              <w:tabs>
                <w:tab w:val="clear" w:pos="720"/>
              </w:tabs>
              <w:bidi w:val="0"/>
              <w:jc w:val="end"/>
              <w:rPr/>
            </w:pPr>
            <w:r>
              <w:rPr>
                <w:rFonts w:ascii="Times New Roman" w:hAnsi="Times New Roman"/>
                <w:sz w:val="24"/>
              </w:rPr>
              <w:t>Reference:</w:t>
            </w:r>
          </w:p>
        </w:tc>
        <w:tc>
          <w:tcPr>
            <w:tcW w:w="269" w:type="dxa"/>
            <w:tcBorders/>
          </w:tcPr>
          <w:p>
            <w:pPr>
              <w:pStyle w:val="Normal"/>
              <w:keepNext w:val="true"/>
              <w:tabs>
                <w:tab w:val="clear" w:pos="720"/>
              </w:tabs>
              <w:bidi w:val="0"/>
              <w:jc w:val="start"/>
              <w:rPr>
                <w:rFonts w:ascii="Times New Roman" w:hAnsi="Times New Roman"/>
                <w:sz w:val="24"/>
              </w:rPr>
            </w:pPr>
            <w:r>
              <w:rPr>
                <w:rFonts w:ascii="Times New Roman" w:hAnsi="Times New Roman"/>
                <w:sz w:val="24"/>
              </w:rPr>
            </w:r>
          </w:p>
        </w:tc>
        <w:tc>
          <w:tcPr>
            <w:tcW w:w="5219" w:type="dxa"/>
            <w:tcBorders/>
          </w:tcPr>
          <w:p>
            <w:pPr>
              <w:pStyle w:val="Normal"/>
              <w:keepNext w:val="true"/>
              <w:tabs>
                <w:tab w:val="clear" w:pos="720"/>
              </w:tabs>
              <w:bidi w:val="0"/>
              <w:jc w:val="start"/>
              <w:rPr/>
            </w:pPr>
            <w:r>
              <w:rPr>
                <w:rFonts w:ascii="Times New Roman" w:hAnsi="Times New Roman"/>
                <w:sz w:val="24"/>
              </w:rPr>
              <w:t>Blackbird 1 Interest Owner Trust</w:t>
            </w:r>
          </w:p>
        </w:tc>
      </w:tr>
    </w:tbl>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b/>
          <w:sz w:val="24"/>
        </w:rPr>
      </w:pPr>
      <w:r>
        <w:rPr>
          <w:rFonts w:ascii="Times New Roman" w:hAnsi="Times New Roman"/>
          <w:sz w:val="24"/>
        </w:rPr>
        <w:t>Account for Payments to the Counterparty:</w:t>
        <w:tab/>
      </w:r>
      <w:r>
        <w:rPr>
          <w:rFonts w:ascii="Times New Roman" w:hAnsi="Times New Roman"/>
          <w:b/>
          <w:sz w:val="24"/>
        </w:rPr>
        <w:t>[Citibank</w:t>
      </w:r>
    </w:p>
    <w:p>
      <w:pPr>
        <w:pStyle w:val="Normal"/>
        <w:keepNext w:val="true"/>
        <w:keepLines/>
        <w:bidi w:val="0"/>
        <w:spacing w:lineRule="atLeast" w:line="0"/>
        <w:ind w:hanging="0" w:start="5040"/>
        <w:jc w:val="both"/>
        <w:rPr>
          <w:rFonts w:ascii="Times New Roman" w:hAnsi="Times New Roman"/>
          <w:b/>
          <w:sz w:val="24"/>
        </w:rPr>
      </w:pPr>
      <w:r>
        <w:rPr>
          <w:rFonts w:ascii="Times New Roman" w:hAnsi="Times New Roman"/>
          <w:b/>
          <w:sz w:val="24"/>
        </w:rPr>
        <w:t>ABA #021000089</w:t>
      </w:r>
    </w:p>
    <w:p>
      <w:pPr>
        <w:pStyle w:val="Normal"/>
        <w:keepNext w:val="true"/>
        <w:keepLines/>
        <w:bidi w:val="0"/>
        <w:spacing w:lineRule="atLeast" w:line="0"/>
        <w:ind w:hanging="0" w:start="5040"/>
        <w:jc w:val="both"/>
        <w:rPr>
          <w:rFonts w:ascii="Times New Roman" w:hAnsi="Times New Roman"/>
          <w:b/>
          <w:sz w:val="24"/>
        </w:rPr>
      </w:pPr>
      <w:r>
        <w:rPr>
          <w:rFonts w:ascii="Times New Roman" w:hAnsi="Times New Roman"/>
          <w:b/>
          <w:sz w:val="24"/>
        </w:rPr>
        <w:t>A/C = 0076486] [Please confirm]</w:t>
      </w:r>
    </w:p>
    <w:p>
      <w:pPr>
        <w:pStyle w:val="Normal"/>
        <w:keepLines/>
        <w:bidi w:val="0"/>
        <w:spacing w:lineRule="atLeast" w:line="0"/>
        <w:jc w:val="both"/>
        <w:rPr>
          <w:rFonts w:ascii="Times New Roman" w:hAnsi="Times New Roman"/>
          <w:b/>
          <w:sz w:val="24"/>
        </w:rPr>
      </w:pPr>
      <w:r>
        <w:rPr>
          <w:rFonts w:ascii="Times New Roman" w:hAnsi="Times New Roman"/>
          <w:b/>
          <w:sz w:val="24"/>
        </w:rPr>
      </w:r>
    </w:p>
    <w:p>
      <w:pPr>
        <w:pStyle w:val="Normal"/>
        <w:keepNext w:val="true"/>
        <w:keepLines/>
        <w:bidi w:val="0"/>
        <w:spacing w:lineRule="atLeast" w:line="0"/>
        <w:ind w:hanging="0" w:start="720"/>
        <w:jc w:val="both"/>
        <w:rPr>
          <w:rFonts w:ascii="Times New Roman" w:hAnsi="Times New Roman"/>
          <w:sz w:val="24"/>
        </w:rPr>
      </w:pPr>
      <w:r>
        <w:rPr>
          <w:rFonts w:ascii="Times New Roman" w:hAnsi="Times New Roman"/>
          <w:sz w:val="24"/>
        </w:rPr>
        <w:t xml:space="preserve">Address for Delivery of Notes to </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4320" w:start="5040"/>
        <w:jc w:val="both"/>
        <w:rPr>
          <w:rFonts w:ascii="Times New Roman" w:hAnsi="Times New Roman"/>
          <w:sz w:val="24"/>
        </w:rPr>
      </w:pPr>
      <w:r>
        <w:rPr>
          <w:rFonts w:ascii="Times New Roman" w:hAnsi="Times New Roman"/>
          <w:sz w:val="24"/>
        </w:rPr>
        <w:t>Counterparty:</w:t>
        <w:tab/>
        <w:tab/>
        <w:tab/>
        <w:tab/>
        <w:tab/>
        <w:t>Enron Corp.</w:t>
      </w:r>
    </w:p>
    <w:p>
      <w:pPr>
        <w:pStyle w:val="Normal"/>
        <w:keepNext w:val="true"/>
        <w:keepLines/>
        <w:bidi w:val="0"/>
        <w:spacing w:lineRule="atLeast" w:line="0"/>
        <w:ind w:hanging="0" w:start="4320"/>
        <w:jc w:val="both"/>
        <w:rPr>
          <w:rFonts w:ascii="Times New Roman" w:hAnsi="Times New Roman"/>
          <w:sz w:val="24"/>
        </w:rPr>
      </w:pPr>
      <w:r>
        <w:rPr>
          <w:rFonts w:ascii="Times New Roman" w:hAnsi="Times New Roman"/>
          <w:sz w:val="24"/>
        </w:rPr>
        <w:tab/>
        <w:t>Attn: Scott Donaldson</w:t>
      </w:r>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1400 Smith Street</w:t>
      </w:r>
    </w:p>
    <w:p>
      <w:pPr>
        <w:pStyle w:val="Normal"/>
        <w:keepNext w:val="true"/>
        <w:keepLines/>
        <w:bidi w:val="0"/>
        <w:spacing w:lineRule="atLeast" w:line="0"/>
        <w:ind w:hanging="0" w:start="5040"/>
        <w:jc w:val="both"/>
        <w:rPr>
          <w:rFonts w:ascii="Times New Roman" w:hAnsi="Times New Roman"/>
          <w:sz w:val="24"/>
        </w:rPr>
      </w:pPr>
      <w:r>
        <w:rPr>
          <w:rFonts w:ascii="Times New Roman" w:hAnsi="Times New Roman"/>
          <w:sz w:val="24"/>
        </w:rPr>
        <w:t>Houston, Texas 77002</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xml:space="preserve">.    The Counterparty shall be subrogated to the rights of </w:t>
      </w:r>
      <w:r>
        <w:rPr>
          <w:rFonts w:ascii="Times New Roman" w:hAnsi="Times New Roman"/>
          <w:b/>
          <w:sz w:val="24"/>
        </w:rPr>
        <w:t>[Barclays]</w:t>
      </w:r>
      <w:r>
        <w:rPr>
          <w:rFonts w:ascii="Times New Roman" w:hAnsi="Times New Roman"/>
          <w:sz w:val="24"/>
        </w:rPr>
        <w:t xml:space="preserve">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 the Trust under this Transaction or otherwise, until all principal, interest, fees, costs and other amounts due to the Lenders under the Notes and the Facility Agreement have been indefeasibly paid in full.</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3.2</w:t>
        <w:tab/>
      </w:r>
      <w:r>
        <w:rPr>
          <w:rFonts w:ascii="Times New Roman" w:hAnsi="Times New Roman"/>
          <w:sz w:val="24"/>
          <w:u w:val="single"/>
        </w:rPr>
        <w:t>United States Federal Tax Characterization and Reporting</w:t>
      </w:r>
      <w:r>
        <w:rPr>
          <w:rFonts w:ascii="Times New Roman" w:hAnsi="Times New Roman"/>
          <w:sz w:val="24"/>
        </w:rPr>
        <w:t>.    The parties recognize and intend that, for United States federal income tax purposes, any payment by the Counterparty of the Floating Amount will be treated as a payment pursuant to    a guaranty by the Counterparty of the obligations of the Trust to make payments pursuant to Article 6 and Article 7 of the Facility Agreement.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the Termination Date, the Counterparty shall not institute against, or join any other person in instituting against the Trust any bankruptcy, reorganization, arrangement, insolvency or liquidation proceedings, or other proceedings under any federal or state bankruptcy or similar law.</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ind w:hanging="0" w:start="720"/>
        <w:jc w:val="both"/>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docGrid w:type="default" w:linePitch="600" w:charSpace="40960"/>
        </w:sect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600" w:charSpace="40960"/>
        </w:sectPr>
      </w:pPr>
    </w:p>
    <w:p>
      <w:pPr>
        <w:pStyle w:val="Normal"/>
        <w:bidi w:val="0"/>
        <w:spacing w:lineRule="atLeast" w:line="0"/>
        <w:jc w:val="both"/>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Accepted and confirmed as of the date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b/>
          <w:sz w:val="24"/>
        </w:rPr>
        <w:t>BLACKBIRD 1 INTEREST OWNER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By:</w:t>
        <w:tab/>
        <w:t>Wilmington Trust Company,</w:t>
      </w:r>
    </w:p>
    <w:p>
      <w:pPr>
        <w:pStyle w:val="Normal"/>
        <w:bidi w:val="0"/>
        <w:spacing w:lineRule="atLeast" w:line="0"/>
        <w:ind w:hanging="0" w:start="720"/>
        <w:jc w:val="both"/>
        <w:rPr>
          <w:rFonts w:ascii="Times New Roman" w:hAnsi="Times New Roman"/>
          <w:sz w:val="24"/>
        </w:rPr>
      </w:pPr>
      <w:r>
        <w:rPr>
          <w:rFonts w:ascii="Times New Roman" w:hAnsi="Times New Roman"/>
          <w:sz w:val="24"/>
        </w:rPr>
        <w:t>not in its individual capacity,</w:t>
      </w:r>
    </w:p>
    <w:p>
      <w:pPr>
        <w:pStyle w:val="Normal"/>
        <w:bidi w:val="0"/>
        <w:spacing w:lineRule="atLeast" w:line="0"/>
        <w:ind w:hanging="0" w:start="720"/>
        <w:jc w:val="both"/>
        <w:rPr>
          <w:rFonts w:ascii="Times New Roman" w:hAnsi="Times New Roman"/>
          <w:sz w:val="24"/>
        </w:rPr>
      </w:pPr>
      <w:r>
        <w:rPr>
          <w:rFonts w:ascii="Times New Roman" w:hAnsi="Times New Roman"/>
          <w:sz w:val="24"/>
        </w:rPr>
        <w:t>but solely 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600" w:charSpace="40960"/>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rPr>
      </w:pPr>
      <w:r>
        <w:rPr>
          <w:rFonts w:ascii="Times New Roman" w:hAnsi="Times New Roman"/>
          <w:b/>
          <w:sz w:val="24"/>
        </w:rPr>
        <w:t>ENRON CORP.</w:t>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b/>
          <w:sz w:val="24"/>
        </w:rPr>
      </w:pPr>
      <w:r>
        <w:rPr>
          <w:rFonts w:ascii="Times New Roman" w:hAnsi="Times New Roman"/>
          <w:b/>
          <w:sz w:val="24"/>
        </w:rPr>
      </w:r>
    </w:p>
    <w:p>
      <w:pPr>
        <w:pStyle w:val="Normal"/>
        <w:bidi w:val="0"/>
        <w:spacing w:lineRule="atLeast" w:line="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spacing w:lineRule="atLeast" w:line="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sectPr>
      <w:type w:val="continuous"/>
      <w:pgSz w:w="12240" w:h="15840"/>
      <w:pgMar w:left="1440" w:right="1440" w:gutter="0" w:header="0" w:top="1440" w:footer="1344" w:bottom="1401"/>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DAL:221685.2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Blackbird/Swap Confirmation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