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r>
        <w:rPr>
          <w:rFonts w:ascii="Times New Roman" w:hAnsi="Times New Roman"/>
          <w:b/>
          <w:sz w:val="24"/>
          <w:u w:val="single"/>
        </w:rPr>
        <w:t>TOTAL RETURN SWAP CONFIRMATION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b/>
          <w:i/>
          <w:sz w:val="24"/>
        </w:rPr>
        <w:t>[                                                ]</w:t>
      </w:r>
      <w:r>
        <w:rPr>
          <w:rFonts w:ascii="Times New Roman" w:hAnsi="Times New Roman"/>
          <w:sz w:val="24"/>
        </w:rPr>
        <w:t>, 1999</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 xml:space="preserve">Enron Corp. </w:t>
      </w:r>
    </w:p>
    <w:p>
      <w:pPr>
        <w:pStyle w:val="Normal"/>
        <w:bidi w:val="0"/>
        <w:spacing w:lineRule="atLeast" w:line="0"/>
        <w:jc w:val="both"/>
        <w:rPr>
          <w:rFonts w:ascii="Times New Roman" w:hAnsi="Times New Roman"/>
          <w:sz w:val="24"/>
        </w:rPr>
      </w:pPr>
      <w:r>
        <w:rPr>
          <w:rFonts w:ascii="Times New Roman" w:hAnsi="Times New Roman"/>
          <w:sz w:val="24"/>
        </w:rPr>
        <w:t xml:space="preserve">1400 Smith Street </w:t>
      </w:r>
    </w:p>
    <w:p>
      <w:pPr>
        <w:pStyle w:val="Normal"/>
        <w:bidi w:val="0"/>
        <w:spacing w:lineRule="atLeast" w:line="0"/>
        <w:jc w:val="both"/>
        <w:rPr>
          <w:rFonts w:ascii="Times New Roman" w:hAnsi="Times New Roman"/>
          <w:sz w:val="24"/>
        </w:rPr>
      </w:pPr>
      <w:r>
        <w:rPr>
          <w:rFonts w:ascii="Times New Roman" w:hAnsi="Times New Roman"/>
          <w:sz w:val="24"/>
        </w:rPr>
        <w:t>Houston, Texas 77002</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Ladies and Gentlemen,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purpose of this letter is to confirm the terms and conditions of the Transaction (the “</w:t>
      </w:r>
      <w:r>
        <w:rPr>
          <w:rFonts w:ascii="Times New Roman" w:hAnsi="Times New Roman"/>
          <w:b/>
          <w:sz w:val="24"/>
        </w:rPr>
        <w:t>Transaction</w:t>
      </w:r>
      <w:r>
        <w:rPr>
          <w:rFonts w:ascii="Times New Roman" w:hAnsi="Times New Roman"/>
          <w:sz w:val="24"/>
        </w:rPr>
        <w:t xml:space="preserve">”) entered into between us as of </w:t>
      </w:r>
      <w:r>
        <w:rPr>
          <w:rFonts w:ascii="Times New Roman" w:hAnsi="Times New Roman"/>
          <w:b/>
          <w:i/>
          <w:sz w:val="24"/>
        </w:rPr>
        <w:t>[                                                ]</w:t>
      </w:r>
      <w:r>
        <w:rPr>
          <w:rFonts w:ascii="Times New Roman" w:hAnsi="Times New Roman"/>
          <w:sz w:val="24"/>
        </w:rPr>
        <w:t>, 1999, (the “</w:t>
      </w:r>
      <w:r>
        <w:rPr>
          <w:rFonts w:ascii="Times New Roman" w:hAnsi="Times New Roman"/>
          <w:b/>
          <w:sz w:val="24"/>
        </w:rPr>
        <w:t>Trade Date</w:t>
      </w:r>
      <w:r>
        <w:rPr>
          <w:rFonts w:ascii="Times New Roman" w:hAnsi="Times New Roman"/>
          <w:sz w:val="24"/>
        </w:rPr>
        <w:t>”).    This letter constitutes a “Confirmation” (this “</w:t>
      </w:r>
      <w:r>
        <w:rPr>
          <w:rFonts w:ascii="Times New Roman" w:hAnsi="Times New Roman"/>
          <w:b/>
          <w:sz w:val="24"/>
        </w:rPr>
        <w:t>Confirmation</w:t>
      </w:r>
      <w:r>
        <w:rPr>
          <w:rFonts w:ascii="Times New Roman" w:hAnsi="Times New Roman"/>
          <w:sz w:val="24"/>
        </w:rPr>
        <w:t>”) and incorporates by reference the definitions and provisions of the 1991 ISDA Definitions (as published by the International Swaps and Derivatives Association, Inc.) (the “</w:t>
      </w:r>
      <w:r>
        <w:rPr>
          <w:rFonts w:ascii="Times New Roman" w:hAnsi="Times New Roman"/>
          <w:b/>
          <w:sz w:val="24"/>
        </w:rPr>
        <w:t>1991 Definitions</w:t>
      </w:r>
      <w:r>
        <w:rPr>
          <w:rFonts w:ascii="Times New Roman" w:hAnsi="Times New Roman"/>
          <w:sz w:val="24"/>
        </w:rPr>
        <w:t xml:space="preserve">”, as amended).    In the event of any inconsistency between those definitions and provisions and this Confirmation, this Confirmation will prevail.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This Confirmation forms part of, and is subject to, the Master Agreement between us dated as of the date hereof (the “</w:t>
      </w:r>
      <w:r>
        <w:rPr>
          <w:rFonts w:ascii="Times New Roman" w:hAnsi="Times New Roman"/>
          <w:b/>
          <w:sz w:val="24"/>
        </w:rPr>
        <w:t>Master Agreement</w:t>
      </w:r>
      <w:r>
        <w:rPr>
          <w:rFonts w:ascii="Times New Roman" w:hAnsi="Times New Roman"/>
          <w:sz w:val="24"/>
        </w:rPr>
        <w:t>”).    All the provisions contained in the Master Agreement govern this Confirmation except as expressly modified below.</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It is our intention to have this Confirmation serve as the final documentation for this trade and, accordingly, no letter confirmation will follow.    This Confirmation will be governed by and construed in accordance with the laws of New York, without reference to choice of law doctrine.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terms of the Transaction to which this Confirmation relates are as follows: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1.</w:t>
        <w:tab/>
      </w:r>
      <w:r>
        <w:rPr>
          <w:rFonts w:ascii="Times New Roman" w:hAnsi="Times New Roman"/>
          <w:b/>
          <w:sz w:val="24"/>
          <w:u w:val="single"/>
        </w:rPr>
        <w:t>DEFINITIONS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1.1</w:t>
        <w:tab/>
        <w:t>The parties are: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w:t>
        <w:tab/>
        <w:t>Blackbird 1 Interest Owner Trust, a Delaware business trust (the “</w:t>
      </w:r>
      <w:r>
        <w:rPr>
          <w:rFonts w:ascii="Times New Roman" w:hAnsi="Times New Roman"/>
          <w:b/>
          <w:sz w:val="24"/>
        </w:rPr>
        <w:t>Trust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(2)</w:t>
        <w:tab/>
        <w:t>Enron Corp., an Oregon corporation (the “</w:t>
      </w:r>
      <w:r>
        <w:rPr>
          <w:rFonts w:ascii="Times New Roman" w:hAnsi="Times New Roman"/>
          <w:b/>
          <w:sz w:val="24"/>
        </w:rPr>
        <w:t>Counterparty</w:t>
      </w:r>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1.2</w:t>
        <w:tab/>
        <w:t>In this Confirmation:</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Blackbird 1 Agreement</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Calculation Agent</w:t>
      </w:r>
      <w:r>
        <w:rPr>
          <w:rFonts w:ascii="Times New Roman" w:hAnsi="Times New Roman"/>
          <w:sz w:val="24"/>
        </w:rPr>
        <w:t xml:space="preserve">” means </w:t>
      </w:r>
      <w:r>
        <w:rPr>
          <w:rFonts w:ascii="Times New Roman" w:hAnsi="Times New Roman"/>
          <w:b/>
          <w:sz w:val="24"/>
        </w:rPr>
        <w:t>[Barclays]</w:t>
      </w:r>
      <w:r>
        <w:rPr>
          <w:rFonts w:ascii="Times New Roman" w:hAnsi="Times New Roman"/>
          <w:sz w:val="24"/>
        </w:rPr>
        <w:t>.    All determinations and calculations by the Calculation Agent or one of its Affiliates shall be made in good faith and in the exercise of its commercially reasonable judgment.    All such determinations and calculations shall be binding on the parties hereto in the absence of manifest error.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t>
      </w:r>
      <w:r>
        <w:rPr>
          <w:rFonts w:ascii="Times New Roman" w:hAnsi="Times New Roman"/>
          <w:b/>
          <w:sz w:val="24"/>
        </w:rPr>
        <w:t>Certificate Holder</w:t>
      </w:r>
      <w:r>
        <w:rPr>
          <w:rFonts w:ascii="Times New Roman" w:hAnsi="Times New Roman"/>
          <w:sz w:val="24"/>
        </w:rPr>
        <w:t>”    shall have the meaning given to that term in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Class B Interest</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Cost of Carry</w:t>
      </w:r>
      <w:r>
        <w:rPr>
          <w:rFonts w:ascii="Times New Roman" w:hAnsi="Times New Roman"/>
          <w:sz w:val="24"/>
        </w:rPr>
        <w:t>” means, for any date, any amounts due and payable by the Trust on such date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Default Interest Period</w:t>
      </w:r>
      <w:r>
        <w:rPr>
          <w:rFonts w:ascii="Times New Roman" w:hAnsi="Times New Roman"/>
          <w:sz w:val="24"/>
        </w:rPr>
        <w:t>” has the meaning given to that term in Section 2.6.</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Default Rate</w:t>
      </w:r>
      <w:r>
        <w:rPr>
          <w:rFonts w:ascii="Times New Roman" w:hAnsi="Times New Roman"/>
          <w:sz w:val="24"/>
        </w:rPr>
        <w:t>” has the meaning given to that term in Section 2.6.</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Facility Agreement</w:t>
      </w:r>
      <w:r>
        <w:rPr>
          <w:rFonts w:ascii="Times New Roman" w:hAnsi="Times New Roman"/>
          <w:sz w:val="24"/>
        </w:rPr>
        <w:t xml:space="preserve">” means that certain Term Facility Agreement dated the date hereof executed by    the Trust, as the issuer of the Notes, </w:t>
      </w:r>
      <w:r>
        <w:rPr>
          <w:rFonts w:ascii="Times New Roman" w:hAnsi="Times New Roman"/>
          <w:b/>
          <w:sz w:val="24"/>
        </w:rPr>
        <w:t>[Barclays]</w:t>
      </w:r>
      <w:r>
        <w:rPr>
          <w:rFonts w:ascii="Times New Roman" w:hAnsi="Times New Roman"/>
          <w:sz w:val="24"/>
        </w:rPr>
        <w:t>, as Agent, and the other financial institutions named therein, and any other document expressed to be made supplemental to, amending or modifying any of the foregoing or entered into pursuant thereto.</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Final Distribution Date</w:t>
      </w:r>
      <w:r>
        <w:rPr>
          <w:rFonts w:ascii="Times New Roman" w:hAnsi="Times New Roman"/>
          <w:sz w:val="24"/>
        </w:rPr>
        <w:t>” shall have the meaning given to that term in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Increased Amounts</w:t>
      </w:r>
      <w:r>
        <w:rPr>
          <w:rFonts w:ascii="Times New Roman" w:hAnsi="Times New Roman"/>
          <w:sz w:val="24"/>
        </w:rPr>
        <w:t>” means, for any date, any amounts due and payable by the Trust on such date to any of the Finance Parties (as defined in the Facility Agreement) pursuant to Sections 8.4, 8.6 and 8.8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Lenders</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r>
        <w:rPr>
          <w:rFonts w:ascii="Times New Roman" w:hAnsi="Times New Roman"/>
          <w:b/>
          <w:sz w:val="24"/>
        </w:rPr>
        <w:t>“LIBOR Advance”</w:t>
      </w:r>
      <w:r>
        <w:rPr>
          <w:rFonts w:ascii="Times New Roman" w:hAnsi="Times New Roman"/>
          <w:sz w:val="24"/>
        </w:rPr>
        <w:t xml:space="preserve">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Monies Received</w:t>
      </w:r>
      <w:r>
        <w:rPr>
          <w:rFonts w:ascii="Times New Roman" w:hAnsi="Times New Roman"/>
          <w:sz w:val="24"/>
        </w:rPr>
        <w:t>” shall mean all monies actually and irrevocably received by the Trust (a) by way of a distribution under the Class B Interest or (b) pursuant to a disposal of the Class B Interest by way of an auction under Section 3.03(b)(B) of the Blackbird 1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Notes</w:t>
      </w:r>
      <w:r>
        <w:rPr>
          <w:rFonts w:ascii="Times New Roman" w:hAnsi="Times New Roman"/>
          <w:sz w:val="24"/>
        </w:rPr>
        <w:t>” means the notes issued by the Trust, payable to the order of the Lenders, pursuant to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r>
        <w:rPr>
          <w:rFonts w:ascii="Times New Roman" w:hAnsi="Times New Roman"/>
          <w:b/>
          <w:sz w:val="24"/>
        </w:rPr>
        <w:t>“Notional Amount”</w:t>
      </w:r>
      <w:r>
        <w:rPr>
          <w:rFonts w:ascii="Times New Roman" w:hAnsi="Times New Roman"/>
          <w:sz w:val="24"/>
        </w:rPr>
        <w:t xml:space="preserve"> means $</w:t>
      </w:r>
      <w:r>
        <w:rPr>
          <w:rFonts w:ascii="Times New Roman" w:hAnsi="Times New Roman"/>
          <w:b/>
          <w:sz w:val="24"/>
        </w:rPr>
        <w:t>[                        ]</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Termination Date</w:t>
      </w:r>
      <w:r>
        <w:rPr>
          <w:rFonts w:ascii="Times New Roman" w:hAnsi="Times New Roman"/>
          <w:sz w:val="24"/>
        </w:rPr>
        <w:t>” means the date determined to be an Early Termination Date under the Master Agreement.</w:t>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Transaction Costs</w:t>
      </w:r>
      <w:r>
        <w:rPr>
          <w:rFonts w:ascii="Times New Roman" w:hAnsi="Times New Roman"/>
          <w:sz w:val="24"/>
        </w:rPr>
        <w:t xml:space="preserve">” means, for any date, the reasonable out of pocket costs and expenses actually incurred by </w:t>
      </w:r>
      <w:r>
        <w:rPr>
          <w:rFonts w:ascii="Times New Roman" w:hAnsi="Times New Roman"/>
          <w:b/>
          <w:sz w:val="24"/>
        </w:rPr>
        <w:t>[Barclays]</w:t>
      </w:r>
      <w:r>
        <w:rPr>
          <w:rFonts w:ascii="Times New Roman" w:hAnsi="Times New Roman"/>
          <w:sz w:val="24"/>
        </w:rPr>
        <w:t>,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Trust Agreement</w:t>
      </w:r>
      <w:r>
        <w:rPr>
          <w:rFonts w:ascii="Times New Roman" w:hAnsi="Times New Roman"/>
          <w:sz w:val="24"/>
        </w:rPr>
        <w:t>” means that certain Trust Agreement constituting Blackbird 1 Interest Owner Trust dated the date hereof and executed by Wilmington Trust Company, as Owner Trustee and the Certificate Holder party thereto.</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w:t>
        <w:tab/>
      </w:r>
      <w:r>
        <w:rPr>
          <w:rFonts w:ascii="Times New Roman" w:hAnsi="Times New Roman"/>
          <w:b/>
          <w:sz w:val="24"/>
          <w:u w:val="single"/>
        </w:rPr>
        <w:t>DELIVERY OF PUT NOTICE;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2.1</w:t>
        <w:tab/>
      </w:r>
      <w:r>
        <w:rPr>
          <w:rFonts w:ascii="Times New Roman" w:hAnsi="Times New Roman"/>
          <w:sz w:val="24"/>
          <w:u w:val="single"/>
        </w:rPr>
        <w:t>General Terms for Payments</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Trade Date: ___________December, 1999.</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Effective Date: __________ December, 1999.</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Fixed Rate Payer: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Floating Rate Payer: the Counterparty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Business Day Convention: Following</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2.2</w:t>
        <w:tab/>
      </w:r>
      <w:r>
        <w:rPr>
          <w:rFonts w:ascii="Times New Roman" w:hAnsi="Times New Roman"/>
          <w:sz w:val="24"/>
          <w:u w:val="single"/>
        </w:rPr>
        <w:t>Fixed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Fixed Payment Date:    The Final Distribution Date.</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2.3</w:t>
        <w:tab/>
      </w:r>
      <w:r>
        <w:rPr>
          <w:rFonts w:ascii="Times New Roman" w:hAnsi="Times New Roman"/>
          <w:sz w:val="24"/>
          <w:u w:val="single"/>
        </w:rPr>
        <w:t>Floating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Floating Payment Date:    The Final Distribution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 xml:space="preserve">Floating Amount: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sum of (a) the Interest Payable; (b) the Increased Amounts (if any) (c) the Costs of Carry (if any);(d) the Transaction Costs (if any), and (e) the Notional Amount.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2.4</w:t>
        <w:tab/>
      </w:r>
      <w:r>
        <w:rPr>
          <w:rFonts w:ascii="Times New Roman" w:hAnsi="Times New Roman"/>
          <w:sz w:val="24"/>
          <w:u w:val="single"/>
        </w:rPr>
        <w:t>Assignment of Class B Interest</w:t>
      </w:r>
      <w:r>
        <w:rPr>
          <w:rFonts w:ascii="Times New Roman" w:hAnsi="Times New Roman"/>
          <w:sz w:val="24"/>
        </w:rPr>
        <w:t xml:space="preserve"> </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 xml:space="preserve">In the event that there is no Winning Bidder (as defined in the Blackbird 1 Agreement) on </w:t>
        <w:tab/>
        <w:t xml:space="preserve">the Final Distribution Date, the Trust shall assign the Class B Interest to the Counterparty </w:t>
        <w:tab/>
        <w:t xml:space="preserve">(subject to the Counterparty having fulfilled its payment obligations hereunder on the Final </w:t>
        <w:tab/>
        <w:t>Distribution Date).</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2.5</w:t>
        <w:tab/>
      </w:r>
      <w:r>
        <w:rPr>
          <w:rFonts w:ascii="Times New Roman" w:hAnsi="Times New Roman"/>
          <w:sz w:val="24"/>
          <w:u w:val="single"/>
        </w:rPr>
        <w:t>Interest on Unpaid Sums</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(a)</w:t>
        <w:tab/>
        <w:t>If the Counterparty fails to pay any sum due from it under the Transaction on its due date (an “</w:t>
      </w:r>
      <w:r>
        <w:rPr>
          <w:rFonts w:ascii="Times New Roman" w:hAnsi="Times New Roman"/>
          <w:b/>
          <w:sz w:val="24"/>
          <w:u w:val="single"/>
        </w:rPr>
        <w:t>unpaid sum</w:t>
      </w:r>
      <w:r>
        <w:rPr>
          <w:rFonts w:ascii="Times New Roman" w:hAnsi="Times New Roman"/>
          <w:sz w:val="24"/>
        </w:rPr>
        <w:t>”), the Counterparty will pay default interest on such unpaid sum from its due date to the date of actual payment (after as well as before judgment) at a rate (the “</w:t>
      </w:r>
      <w:r>
        <w:rPr>
          <w:rFonts w:ascii="Times New Roman" w:hAnsi="Times New Roman"/>
          <w:b/>
          <w:sz w:val="24"/>
        </w:rPr>
        <w:t>Default Rate</w:t>
      </w:r>
      <w:r>
        <w:rPr>
          <w:rFonts w:ascii="Times New Roman" w:hAnsi="Times New Roman"/>
          <w:sz w:val="24"/>
        </w:rPr>
        <w:t>”) determined by the Calculation Agent to be 2% per annum above the rate which would be payable if the unpaid sum were a LIBOR Advance for a period equal to the period of non-payment divided into successive interest periods of such duration as shall be selected by the Calculation Agent (a “</w:t>
      </w:r>
      <w:r>
        <w:rPr>
          <w:rFonts w:ascii="Times New Roman" w:hAnsi="Times New Roman"/>
          <w:b/>
          <w:sz w:val="24"/>
        </w:rPr>
        <w:t>Default Interest Period</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(b)</w:t>
        <w:tab/>
        <w:t>Default interest will be payable by the Counterparty automatically and will be, to the extent permitted by law, compounded at the end of each Default Interest Period.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(c)</w:t>
        <w:tab/>
        <w:t>The Calculation Agent will promptly notify the Counterparty of each determination of the Default Rate and each selection of a Default Interest Period.</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[2.6</w:t>
        <w:tab/>
      </w:r>
      <w:r>
        <w:rPr>
          <w:rFonts w:ascii="Times New Roman" w:hAnsi="Times New Roman"/>
          <w:sz w:val="24"/>
          <w:u w:val="single"/>
        </w:rPr>
        <w:t>Condition of Payment Obligations</w:t>
      </w:r>
      <w:r>
        <w:rPr>
          <w:rFonts w:ascii="Times New Roman" w:hAnsi="Times New Roman"/>
          <w:sz w:val="24"/>
        </w:rPr>
        <w:t>.    The payment obligations of the Counterparty under the Master Agreement and this Confirmation are not conditioned on the receipt of payments under the Notes and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2.7</w:t>
        <w:tab/>
      </w:r>
      <w:r>
        <w:rPr>
          <w:rFonts w:ascii="Times New Roman" w:hAnsi="Times New Roman"/>
          <w:sz w:val="24"/>
          <w:u w:val="single"/>
        </w:rPr>
        <w:t>Account and Note Delivery Details</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ind w:hanging="0" w:start="720"/>
        <w:jc w:val="both"/>
        <w:rPr>
          <w:rFonts w:ascii="Times New Roman" w:hAnsi="Times New Roman"/>
          <w:b/>
          <w:sz w:val="24"/>
        </w:rPr>
      </w:pPr>
      <w:r>
        <w:rPr>
          <w:rFonts w:ascii="Times New Roman" w:hAnsi="Times New Roman"/>
          <w:sz w:val="24"/>
        </w:rPr>
        <w:t>Account for Payments to the Trust:</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Credit Bank:</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Address:</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ABA #:</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Account No.:</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Attention:</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Reference:</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keepNext w:val="true"/>
              <w:tabs>
                <w:tab w:val="clear" w:pos="720"/>
              </w:tabs>
              <w:bidi w:val="0"/>
              <w:jc w:val="start"/>
              <w:rPr/>
            </w:pPr>
            <w:r>
              <w:rPr>
                <w:rFonts w:ascii="Times New Roman" w:hAnsi="Times New Roman"/>
                <w:sz w:val="24"/>
              </w:rPr>
              <w:t>Blackbird 1 Interest Owner Trust</w:t>
            </w:r>
          </w:p>
        </w:tc>
      </w:tr>
    </w:tbl>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b/>
          <w:sz w:val="24"/>
        </w:rPr>
      </w:pPr>
      <w:r>
        <w:rPr>
          <w:rFonts w:ascii="Times New Roman" w:hAnsi="Times New Roman"/>
          <w:sz w:val="24"/>
        </w:rPr>
        <w:t xml:space="preserve"> </w:t>
      </w:r>
      <w:r>
        <w:rPr>
          <w:rFonts w:ascii="Times New Roman" w:hAnsi="Times New Roman"/>
          <w:sz w:val="24"/>
        </w:rPr>
        <w:t>or to such other account or accounts as the Trust may direct in writing</w:t>
      </w:r>
      <w:r>
        <w:rPr>
          <w:rFonts w:ascii="Times New Roman" w:hAnsi="Times New Roman"/>
          <w:b/>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4320" w:start="5040"/>
        <w:jc w:val="both"/>
        <w:rPr>
          <w:rFonts w:ascii="Times New Roman" w:hAnsi="Times New Roman"/>
          <w:b/>
          <w:sz w:val="24"/>
        </w:rPr>
      </w:pPr>
      <w:r>
        <w:rPr>
          <w:rFonts w:ascii="Times New Roman" w:hAnsi="Times New Roman"/>
          <w:sz w:val="24"/>
        </w:rPr>
        <w:t>Account for Payments to the Counterparty:</w:t>
        <w:tab/>
      </w:r>
      <w:r>
        <w:rPr>
          <w:rFonts w:ascii="Times New Roman" w:hAnsi="Times New Roman"/>
          <w:b/>
          <w:sz w:val="24"/>
        </w:rPr>
        <w:t>[Citibank</w:t>
      </w:r>
    </w:p>
    <w:p>
      <w:pPr>
        <w:pStyle w:val="Normal"/>
        <w:keepNext w:val="true"/>
        <w:keepLines/>
        <w:bidi w:val="0"/>
        <w:spacing w:lineRule="atLeast" w:line="0"/>
        <w:ind w:hanging="0" w:start="5040"/>
        <w:jc w:val="both"/>
        <w:rPr>
          <w:rFonts w:ascii="Times New Roman" w:hAnsi="Times New Roman"/>
          <w:b/>
          <w:sz w:val="24"/>
        </w:rPr>
      </w:pPr>
      <w:r>
        <w:rPr>
          <w:rFonts w:ascii="Times New Roman" w:hAnsi="Times New Roman"/>
          <w:b/>
          <w:sz w:val="24"/>
        </w:rPr>
        <w:t>ABA #021000089</w:t>
      </w:r>
    </w:p>
    <w:p>
      <w:pPr>
        <w:pStyle w:val="Normal"/>
        <w:keepNext w:val="true"/>
        <w:keepLines/>
        <w:bidi w:val="0"/>
        <w:spacing w:lineRule="atLeast" w:line="0"/>
        <w:ind w:hanging="0" w:start="5040"/>
        <w:jc w:val="both"/>
        <w:rPr>
          <w:rFonts w:ascii="Times New Roman" w:hAnsi="Times New Roman"/>
          <w:b/>
          <w:sz w:val="24"/>
        </w:rPr>
      </w:pPr>
      <w:r>
        <w:rPr>
          <w:rFonts w:ascii="Times New Roman" w:hAnsi="Times New Roman"/>
          <w:b/>
          <w:sz w:val="24"/>
        </w:rPr>
        <w:t>A/C = 0076486] [Please confirm]</w:t>
      </w:r>
    </w:p>
    <w:p>
      <w:pPr>
        <w:pStyle w:val="Normal"/>
        <w:keepLines/>
        <w:bidi w:val="0"/>
        <w:spacing w:lineRule="atLeast" w:line="0"/>
        <w:jc w:val="both"/>
        <w:rPr>
          <w:rFonts w:ascii="Times New Roman" w:hAnsi="Times New Roman"/>
          <w:b/>
          <w:sz w:val="24"/>
        </w:rPr>
      </w:pPr>
      <w:r>
        <w:rPr>
          <w:rFonts w:ascii="Times New Roman" w:hAnsi="Times New Roman"/>
          <w:b/>
          <w:sz w:val="24"/>
        </w:rPr>
      </w:r>
    </w:p>
    <w:p>
      <w:pPr>
        <w:pStyle w:val="Normal"/>
        <w:keepNext w:val="true"/>
        <w:keepLines/>
        <w:bidi w:val="0"/>
        <w:spacing w:lineRule="atLeast" w:line="0"/>
        <w:ind w:hanging="0" w:start="720"/>
        <w:jc w:val="both"/>
        <w:rPr>
          <w:rFonts w:ascii="Times New Roman" w:hAnsi="Times New Roman"/>
          <w:sz w:val="24"/>
        </w:rPr>
      </w:pPr>
      <w:r>
        <w:rPr>
          <w:rFonts w:ascii="Times New Roman" w:hAnsi="Times New Roman"/>
          <w:sz w:val="24"/>
        </w:rPr>
        <w:t xml:space="preserve">Address for Delivery of Notes to </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4320" w:start="5040"/>
        <w:jc w:val="both"/>
        <w:rPr>
          <w:rFonts w:ascii="Times New Roman" w:hAnsi="Times New Roman"/>
          <w:sz w:val="24"/>
        </w:rPr>
      </w:pPr>
      <w:r>
        <w:rPr>
          <w:rFonts w:ascii="Times New Roman" w:hAnsi="Times New Roman"/>
          <w:sz w:val="24"/>
        </w:rPr>
        <w:t>Counterparty:</w:t>
        <w:tab/>
        <w:tab/>
        <w:tab/>
        <w:tab/>
        <w:tab/>
        <w:t>Enron Corp.</w:t>
      </w:r>
    </w:p>
    <w:p>
      <w:pPr>
        <w:pStyle w:val="Normal"/>
        <w:keepNext w:val="true"/>
        <w:keepLines/>
        <w:bidi w:val="0"/>
        <w:spacing w:lineRule="atLeast" w:line="0"/>
        <w:ind w:hanging="0" w:start="4320"/>
        <w:jc w:val="both"/>
        <w:rPr>
          <w:rFonts w:ascii="Times New Roman" w:hAnsi="Times New Roman"/>
          <w:sz w:val="24"/>
        </w:rPr>
      </w:pPr>
      <w:r>
        <w:rPr>
          <w:rFonts w:ascii="Times New Roman" w:hAnsi="Times New Roman"/>
          <w:sz w:val="24"/>
        </w:rPr>
        <w:tab/>
        <w:t>Attn: Scott Donaldson</w:t>
      </w:r>
    </w:p>
    <w:p>
      <w:pPr>
        <w:pStyle w:val="Normal"/>
        <w:keepNext w:val="true"/>
        <w:keepLines/>
        <w:bidi w:val="0"/>
        <w:spacing w:lineRule="atLeast" w:line="0"/>
        <w:ind w:hanging="0" w:start="5040"/>
        <w:jc w:val="both"/>
        <w:rPr>
          <w:rFonts w:ascii="Times New Roman" w:hAnsi="Times New Roman"/>
          <w:sz w:val="24"/>
        </w:rPr>
      </w:pPr>
      <w:r>
        <w:rPr>
          <w:rFonts w:ascii="Times New Roman" w:hAnsi="Times New Roman"/>
          <w:sz w:val="24"/>
        </w:rPr>
        <w:t>1400 Smith Street</w:t>
      </w:r>
    </w:p>
    <w:p>
      <w:pPr>
        <w:pStyle w:val="Normal"/>
        <w:keepNext w:val="true"/>
        <w:keepLines/>
        <w:bidi w:val="0"/>
        <w:spacing w:lineRule="atLeast" w:line="0"/>
        <w:ind w:hanging="0" w:start="5040"/>
        <w:jc w:val="both"/>
        <w:rPr>
          <w:rFonts w:ascii="Times New Roman" w:hAnsi="Times New Roman"/>
          <w:sz w:val="24"/>
        </w:rPr>
      </w:pPr>
      <w:r>
        <w:rPr>
          <w:rFonts w:ascii="Times New Roman" w:hAnsi="Times New Roman"/>
          <w:sz w:val="24"/>
        </w:rPr>
        <w:t>Houston, Texas 77002</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w:t>
        <w:tab/>
      </w:r>
      <w:r>
        <w:rPr>
          <w:rFonts w:ascii="Times New Roman" w:hAnsi="Times New Roman"/>
          <w:b/>
          <w:sz w:val="24"/>
          <w:u w:val="single"/>
        </w:rPr>
        <w:t>OTHER PROVISIONS</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3.1</w:t>
        <w:tab/>
      </w:r>
      <w:r>
        <w:rPr>
          <w:rFonts w:ascii="Times New Roman" w:hAnsi="Times New Roman"/>
          <w:sz w:val="24"/>
          <w:u w:val="single"/>
        </w:rPr>
        <w:t>Subrogation</w:t>
      </w:r>
      <w:r>
        <w:rPr>
          <w:rFonts w:ascii="Times New Roman" w:hAnsi="Times New Roman"/>
          <w:sz w:val="24"/>
        </w:rPr>
        <w:t xml:space="preserve">.    The Counterparty shall be subrogated to the rights of </w:t>
      </w:r>
      <w:r>
        <w:rPr>
          <w:rFonts w:ascii="Times New Roman" w:hAnsi="Times New Roman"/>
          <w:b/>
          <w:sz w:val="24"/>
        </w:rPr>
        <w:t>[Barclays]</w:t>
      </w:r>
      <w:r>
        <w:rPr>
          <w:rFonts w:ascii="Times New Roman" w:hAnsi="Times New Roman"/>
          <w:sz w:val="24"/>
        </w:rPr>
        <w:t xml:space="preserve">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 the Trust under this Transaction or otherwise, until all principal, interest, fees, costs and other amounts due to the Lenders under the Notes and the Facility Agreement have been indefeasibly paid in full.</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3.2</w:t>
        <w:tab/>
      </w:r>
      <w:r>
        <w:rPr>
          <w:rFonts w:ascii="Times New Roman" w:hAnsi="Times New Roman"/>
          <w:sz w:val="24"/>
          <w:u w:val="single"/>
        </w:rPr>
        <w:t>United States Federal Tax Characterization and Reporting</w:t>
      </w:r>
      <w:r>
        <w:rPr>
          <w:rFonts w:ascii="Times New Roman" w:hAnsi="Times New Roman"/>
          <w:sz w:val="24"/>
        </w:rPr>
        <w:t>.    The parties recognize and intend that, for United States federal income tax purposes, any payment by the Counterparty on the Floating Amount will be treated as a payment pursuant to    a guaranty by the Counterparty of the obligations of the Trust to make payments pursuant to Article 6 and Article 7 of the Facility Agreement. The parties agree that to the extent either of the parties is required to report any item of income, gain, loss, deduction or credit relating to the Transaction for United States federal income tax purposes, such party shall report such item consistent with the characterization set forth above and shall not take any position on any tax return or report relating to United States federal income taxes which is inconsistent with such characterization.    The parties recognize that the manner in which they have agreed to characterize the Transaction for United States federal income tax purposes may be inconsistent with the manner in which the Transaction is characterized for other tax purposes and for accounting, regulatory or other purposes.    The provisions of this Section 3.5 are not intended to affect the manner in which the parties report the Transaction for such other purposes, or the interpretation of the provisions of this Confirmation and the rights and obligations of the parties arising hereunder, for any purposes.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3.3</w:t>
        <w:tab/>
      </w:r>
      <w:r>
        <w:rPr>
          <w:rFonts w:ascii="Times New Roman" w:hAnsi="Times New Roman"/>
          <w:sz w:val="24"/>
          <w:u w:val="single"/>
        </w:rPr>
        <w:t>No Petition</w:t>
      </w:r>
      <w:r>
        <w:rPr>
          <w:rFonts w:ascii="Times New Roman" w:hAnsi="Times New Roman"/>
          <w:sz w:val="24"/>
        </w:rPr>
        <w:t>.    Prior to the date that is one year and one day after the Termination Date, the Counterparty shall not institute against, or join any other person in instituting against</w:t>
      </w:r>
      <w:r>
        <w:rPr>
          <w:rFonts w:ascii="Times New Roman" w:hAnsi="Times New Roman"/>
          <w:b/>
          <w:sz w:val="24"/>
        </w:rPr>
        <w:t xml:space="preserve"> </w:t>
      </w:r>
      <w:r>
        <w:rPr>
          <w:rFonts w:ascii="Times New Roman" w:hAnsi="Times New Roman"/>
          <w:sz w:val="24"/>
        </w:rPr>
        <w:t>the Trust    any bankruptcy, reorganization, arrangement, insolvency or liquidation proceedings, or other proceedings under any federal or state bankruptcy or similar law.</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4.</w:t>
        <w:tab/>
      </w:r>
      <w:r>
        <w:rPr>
          <w:rFonts w:ascii="Times New Roman" w:hAnsi="Times New Roman"/>
          <w:b/>
          <w:sz w:val="24"/>
          <w:u w:val="single"/>
        </w:rPr>
        <w:t>EARLY TERMINATION</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ind w:hanging="0" w:start="720"/>
        <w:jc w:val="both"/>
        <w:rPr>
          <w:rFonts w:ascii="Times New Roman" w:hAnsi="Times New Roman"/>
          <w:sz w:val="24"/>
        </w:rPr>
      </w:pPr>
      <w:r>
        <w:rPr>
          <w:rFonts w:ascii="Times New Roman" w:hAnsi="Times New Roman"/>
          <w:sz w:val="24"/>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[Remainder of page intentionally left blank]</w:t>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docGrid w:type="default" w:linePitch="600" w:charSpace="40960"/>
        </w:sectPr>
        <w:pStyle w:val="Normal"/>
        <w:bidi w:val="0"/>
        <w:spacing w:lineRule="atLeast" w:line="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docGrid w:type="default" w:linePitch="600" w:charSpace="40960"/>
        </w:sectPr>
      </w:pPr>
    </w:p>
    <w:p>
      <w:pPr>
        <w:pStyle w:val="Normal"/>
        <w:bidi w:val="0"/>
        <w:spacing w:lineRule="atLeast" w:line="0"/>
        <w:jc w:val="both"/>
        <w:rPr>
          <w:rFonts w:ascii="Times New Roman" w:hAnsi="Times New Roman"/>
          <w:sz w:val="24"/>
        </w:rPr>
      </w:pPr>
      <w:r>
        <w:rPr>
          <w:rFonts w:ascii="Times New Roman" w:hAnsi="Times New Roman"/>
          <w:sz w:val="24"/>
        </w:rPr>
        <w:tab/>
        <w:t>Please confirm your agreement to be bound by the terms of the foregoing by executing the copy of this Confirmation enclosed for that purpose and returning it to us.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Accepted and confirmed as of the date first above written: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b/>
          <w:sz w:val="24"/>
        </w:rPr>
        <w:t>BLACKBIRD 1 INTEREST OWNER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By:</w:t>
        <w:tab/>
        <w:t>Wilmington Trust Company,</w:t>
      </w:r>
    </w:p>
    <w:p>
      <w:pPr>
        <w:pStyle w:val="Normal"/>
        <w:bidi w:val="0"/>
        <w:spacing w:lineRule="atLeast" w:line="0"/>
        <w:ind w:hanging="0" w:start="720"/>
        <w:jc w:val="both"/>
        <w:rPr>
          <w:rFonts w:ascii="Times New Roman" w:hAnsi="Times New Roman"/>
          <w:sz w:val="24"/>
        </w:rPr>
      </w:pPr>
      <w:r>
        <w:rPr>
          <w:rFonts w:ascii="Times New Roman" w:hAnsi="Times New Roman"/>
          <w:sz w:val="24"/>
        </w:rPr>
        <w:t>not in its individual capacity,</w:t>
      </w:r>
    </w:p>
    <w:p>
      <w:pPr>
        <w:pStyle w:val="Normal"/>
        <w:bidi w:val="0"/>
        <w:spacing w:lineRule="atLeast" w:line="0"/>
        <w:ind w:hanging="0" w:start="720"/>
        <w:jc w:val="both"/>
        <w:rPr>
          <w:rFonts w:ascii="Times New Roman" w:hAnsi="Times New Roman"/>
          <w:sz w:val="24"/>
        </w:rPr>
      </w:pPr>
      <w:r>
        <w:rPr>
          <w:rFonts w:ascii="Times New Roman" w:hAnsi="Times New Roman"/>
          <w:sz w:val="24"/>
        </w:rPr>
        <w:t>but solely as Owner Trustee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extDirection w:val="lrTb"/>
          <w:docGrid w:type="default" w:linePitch="600" w:charSpace="40960"/>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b/>
          <w:sz w:val="24"/>
        </w:rPr>
      </w:pPr>
      <w:r>
        <w:rPr>
          <w:rFonts w:ascii="Times New Roman" w:hAnsi="Times New Roman"/>
          <w:b/>
          <w:sz w:val="24"/>
        </w:rPr>
        <w:t>ENRON CORP.</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sectPr>
      <w:type w:val="continuous"/>
      <w:pgSz w:w="12240" w:h="15840"/>
      <w:pgMar w:left="1440" w:right="1440" w:gutter="0" w:header="0" w:top="1440" w:footer="1344" w:bottom="1401"/>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DAL:221685.1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Blackbird/Swap Confirmation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Blackbird/Swap Confirmation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