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rPr>
      </w:pPr>
      <w:r>
        <w:rPr>
          <w:b/>
          <w:smallCaps/>
        </w:rPr>
      </w:r>
    </w:p>
    <w:p>
      <w:pPr>
        <w:pStyle w:val="Normal"/>
        <w:jc w:val="center"/>
        <w:rPr>
          <w:b/>
          <w:smallCaps/>
        </w:rPr>
      </w:pPr>
      <w:r>
        <w:rPr>
          <w:b/>
          <w:smallCaps/>
        </w:rPr>
      </w:r>
    </w:p>
    <w:p>
      <w:pPr>
        <w:pStyle w:val="Normal"/>
        <w:jc w:val="center"/>
        <w:rPr>
          <w:b/>
          <w:spacing w:val="40"/>
        </w:rPr>
      </w:pPr>
      <w:r>
        <w:rPr>
          <w:b/>
          <w:spacing w:val="40"/>
        </w:rPr>
        <w:t>MEMORANDUM</w:t>
      </w:r>
    </w:p>
    <w:p>
      <w:pPr>
        <w:pStyle w:val="Normal"/>
        <w:spacing w:lineRule="exact" w:line="109"/>
        <w:jc w:val="center"/>
        <w:rPr>
          <w:b/>
          <w:spacing w:val="40"/>
        </w:rPr>
      </w:pPr>
      <w:r>
        <w:rPr>
          <w:b/>
          <w:spacing w:val="40"/>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1098"/>
        <w:gridCol w:w="8478"/>
      </w:tblGrid>
      <w:tr>
        <w:trPr>
          <w:trHeight w:val="540" w:hRule="atLeast"/>
        </w:trPr>
        <w:tc>
          <w:tcPr>
            <w:tcW w:w="1098" w:type="dxa"/>
            <w:tcBorders/>
          </w:tcPr>
          <w:p>
            <w:pPr>
              <w:pStyle w:val="Normal"/>
              <w:rPr/>
            </w:pPr>
            <w:r>
              <w:rPr>
                <w:rFonts w:cs="Arial" w:ascii="Arial" w:hAnsi="Arial"/>
                <w:b/>
                <w:smallCaps/>
              </w:rPr>
              <w:t>Date</w:t>
            </w:r>
            <w:r>
              <w:rPr>
                <w:rFonts w:cs="Arial" w:ascii="Arial" w:hAnsi="Arial"/>
              </w:rPr>
              <w:t>:</w:t>
            </w:r>
          </w:p>
        </w:tc>
        <w:tc>
          <w:tcPr>
            <w:tcW w:w="8478" w:type="dxa"/>
            <w:tcBorders/>
          </w:tcPr>
          <w:p>
            <w:pPr>
              <w:pStyle w:val="Normal"/>
              <w:rPr/>
            </w:pPr>
            <w:r>
              <w:rPr/>
              <w:t>October 17, 2001</w:t>
            </w:r>
          </w:p>
        </w:tc>
      </w:tr>
      <w:tr>
        <w:trPr>
          <w:trHeight w:val="567" w:hRule="atLeast"/>
        </w:trPr>
        <w:tc>
          <w:tcPr>
            <w:tcW w:w="1098" w:type="dxa"/>
            <w:tcBorders/>
          </w:tcPr>
          <w:p>
            <w:pPr>
              <w:pStyle w:val="Normal"/>
              <w:rPr>
                <w:rFonts w:ascii="Arial" w:hAnsi="Arial" w:cs="Arial"/>
                <w:b/>
                <w:smallCaps/>
              </w:rPr>
            </w:pPr>
            <w:r>
              <w:rPr>
                <w:rFonts w:cs="Arial" w:ascii="Arial" w:hAnsi="Arial"/>
                <w:b/>
                <w:smallCaps/>
              </w:rPr>
              <w:t>To:</w:t>
            </w:r>
          </w:p>
        </w:tc>
        <w:tc>
          <w:tcPr>
            <w:tcW w:w="8478" w:type="dxa"/>
            <w:tcBorders/>
          </w:tcPr>
          <w:p>
            <w:pPr>
              <w:pStyle w:val="Normal"/>
              <w:rPr/>
            </w:pPr>
            <w:r>
              <w:rPr/>
              <w:t>Employees</w:t>
            </w:r>
          </w:p>
        </w:tc>
      </w:tr>
      <w:tr>
        <w:trPr>
          <w:trHeight w:val="540" w:hRule="atLeast"/>
        </w:trPr>
        <w:tc>
          <w:tcPr>
            <w:tcW w:w="1098" w:type="dxa"/>
            <w:tcBorders/>
          </w:tcPr>
          <w:p>
            <w:pPr>
              <w:pStyle w:val="Normal"/>
              <w:rPr>
                <w:rFonts w:ascii="Arial" w:hAnsi="Arial" w:cs="Arial"/>
                <w:b/>
                <w:smallCaps/>
              </w:rPr>
            </w:pPr>
            <w:r>
              <w:rPr>
                <w:rFonts w:cs="Arial" w:ascii="Arial" w:hAnsi="Arial"/>
                <w:b/>
                <w:smallCaps/>
              </w:rPr>
              <w:t>From:</w:t>
            </w:r>
          </w:p>
        </w:tc>
        <w:tc>
          <w:tcPr>
            <w:tcW w:w="8478" w:type="dxa"/>
            <w:tcBorders/>
          </w:tcPr>
          <w:p>
            <w:pPr>
              <w:pStyle w:val="Normal"/>
              <w:rPr/>
            </w:pPr>
            <w:r>
              <w:rPr/>
              <w:t>Company</w:t>
            </w:r>
          </w:p>
        </w:tc>
      </w:tr>
      <w:tr>
        <w:trPr>
          <w:trHeight w:val="405" w:hRule="atLeast"/>
        </w:trPr>
        <w:tc>
          <w:tcPr>
            <w:tcW w:w="1098" w:type="dxa"/>
            <w:tcBorders/>
          </w:tcPr>
          <w:p>
            <w:pPr>
              <w:pStyle w:val="Normal"/>
              <w:rPr>
                <w:rFonts w:ascii="Arial" w:hAnsi="Arial" w:cs="Arial"/>
                <w:b/>
                <w:smallCaps/>
              </w:rPr>
            </w:pPr>
            <w:r>
              <w:rPr>
                <w:rFonts w:cs="Arial" w:ascii="Arial" w:hAnsi="Arial"/>
                <w:b/>
                <w:smallCaps/>
              </w:rPr>
              <w:t>Re:</w:t>
            </w:r>
          </w:p>
        </w:tc>
        <w:tc>
          <w:tcPr>
            <w:tcW w:w="8478" w:type="dxa"/>
            <w:tcBorders/>
          </w:tcPr>
          <w:p>
            <w:pPr>
              <w:pStyle w:val="Normal"/>
              <w:rPr/>
            </w:pPr>
            <w:r>
              <w:rPr/>
              <w:t>Information Concerning Anthrax</w:t>
            </w:r>
          </w:p>
        </w:tc>
      </w:tr>
      <w:tr>
        <w:trPr>
          <w:trHeight w:val="90" w:hRule="atLeast"/>
        </w:trPr>
        <w:tc>
          <w:tcPr>
            <w:tcW w:w="9576" w:type="dxa"/>
            <w:gridSpan w:val="2"/>
            <w:tcBorders/>
          </w:tcPr>
          <w:p>
            <w:pPr>
              <w:pStyle w:val="Normal"/>
              <w:tabs>
                <w:tab w:val="clear" w:pos="720"/>
                <w:tab w:val="right" w:pos="9360" w:leader="none"/>
              </w:tabs>
              <w:rPr>
                <w:u w:val="single"/>
              </w:rPr>
            </w:pPr>
            <w:r>
              <w:rPr>
                <w:u w:val="single"/>
              </w:rPr>
              <w:tab/>
            </w:r>
          </w:p>
        </w:tc>
      </w:tr>
      <w:tr>
        <w:trPr>
          <w:trHeight w:val="90" w:hRule="atLeast"/>
        </w:trPr>
        <w:tc>
          <w:tcPr>
            <w:tcW w:w="9576" w:type="dxa"/>
            <w:gridSpan w:val="2"/>
            <w:tcBorders/>
          </w:tcPr>
          <w:p>
            <w:pPr>
              <w:pStyle w:val="Normal"/>
              <w:tabs>
                <w:tab w:val="clear" w:pos="720"/>
                <w:tab w:val="right" w:pos="9360" w:leader="none"/>
              </w:tabs>
              <w:snapToGrid w:val="false"/>
              <w:rPr>
                <w:u w:val="single"/>
              </w:rPr>
            </w:pPr>
            <w:r>
              <w:rPr>
                <w:u w:val="single"/>
              </w:rPr>
            </w:r>
          </w:p>
        </w:tc>
      </w:tr>
    </w:tbl>
    <w:p>
      <w:pPr>
        <w:pStyle w:val="Normal"/>
        <w:rPr/>
      </w:pPr>
      <w:r>
        <w:rPr/>
      </w:r>
    </w:p>
    <w:p>
      <w:pPr>
        <w:pStyle w:val="BodyText"/>
        <w:rPr>
          <w:rFonts w:ascii="Times New Roman" w:hAnsi="Times New Roman" w:cs="Times New Roman"/>
          <w:sz w:val="24"/>
        </w:rPr>
      </w:pPr>
      <w:r>
        <w:rPr>
          <w:rFonts w:cs="Times New Roman" w:ascii="Times New Roman" w:hAnsi="Times New Roman"/>
          <w:sz w:val="24"/>
        </w:rPr>
      </w:r>
    </w:p>
    <w:p>
      <w:pPr>
        <w:pStyle w:val="BodyText"/>
        <w:jc w:val="both"/>
        <w:rPr/>
      </w:pPr>
      <w:r>
        <w:rPr>
          <w:rFonts w:cs="Times New Roman" w:ascii="Times New Roman" w:hAnsi="Times New Roman"/>
          <w:sz w:val="24"/>
        </w:rPr>
        <w:tab/>
        <w:t>All of us have paid close attention to the recent media coverage or heard about developments since the September 11</w:t>
      </w:r>
      <w:r>
        <w:rPr>
          <w:rFonts w:cs="Times New Roman" w:ascii="Times New Roman" w:hAnsi="Times New Roman"/>
          <w:sz w:val="24"/>
          <w:vertAlign w:val="superscript"/>
        </w:rPr>
        <w:t>th</w:t>
      </w:r>
      <w:r>
        <w:rPr>
          <w:rFonts w:cs="Times New Roman" w:ascii="Times New Roman" w:hAnsi="Times New Roman"/>
          <w:sz w:val="24"/>
        </w:rPr>
        <w:t xml:space="preserve"> tragedies in New York and Washington, D.C.  As you probably know, there have been numerous reports of "bio-terrorism" involving Anthrax being sent through the mail.  Most of these reports have turned out to be hoaxes; however, there have been a number of confirmed cases in various locations throughout the United States.  The fact that high-profile people in our media and government have been targets of these terrorist acts suggests that the people responsible for these acts are targeting individuals in a way that will likely result in maximum media attention and public reaction.  While we believe the risk of chemical/biological agents entering our workplace is remote, we have taken steps to reduce the risk of our employees being exposed to such materials, including the following:</w:t>
      </w:r>
    </w:p>
    <w:p>
      <w:pPr>
        <w:pStyle w:val="BodyText"/>
        <w:jc w:val="both"/>
        <w:rPr>
          <w:rFonts w:ascii="Times New Roman" w:hAnsi="Times New Roman" w:cs="Times New Roman"/>
          <w:sz w:val="24"/>
        </w:rPr>
      </w:pPr>
      <w:r>
        <w:rPr>
          <w:rFonts w:cs="Times New Roman" w:ascii="Times New Roman" w:hAnsi="Times New Roman"/>
          <w:sz w:val="24"/>
        </w:rPr>
      </w:r>
    </w:p>
    <w:p>
      <w:pPr>
        <w:pStyle w:val="BodyText"/>
        <w:numPr>
          <w:ilvl w:val="0"/>
          <w:numId w:val="2"/>
        </w:numPr>
        <w:ind w:hanging="288" w:start="1008" w:end="0"/>
        <w:jc w:val="both"/>
        <w:rPr>
          <w:rFonts w:ascii="Times New Roman" w:hAnsi="Times New Roman" w:cs="Times New Roman"/>
          <w:sz w:val="24"/>
        </w:rPr>
      </w:pPr>
      <w:r>
        <w:rPr>
          <w:rFonts w:cs="Times New Roman" w:ascii="Times New Roman" w:hAnsi="Times New Roman"/>
          <w:sz w:val="24"/>
          <w:u w:val="single"/>
        </w:rPr>
        <w:t xml:space="preserve"> </w:t>
      </w:r>
      <w:r>
        <w:rPr>
          <w:rFonts w:cs="Times New Roman" w:ascii="Times New Roman" w:hAnsi="Times New Roman"/>
          <w:sz w:val="24"/>
          <w:u w:val="single"/>
        </w:rPr>
        <w:tab/>
        <w:tab/>
        <w:tab/>
        <w:tab/>
        <w:tab/>
      </w:r>
    </w:p>
    <w:p>
      <w:pPr>
        <w:pStyle w:val="BodyText"/>
        <w:jc w:val="both"/>
        <w:rPr>
          <w:rFonts w:ascii="Times New Roman" w:hAnsi="Times New Roman" w:cs="Times New Roman"/>
          <w:sz w:val="24"/>
        </w:rPr>
      </w:pPr>
      <w:r>
        <w:rPr>
          <w:rFonts w:cs="Times New Roman" w:ascii="Times New Roman" w:hAnsi="Times New Roman"/>
          <w:sz w:val="24"/>
        </w:rPr>
      </w:r>
    </w:p>
    <w:p>
      <w:pPr>
        <w:pStyle w:val="BodyText"/>
        <w:numPr>
          <w:ilvl w:val="0"/>
          <w:numId w:val="2"/>
        </w:numPr>
        <w:ind w:hanging="288" w:start="1008"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u w:val="single"/>
        </w:rPr>
        <w:tab/>
        <w:tab/>
        <w:tab/>
        <w:tab/>
        <w:tab/>
      </w:r>
    </w:p>
    <w:p>
      <w:pPr>
        <w:pStyle w:val="BodyText"/>
        <w:tabs>
          <w:tab w:val="clear" w:pos="1080"/>
        </w:tabs>
        <w:ind w:start="720" w:end="0"/>
        <w:jc w:val="both"/>
        <w:rPr>
          <w:rFonts w:ascii="Times New Roman" w:hAnsi="Times New Roman" w:cs="Times New Roman"/>
          <w:sz w:val="24"/>
        </w:rPr>
      </w:pPr>
      <w:r>
        <w:rPr>
          <w:rFonts w:cs="Times New Roman" w:ascii="Times New Roman" w:hAnsi="Times New Roman"/>
          <w:sz w:val="24"/>
        </w:rPr>
      </w:r>
    </w:p>
    <w:p>
      <w:pPr>
        <w:pStyle w:val="BodyText"/>
        <w:numPr>
          <w:ilvl w:val="0"/>
          <w:numId w:val="2"/>
        </w:numPr>
        <w:ind w:hanging="288" w:start="1008"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u w:val="single"/>
        </w:rPr>
        <w:tab/>
        <w:tab/>
        <w:tab/>
        <w:tab/>
        <w:tab/>
      </w:r>
    </w:p>
    <w:p>
      <w:pPr>
        <w:pStyle w:val="BodyText"/>
        <w:tabs>
          <w:tab w:val="clear" w:pos="1080"/>
        </w:tabs>
        <w:ind w:start="720" w:end="0"/>
        <w:jc w:val="both"/>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jc w:val="both"/>
        <w:rPr>
          <w:rFonts w:ascii="Times New Roman" w:hAnsi="Times New Roman" w:cs="Times New Roman"/>
          <w:sz w:val="24"/>
        </w:rPr>
      </w:pPr>
      <w:r>
        <w:rPr>
          <w:rFonts w:cs="Times New Roman" w:ascii="Times New Roman" w:hAnsi="Times New Roman"/>
          <w:sz w:val="24"/>
        </w:rPr>
        <w:tab/>
        <w:t>Many company employees have expressed concern regarding what they should do if they believe they have been exposed to toxic materials.  The attached Q&amp;A sheet, which is based on information available from the Centers for Disease Control and Prevention, is intended to provide such guidance.  Should you have any additional questions about this serious issue, please do not hesitate to contact ____________ at (___) ___-____.</w:t>
      </w:r>
      <w:r>
        <w:br w:type="page"/>
      </w:r>
    </w:p>
    <w:p>
      <w:pPr>
        <w:pStyle w:val="BodyText"/>
        <w:jc w:val="both"/>
        <w:rPr>
          <w:rFonts w:ascii="Times New Roman" w:hAnsi="Times New Roman" w:cs="Times New Roman"/>
          <w:sz w:val="24"/>
        </w:rPr>
      </w:pPr>
      <w:r>
        <w:rPr>
          <w:rFonts w:cs="Times New Roman" w:ascii="Times New Roman" w:hAnsi="Times New Roman"/>
          <w:sz w:val="24"/>
        </w:rPr>
      </w:r>
    </w:p>
    <w:p>
      <w:pPr>
        <w:pStyle w:val="Heading"/>
        <w:rPr/>
      </w:pPr>
      <w:r>
        <w:rPr/>
        <w:t>HANDLING SUSPICIOUS MAIL</w:t>
      </w:r>
    </w:p>
    <w:p>
      <w:pPr>
        <w:pStyle w:val="Header"/>
        <w:rPr/>
      </w:pPr>
      <w:r>
        <w:rPr/>
      </w:r>
    </w:p>
    <w:p>
      <w:pPr>
        <w:pStyle w:val="Normal"/>
        <w:rPr/>
      </w:pPr>
      <w:r>
        <w:rPr/>
      </w:r>
    </w:p>
    <w:p>
      <w:pPr>
        <w:pStyle w:val="Normal"/>
        <w:rPr/>
      </w:pPr>
      <w:r>
        <w:rPr>
          <w:b/>
          <w:i/>
        </w:rPr>
        <w:t>How likely is it that someone would receive a harmful biological chemical substance in the mail?</w:t>
      </w:r>
      <w:r>
        <w:rPr>
          <w:b/>
        </w:rPr>
        <w:t xml:space="preserve">  </w:t>
      </w:r>
    </w:p>
    <w:p>
      <w:pPr>
        <w:pStyle w:val="Normal"/>
        <w:rPr>
          <w:b/>
        </w:rPr>
      </w:pPr>
      <w:r>
        <w:rPr>
          <w:b/>
        </w:rPr>
      </w:r>
    </w:p>
    <w:p>
      <w:pPr>
        <w:pStyle w:val="Normal"/>
        <w:jc w:val="both"/>
        <w:rPr/>
      </w:pPr>
      <w:r>
        <w:rPr/>
        <w:t xml:space="preserve">The Postal Service delivers approximately 208 billion pieces of mail per year. </w:t>
      </w:r>
      <w:r>
        <w:rPr>
          <w:lang w:eastAsia="en-US"/>
        </w:rPr>
        <w:t>The Postal Service reports that during FY 1999 and FY 2000, there were approximately 178 Anthrax threats received at courthouses, reproductive heath service providers, churches, schools, and post offices.  During FY 2001, there have been only approximately 60 threats or hoaxes which included Anthrax, Hoof and Mouth disease, the Klingerman Virus hoax and others.</w:t>
      </w:r>
    </w:p>
    <w:p>
      <w:pPr>
        <w:pStyle w:val="Normal"/>
        <w:rPr>
          <w:i/>
          <w:i/>
          <w:lang w:eastAsia="en-US"/>
        </w:rPr>
      </w:pPr>
      <w:r>
        <w:rPr>
          <w:i/>
          <w:lang w:eastAsia="en-US"/>
        </w:rPr>
      </w:r>
    </w:p>
    <w:p>
      <w:pPr>
        <w:pStyle w:val="Normal"/>
        <w:rPr>
          <w:b/>
        </w:rPr>
      </w:pPr>
      <w:r>
        <w:rPr>
          <w:b/>
          <w:i/>
        </w:rPr>
        <w:t>What constitutes a “suspicious parcel”?</w:t>
      </w:r>
    </w:p>
    <w:p>
      <w:pPr>
        <w:pStyle w:val="Normal"/>
        <w:rPr>
          <w:b/>
        </w:rPr>
      </w:pPr>
      <w:r>
        <w:rPr>
          <w:b/>
        </w:rPr>
      </w:r>
    </w:p>
    <w:p>
      <w:pPr>
        <w:pStyle w:val="Normal"/>
        <w:rPr/>
      </w:pPr>
      <w:r>
        <w:rPr/>
        <w:t>Some typical characteristics postal inspections have identified are:</w:t>
      </w:r>
    </w:p>
    <w:p>
      <w:pPr>
        <w:pStyle w:val="Normal"/>
        <w:rPr/>
      </w:pPr>
      <w:r>
        <w:rPr/>
      </w:r>
    </w:p>
    <w:p>
      <w:pPr>
        <w:pStyle w:val="Normal"/>
        <w:numPr>
          <w:ilvl w:val="0"/>
          <w:numId w:val="5"/>
        </w:numPr>
        <w:rPr/>
      </w:pPr>
      <w:r>
        <w:rPr/>
        <w:t>Parcels that are unexpected or from someone unfamiliar to you</w:t>
      </w:r>
    </w:p>
    <w:p>
      <w:pPr>
        <w:pStyle w:val="Normal"/>
        <w:numPr>
          <w:ilvl w:val="0"/>
          <w:numId w:val="5"/>
        </w:numPr>
        <w:rPr/>
      </w:pPr>
      <w:r>
        <w:rPr/>
        <w:t>Packages addressed to someone no longer with the company or otherwise outdated</w:t>
      </w:r>
    </w:p>
    <w:p>
      <w:pPr>
        <w:pStyle w:val="Normal"/>
        <w:numPr>
          <w:ilvl w:val="0"/>
          <w:numId w:val="5"/>
        </w:numPr>
        <w:rPr/>
      </w:pPr>
      <w:r>
        <w:rPr/>
        <w:t>Items with no return address, or that have one that can’t be verified as legitimate</w:t>
      </w:r>
    </w:p>
    <w:p>
      <w:pPr>
        <w:pStyle w:val="Normal"/>
        <w:numPr>
          <w:ilvl w:val="0"/>
          <w:numId w:val="5"/>
        </w:numPr>
        <w:rPr/>
      </w:pPr>
      <w:r>
        <w:rPr/>
        <w:t>Packages of unusual weight given their size, or that are lopsided or oddly shaped</w:t>
      </w:r>
    </w:p>
    <w:p>
      <w:pPr>
        <w:pStyle w:val="Normal"/>
        <w:numPr>
          <w:ilvl w:val="0"/>
          <w:numId w:val="5"/>
        </w:numPr>
        <w:rPr/>
      </w:pPr>
      <w:r>
        <w:rPr/>
        <w:t>Parcels marked with restrictive endorsements, such as “personal” or “confidential”</w:t>
      </w:r>
    </w:p>
    <w:p>
      <w:pPr>
        <w:pStyle w:val="Normal"/>
        <w:numPr>
          <w:ilvl w:val="0"/>
          <w:numId w:val="5"/>
        </w:numPr>
        <w:rPr/>
      </w:pPr>
      <w:r>
        <w:rPr/>
        <w:t>Envelopes or boxes with protruding wires, strange odors or stains</w:t>
      </w:r>
    </w:p>
    <w:p>
      <w:pPr>
        <w:pStyle w:val="Normal"/>
        <w:numPr>
          <w:ilvl w:val="0"/>
          <w:numId w:val="5"/>
        </w:numPr>
        <w:rPr/>
      </w:pPr>
      <w:r>
        <w:rPr/>
        <w:t>Mail with a city or state in the postmark that doesn’t match the return address.</w:t>
      </w:r>
    </w:p>
    <w:p>
      <w:pPr>
        <w:pStyle w:val="Normal"/>
        <w:rPr/>
      </w:pPr>
      <w:r>
        <w:rPr/>
      </w:r>
    </w:p>
    <w:p>
      <w:pPr>
        <w:pStyle w:val="Normal"/>
        <w:rPr>
          <w:b/>
        </w:rPr>
      </w:pPr>
      <w:r>
        <w:rPr>
          <w:b/>
          <w:i/>
        </w:rPr>
        <w:t>What should I do if I receive a suspicious package?</w:t>
      </w:r>
    </w:p>
    <w:p>
      <w:pPr>
        <w:pStyle w:val="Normal"/>
        <w:rPr>
          <w:b/>
        </w:rPr>
      </w:pPr>
      <w:r>
        <w:rPr>
          <w:b/>
        </w:rPr>
      </w:r>
    </w:p>
    <w:p>
      <w:pPr>
        <w:pStyle w:val="Normal"/>
        <w:spacing w:before="100" w:after="100"/>
        <w:rPr>
          <w:lang w:eastAsia="en-US"/>
        </w:rPr>
      </w:pPr>
      <w:r>
        <w:rPr>
          <w:lang w:eastAsia="en-US"/>
        </w:rPr>
        <w:t xml:space="preserve">1. </w:t>
        <w:tab/>
        <w:t>Do not shake or empty the contents of any suspicious envelope or package.</w:t>
      </w:r>
    </w:p>
    <w:p>
      <w:pPr>
        <w:pStyle w:val="Normal"/>
        <w:spacing w:before="100" w:after="100"/>
        <w:ind w:hanging="720" w:start="720" w:end="0"/>
        <w:rPr>
          <w:lang w:eastAsia="en-US"/>
        </w:rPr>
      </w:pPr>
      <w:r>
        <w:rPr>
          <w:lang w:eastAsia="en-US"/>
        </w:rPr>
        <w:t xml:space="preserve">2. </w:t>
        <w:tab/>
        <w:t>PLACE the envelope or package in a plastic bag or some other type of container to prevent leakage of contents.</w:t>
      </w:r>
    </w:p>
    <w:p>
      <w:pPr>
        <w:pStyle w:val="Normal"/>
        <w:spacing w:before="100" w:after="100"/>
        <w:ind w:hanging="720" w:start="720" w:end="0"/>
        <w:rPr>
          <w:lang w:eastAsia="en-US"/>
        </w:rPr>
      </w:pPr>
      <w:r>
        <w:rPr>
          <w:lang w:eastAsia="en-US"/>
        </w:rPr>
        <w:t xml:space="preserve">3. </w:t>
        <w:tab/>
        <w:t>If you do not have a container, COVER the envelope or package with anything (e.g., clothing, paper, trash can, etc.) and do not remove this cover.</w:t>
      </w:r>
    </w:p>
    <w:p>
      <w:pPr>
        <w:pStyle w:val="Normal"/>
        <w:spacing w:before="100" w:after="100"/>
        <w:ind w:hanging="720" w:start="720" w:end="0"/>
        <w:rPr>
          <w:lang w:eastAsia="en-US"/>
        </w:rPr>
      </w:pPr>
      <w:r>
        <w:rPr>
          <w:lang w:eastAsia="en-US"/>
        </w:rPr>
        <w:t xml:space="preserve">4. </w:t>
        <w:tab/>
        <w:t>LEAVE the room and CLOSE the door, or section off the area to prevent others from entering (i.e., keep others away).</w:t>
      </w:r>
    </w:p>
    <w:p>
      <w:pPr>
        <w:pStyle w:val="Normal"/>
        <w:spacing w:before="100" w:after="100"/>
        <w:rPr/>
      </w:pPr>
      <w:r>
        <w:rPr>
          <w:lang w:eastAsia="en-US"/>
        </w:rPr>
        <w:t xml:space="preserve">5. </w:t>
        <w:tab/>
        <w:t xml:space="preserve">WASH your hands with </w:t>
      </w:r>
      <w:r>
        <w:rPr>
          <w:b/>
          <w:lang w:eastAsia="en-US"/>
        </w:rPr>
        <w:t xml:space="preserve">soap and water </w:t>
      </w:r>
      <w:r>
        <w:rPr>
          <w:lang w:eastAsia="en-US"/>
        </w:rPr>
        <w:t>to prevent spreading any powder to your face.</w:t>
      </w:r>
    </w:p>
    <w:p>
      <w:pPr>
        <w:pStyle w:val="Normal"/>
        <w:spacing w:before="100" w:after="100"/>
        <w:rPr>
          <w:lang w:eastAsia="en-US"/>
        </w:rPr>
      </w:pPr>
      <w:r>
        <w:rPr>
          <w:lang w:eastAsia="en-US"/>
        </w:rPr>
        <w:t xml:space="preserve">6. </w:t>
        <w:tab/>
        <w:t>What to do next…</w:t>
      </w:r>
    </w:p>
    <w:p>
      <w:pPr>
        <w:pStyle w:val="Normal"/>
        <w:numPr>
          <w:ilvl w:val="0"/>
          <w:numId w:val="4"/>
        </w:numPr>
        <w:tabs>
          <w:tab w:val="clear" w:pos="720"/>
          <w:tab w:val="left" w:pos="1080" w:leader="none"/>
        </w:tabs>
        <w:spacing w:before="100" w:after="100"/>
        <w:ind w:hanging="360" w:start="1080" w:end="0"/>
        <w:rPr>
          <w:lang w:eastAsia="en-US"/>
        </w:rPr>
      </w:pPr>
      <w:r>
        <w:rPr>
          <w:lang w:eastAsia="en-US"/>
        </w:rPr>
        <w:t xml:space="preserve">If you are at </w:t>
      </w:r>
      <w:r>
        <w:rPr>
          <w:b/>
          <w:lang w:eastAsia="en-US"/>
        </w:rPr>
        <w:t>HOME</w:t>
      </w:r>
      <w:r>
        <w:rPr>
          <w:lang w:eastAsia="en-US"/>
        </w:rPr>
        <w:t>, then report the incident to local police.</w:t>
      </w:r>
    </w:p>
    <w:p>
      <w:pPr>
        <w:pStyle w:val="Normal"/>
        <w:numPr>
          <w:ilvl w:val="0"/>
          <w:numId w:val="6"/>
        </w:numPr>
        <w:tabs>
          <w:tab w:val="clear" w:pos="720"/>
          <w:tab w:val="left" w:pos="1080" w:leader="none"/>
        </w:tabs>
        <w:spacing w:before="100" w:after="100"/>
        <w:ind w:hanging="360" w:start="1080" w:end="0"/>
        <w:rPr>
          <w:lang w:eastAsia="en-US"/>
        </w:rPr>
      </w:pPr>
      <w:r>
        <w:rPr>
          <w:lang w:eastAsia="en-US"/>
        </w:rPr>
        <w:t xml:space="preserve">If you are at </w:t>
      </w:r>
      <w:r>
        <w:rPr>
          <w:b/>
          <w:lang w:eastAsia="en-US"/>
        </w:rPr>
        <w:t>WORK</w:t>
      </w:r>
      <w:r>
        <w:rPr>
          <w:lang w:eastAsia="en-US"/>
        </w:rPr>
        <w:t>, notify _______ and the first available supervisor.  They will respond and notify the proper authorities.</w:t>
      </w:r>
    </w:p>
    <w:p>
      <w:pPr>
        <w:pStyle w:val="Normal"/>
        <w:spacing w:before="100" w:after="100"/>
        <w:ind w:hanging="720" w:start="720" w:end="0"/>
        <w:rPr>
          <w:b/>
          <w:i/>
          <w:i/>
          <w:lang w:eastAsia="en-US"/>
        </w:rPr>
      </w:pPr>
      <w:r>
        <w:rPr>
          <w:lang w:eastAsia="en-US"/>
        </w:rPr>
        <w:t xml:space="preserve">7. </w:t>
        <w:tab/>
        <w:t>Make a written list of all people who were in the room or area when this suspicious letter or package was recognized.</w:t>
      </w:r>
    </w:p>
    <w:p>
      <w:pPr>
        <w:pStyle w:val="Normal"/>
        <w:spacing w:before="100" w:after="100"/>
        <w:rPr>
          <w:i/>
          <w:i/>
          <w:lang w:eastAsia="en-US"/>
        </w:rPr>
      </w:pPr>
      <w:r>
        <w:rPr>
          <w:b/>
          <w:i/>
          <w:lang w:eastAsia="en-US"/>
        </w:rPr>
        <w:t>What if I receive an envelope with containing powder the powder spills out onto a work surface?</w:t>
      </w:r>
    </w:p>
    <w:p>
      <w:pPr>
        <w:pStyle w:val="Normal"/>
        <w:spacing w:before="100" w:after="100"/>
        <w:ind w:hanging="720" w:start="720" w:end="0"/>
        <w:rPr>
          <w:lang w:eastAsia="en-US"/>
        </w:rPr>
      </w:pPr>
      <w:r>
        <w:rPr>
          <w:lang w:eastAsia="en-US"/>
        </w:rPr>
        <w:t xml:space="preserve">1. </w:t>
        <w:tab/>
        <w:t>DO NOT try to CLEAN UP the powder. COVER the spilled contents immediately with anything (e.g., clothing, paper, trash can, etc.) and do not remove this cover!</w:t>
      </w:r>
    </w:p>
    <w:p>
      <w:pPr>
        <w:pStyle w:val="Normal"/>
        <w:spacing w:before="100" w:after="100"/>
        <w:ind w:hanging="720" w:start="720" w:end="0"/>
        <w:rPr>
          <w:lang w:eastAsia="en-US"/>
        </w:rPr>
      </w:pPr>
      <w:r>
        <w:rPr>
          <w:lang w:eastAsia="en-US"/>
        </w:rPr>
        <w:t xml:space="preserve">2. </w:t>
        <w:tab/>
        <w:t>LEAVE the room and CLOSE the door, or section off the area to prevent others from entering (i.e., keep others away).</w:t>
      </w:r>
    </w:p>
    <w:p>
      <w:pPr>
        <w:pStyle w:val="Normal"/>
        <w:spacing w:before="100" w:after="100"/>
        <w:rPr/>
      </w:pPr>
      <w:r>
        <w:rPr>
          <w:lang w:eastAsia="en-US"/>
        </w:rPr>
        <w:t xml:space="preserve">3. </w:t>
        <w:tab/>
        <w:t xml:space="preserve">WASH your hands with </w:t>
      </w:r>
      <w:r>
        <w:rPr>
          <w:b/>
          <w:lang w:eastAsia="en-US"/>
        </w:rPr>
        <w:t xml:space="preserve">soap and water </w:t>
      </w:r>
      <w:r>
        <w:rPr>
          <w:lang w:eastAsia="en-US"/>
        </w:rPr>
        <w:t>to prevent spreading any powder to your face.</w:t>
      </w:r>
    </w:p>
    <w:p>
      <w:pPr>
        <w:pStyle w:val="Normal"/>
        <w:spacing w:before="100" w:after="100"/>
        <w:rPr>
          <w:lang w:eastAsia="en-US"/>
        </w:rPr>
      </w:pPr>
      <w:r>
        <w:rPr>
          <w:lang w:eastAsia="en-US"/>
        </w:rPr>
        <w:t xml:space="preserve">4. </w:t>
        <w:tab/>
        <w:t>What to do next…</w:t>
      </w:r>
    </w:p>
    <w:p>
      <w:pPr>
        <w:pStyle w:val="Normal"/>
        <w:numPr>
          <w:ilvl w:val="0"/>
          <w:numId w:val="3"/>
        </w:numPr>
        <w:tabs>
          <w:tab w:val="clear" w:pos="720"/>
          <w:tab w:val="left" w:pos="1080" w:leader="none"/>
        </w:tabs>
        <w:spacing w:before="100" w:after="100"/>
        <w:ind w:hanging="360" w:start="1080" w:end="0"/>
        <w:rPr>
          <w:lang w:eastAsia="en-US"/>
        </w:rPr>
      </w:pPr>
      <w:r>
        <w:rPr>
          <w:lang w:eastAsia="en-US"/>
        </w:rPr>
        <w:t xml:space="preserve">If you are at </w:t>
      </w:r>
      <w:r>
        <w:rPr>
          <w:b/>
          <w:lang w:eastAsia="en-US"/>
        </w:rPr>
        <w:t>HOME</w:t>
      </w:r>
      <w:r>
        <w:rPr>
          <w:lang w:eastAsia="en-US"/>
        </w:rPr>
        <w:t>, then report the incident to local police.</w:t>
      </w:r>
    </w:p>
    <w:p>
      <w:pPr>
        <w:pStyle w:val="Normal"/>
        <w:numPr>
          <w:ilvl w:val="0"/>
          <w:numId w:val="7"/>
        </w:numPr>
        <w:tabs>
          <w:tab w:val="clear" w:pos="720"/>
          <w:tab w:val="left" w:pos="1080" w:leader="none"/>
        </w:tabs>
        <w:spacing w:before="100" w:after="100"/>
        <w:ind w:hanging="360" w:start="1080" w:end="0"/>
        <w:rPr>
          <w:lang w:eastAsia="en-US"/>
        </w:rPr>
      </w:pPr>
      <w:r>
        <w:rPr>
          <w:lang w:eastAsia="en-US"/>
        </w:rPr>
        <w:t xml:space="preserve">If you are at </w:t>
      </w:r>
      <w:r>
        <w:rPr>
          <w:b/>
          <w:lang w:eastAsia="en-US"/>
        </w:rPr>
        <w:t>WORK</w:t>
      </w:r>
      <w:r>
        <w:rPr>
          <w:lang w:eastAsia="en-US"/>
        </w:rPr>
        <w:t>, notify _______and the first available supervisor.  They will respond and notify the proper authorities.</w:t>
      </w:r>
    </w:p>
    <w:p>
      <w:pPr>
        <w:pStyle w:val="Normal"/>
        <w:spacing w:before="100" w:after="100"/>
        <w:ind w:hanging="720" w:start="720" w:end="0"/>
        <w:rPr>
          <w:lang w:eastAsia="en-US"/>
        </w:rPr>
      </w:pPr>
      <w:r>
        <w:rPr>
          <w:lang w:eastAsia="en-US"/>
        </w:rPr>
        <w:t xml:space="preserve">5. </w:t>
        <w:tab/>
        <w:t>REMOVE heavily contaminated clothing as soon as possible and place in a plastic bag, or some other container that can be sealed. This clothing bag should be given to the emergency responders for proper handling.</w:t>
      </w:r>
    </w:p>
    <w:p>
      <w:pPr>
        <w:pStyle w:val="Normal"/>
        <w:spacing w:before="100" w:after="100"/>
        <w:ind w:hanging="720" w:start="720" w:end="0"/>
        <w:rPr/>
      </w:pPr>
      <w:r>
        <w:rPr>
          <w:lang w:eastAsia="en-US"/>
        </w:rPr>
        <w:t xml:space="preserve">6. </w:t>
        <w:tab/>
        <w:t xml:space="preserve">SHOWER with </w:t>
      </w:r>
      <w:r>
        <w:rPr>
          <w:b/>
          <w:lang w:eastAsia="en-US"/>
        </w:rPr>
        <w:t xml:space="preserve">soap and water </w:t>
      </w:r>
      <w:r>
        <w:rPr>
          <w:lang w:eastAsia="en-US"/>
        </w:rPr>
        <w:t xml:space="preserve">as soon as possible. </w:t>
      </w:r>
      <w:r>
        <w:rPr>
          <w:i/>
          <w:lang w:eastAsia="en-US"/>
        </w:rPr>
        <w:t>Do not use bleach or other disinfectant on your skin</w:t>
      </w:r>
      <w:r>
        <w:rPr>
          <w:lang w:eastAsia="en-US"/>
        </w:rPr>
        <w:t>.</w:t>
      </w:r>
    </w:p>
    <w:p>
      <w:pPr>
        <w:pStyle w:val="Normal"/>
        <w:spacing w:before="100" w:after="100"/>
        <w:ind w:hanging="720" w:start="720" w:end="0"/>
        <w:rPr>
          <w:lang w:eastAsia="en-US"/>
        </w:rPr>
      </w:pPr>
      <w:r>
        <w:rPr>
          <w:lang w:eastAsia="en-US"/>
        </w:rPr>
        <w:t xml:space="preserve">7. </w:t>
        <w:tab/>
        <w:t xml:space="preserve">If possible, make a written list of all people who were in the room or area, especially those who had actual contact with the powder. Give this list to the local public health authorities and to law enforcement officials so that proper instructions can be given for medical follow-up and the event can be properly investigated. </w:t>
      </w:r>
    </w:p>
    <w:p>
      <w:pPr>
        <w:pStyle w:val="Normal"/>
        <w:rPr>
          <w:lang w:eastAsia="en-US"/>
        </w:rPr>
      </w:pPr>
      <w:r>
        <w:rPr>
          <w:lang w:eastAsia="en-US"/>
        </w:rPr>
      </w:r>
    </w:p>
    <w:p>
      <w:pPr>
        <w:pStyle w:val="Normal"/>
        <w:rPr/>
      </w:pPr>
      <w:r>
        <w:rPr/>
        <w:t>Any questions or concerns about this information should be directed to _________________.</w:t>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6"/>
      </w:rPr>
      <w:t xml:space="preserve">  </w:t>
    </w:r>
  </w:p>
  <w:p>
    <w:pPr>
      <w:pStyle w:val="Footer"/>
      <w:rPr>
        <w:sz w:val="18"/>
      </w:rPr>
    </w:pPr>
    <w:r>
      <w:rPr>
        <w:sz w:val="18"/>
      </w:rPr>
      <w:softHyphen/>
      <w:t>95129v1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sz w:val="16"/>
      </w:rPr>
    </w:pPr>
    <w:r>
      <w:rPr>
        <w:sz w:val="16"/>
      </w:rPr>
      <w:t xml:space="preserve">  </w:t>
    </w:r>
  </w:p>
  <w:p>
    <w:pPr>
      <w:pStyle w:val="Footer"/>
      <w:rPr>
        <w:sz w:val="18"/>
      </w:rPr>
    </w:pPr>
    <w:r>
      <w:rPr>
        <w:sz w:val="18"/>
      </w:rPr>
      <w:softHyphen/>
      <w:t>95129v1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360" w:hanging="288"/>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jc w:val="center"/>
      <w:outlineLvl w:val="0"/>
    </w:pPr>
    <w:rPr/>
  </w:style>
  <w:style w:type="paragraph" w:styleId="Heading2">
    <w:name w:val="heading 2"/>
    <w:basedOn w:val="Normal"/>
    <w:next w:val="Normal"/>
    <w:qFormat/>
    <w:pPr>
      <w:keepNext w:val="true"/>
      <w:numPr>
        <w:ilvl w:val="1"/>
        <w:numId w:val="1"/>
      </w:numPr>
      <w:spacing w:before="0" w:after="240"/>
      <w:outlineLvl w:val="1"/>
    </w:pPr>
    <w:rPr/>
  </w:style>
  <w:style w:type="paragraph" w:styleId="Heading3">
    <w:name w:val="heading 3"/>
    <w:basedOn w:val="Normal"/>
    <w:next w:val="Normal"/>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outlineLvl w:val="4"/>
    </w:pPr>
    <w:rPr/>
  </w:style>
  <w:style w:type="paragraph" w:styleId="Heading6">
    <w:name w:val="heading 6"/>
    <w:basedOn w:val="Normal"/>
    <w:next w:val="Normal"/>
    <w:qFormat/>
    <w:pPr>
      <w:numPr>
        <w:ilvl w:val="5"/>
        <w:numId w:val="1"/>
      </w:numPr>
      <w:spacing w:before="0" w:after="240"/>
      <w:outlineLvl w:val="5"/>
    </w:pPr>
    <w:rPr/>
  </w:style>
  <w:style w:type="paragraph" w:styleId="Heading7">
    <w:name w:val="heading 7"/>
    <w:basedOn w:val="Normal"/>
    <w:next w:val="Normal"/>
    <w:qFormat/>
    <w:pPr>
      <w:numPr>
        <w:ilvl w:val="6"/>
        <w:numId w:val="1"/>
      </w:numPr>
      <w:spacing w:before="0" w:after="240"/>
      <w:outlineLvl w:val="6"/>
    </w:pPr>
    <w:rPr/>
  </w:style>
  <w:style w:type="paragraph" w:styleId="Heading8">
    <w:name w:val="heading 8"/>
    <w:basedOn w:val="Normal"/>
    <w:next w:val="Normal"/>
    <w:qFormat/>
    <w:pPr>
      <w:numPr>
        <w:ilvl w:val="7"/>
        <w:numId w:val="1"/>
      </w:numPr>
      <w:spacing w:before="0" w:after="240"/>
      <w:outlineLvl w:val="7"/>
    </w:pPr>
    <w:rPr/>
  </w:style>
  <w:style w:type="paragraph" w:styleId="Heading9">
    <w:name w:val="heading 9"/>
    <w:basedOn w:val="Normal"/>
    <w:next w:val="Normal"/>
    <w:qFormat/>
    <w:pPr>
      <w:numPr>
        <w:ilvl w:val="8"/>
        <w:numId w:val="1"/>
      </w:numPr>
      <w:spacing w:before="0" w:after="240"/>
      <w:outlineLvl w:val="8"/>
    </w:pPr>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widowControl w:val="false"/>
      <w:tabs>
        <w:tab w:val="clear" w:pos="720"/>
        <w:tab w:val="left" w:pos="1080" w:leader="none"/>
      </w:tabs>
    </w:pPr>
    <w:rPr>
      <w:rFonts w:ascii="Arial" w:hAnsi="Arial" w:cs="Arial"/>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2001-10-17T16:04:00Z</dcterms:created>
  <dc:creator>Baker &amp; McKenzie</dc:creator>
  <dc:description/>
  <dc:language>en-CA</dc:language>
  <cp:lastModifiedBy>Baker &amp; McKenzie</cp:lastModifiedBy>
  <cp:lastPrinted>2001-10-17T16:17:00Z</cp:lastPrinted>
  <dcterms:modified xsi:type="dcterms:W3CDTF">2001-10-18T12:15:00Z</dcterms:modified>
  <cp:revision>8</cp:revision>
  <dc:subject/>
  <dc:title>BAKER &amp; MCKENZIE</dc:title>
</cp:coreProperties>
</file>