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w:t>
      </w:r>
      <w:ins w:id="0" w:author="">
        <w:r>
          <w:rPr>
            <w:rFonts w:ascii="Times New Roman" w:hAnsi="Times New Roman"/>
            <w:strike/>
            <w:sz w:val="24"/>
          </w:rPr>
          <w:t>North America</w:t>
        </w:r>
      </w:ins>
      <w:r>
        <w:rPr>
          <w:rFonts w:ascii="Times New Roman" w:hAnsi="Times New Roman"/>
          <w:sz w:val="24"/>
        </w:rPr>
        <w:t xml:space="preserve">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G</w:t>
        <w:noBreakHyphen/>
        <w:t>Future Interest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both"/>
        <w:rPr>
          <w:rFonts w:ascii="Times New Roman" w:hAnsi="Times New Roman"/>
          <w:sz w:val="24"/>
        </w:rPr>
      </w:pPr>
      <w:r>
        <w:rPr>
          <w:rFonts w:ascii="Times New Roman" w:hAnsi="Times New Roman"/>
          <w:sz w:val="24"/>
        </w:rPr>
        <w:tab/>
        <w:t>Section 5(a)(vi) (Cross Default)</w:t>
        <w:tab/>
        <w:tab/>
        <w:tab/>
        <w:tab/>
        <w:t>:</w:t>
        <w:tab/>
      </w:r>
      <w:ins w:id="1" w:author="">
        <w:r>
          <w:rPr>
            <w:rFonts w:ascii="Times New Roman" w:hAnsi="Times New Roman"/>
            <w:strike/>
            <w:sz w:val="24"/>
          </w:rPr>
          <w:t>Principal Subsidiaries which term as used herein shall have the meaning ascribed to it in the Credit Agreement.</w:t>
        </w:r>
      </w:ins>
      <w:r>
        <w:rPr>
          <w:rFonts w:ascii="Times New Roman" w:hAnsi="Times New Roman"/>
          <w:sz w:val="24"/>
        </w:rPr>
        <w:t xml:space="preserve"> </w:t>
      </w:r>
      <w:ins w:id="2" w:author="">
        <w:r>
          <w:rPr>
            <w:rFonts w:ascii="Times New Roman" w:hAnsi="Times New Roman"/>
            <w:b/>
            <w:sz w:val="24"/>
            <w:u w:val="double"/>
          </w:rPr>
          <w:t>Not Applicable</w:t>
        </w:r>
      </w:ins>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r>
      <w:ins w:id="3" w:author="">
        <w:r>
          <w:rPr>
            <w:rFonts w:ascii="Times New Roman" w:hAnsi="Times New Roman"/>
            <w:strike/>
            <w:sz w:val="24"/>
          </w:rPr>
          <w:t>Principal Subsidiaries</w:t>
        </w:r>
      </w:ins>
      <w:r>
        <w:rPr>
          <w:rFonts w:ascii="Times New Roman" w:hAnsi="Times New Roman"/>
          <w:sz w:val="24"/>
        </w:rPr>
        <w:t xml:space="preserve"> </w:t>
      </w:r>
      <w:ins w:id="4" w:author="">
        <w:r>
          <w:rPr>
            <w:rFonts w:ascii="Times New Roman" w:hAnsi="Times New Roman"/>
            <w:b/>
            <w:sz w:val="24"/>
            <w:u w:val="double"/>
          </w:rPr>
          <w:t>Not Applicable</w:t>
        </w:r>
      </w:ins>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trike/>
          <w:sz w:val="24"/>
          <w:ins w:id="6" w:author=""/>
        </w:rPr>
      </w:pPr>
      <w:r>
        <w:rPr>
          <w:rFonts w:ascii="Times New Roman" w:hAnsi="Times New Roman"/>
          <w:sz w:val="24"/>
        </w:rPr>
        <w:t xml:space="preserve">(b) </w:t>
        <w:tab/>
      </w:r>
      <w:ins w:id="5" w:author="">
        <w:r>
          <w:rPr>
            <w:rFonts w:ascii="Times New Roman" w:hAnsi="Times New Roman"/>
            <w:strike/>
            <w:sz w:val="24"/>
          </w:rPr>
          <w:t>“Specified Transaction” will have the meaning specified in Section 14 of this Agreement.</w:t>
        </w:r>
      </w:ins>
    </w:p>
    <w:p>
      <w:pPr>
        <w:pStyle w:val="Normal"/>
        <w:bidi w:val="0"/>
        <w:spacing w:lineRule="atLeast" w:line="360"/>
        <w:jc w:val="both"/>
        <w:rPr>
          <w:rFonts w:ascii="Times New Roman" w:hAnsi="Times New Roman"/>
          <w:strike/>
          <w:sz w:val="24"/>
          <w:ins w:id="8" w:author=""/>
        </w:rPr>
      </w:pPr>
      <w:ins w:id="7" w:author="">
        <w:r>
          <w:rPr>
            <w:rFonts w:ascii="Times New Roman" w:hAnsi="Times New Roman"/>
            <w:strike/>
            <w:sz w:val="24"/>
          </w:rPr>
        </w:r>
      </w:ins>
    </w:p>
    <w:p>
      <w:pPr>
        <w:pStyle w:val="Normal"/>
        <w:bidi w:val="0"/>
        <w:spacing w:lineRule="atLeast" w:line="360"/>
        <w:jc w:val="both"/>
        <w:rPr>
          <w:rFonts w:ascii="Times New Roman" w:hAnsi="Times New Roman"/>
          <w:strike/>
          <w:sz w:val="24"/>
          <w:ins w:id="10" w:author=""/>
        </w:rPr>
      </w:pPr>
      <w:ins w:id="9" w:author="">
        <w:r>
          <w:rPr>
            <w:rFonts w:ascii="Times New Roman" w:hAnsi="Times New Roman"/>
            <w:strike/>
            <w:sz w:val="24"/>
          </w:rPr>
          <w:t>(c) The “Cross Default” provisions of Section 5(a)(vi) will apply only to Party A.</w:t>
        </w:r>
      </w:ins>
    </w:p>
    <w:p>
      <w:pPr>
        <w:pStyle w:val="Normal"/>
        <w:bidi w:val="0"/>
        <w:spacing w:lineRule="atLeast" w:line="360"/>
        <w:jc w:val="both"/>
        <w:rPr>
          <w:rFonts w:ascii="Times New Roman" w:hAnsi="Times New Roman"/>
          <w:strike/>
          <w:sz w:val="24"/>
          <w:ins w:id="12" w:author=""/>
        </w:rPr>
      </w:pPr>
      <w:ins w:id="11" w:author="">
        <w:r>
          <w:rPr>
            <w:rFonts w:ascii="Times New Roman" w:hAnsi="Times New Roman"/>
            <w:strike/>
            <w:sz w:val="24"/>
          </w:rPr>
        </w:r>
      </w:ins>
    </w:p>
    <w:p>
      <w:pPr>
        <w:pStyle w:val="Normal"/>
        <w:bidi w:val="0"/>
        <w:spacing w:lineRule="atLeast" w:line="360"/>
        <w:jc w:val="both"/>
        <w:rPr>
          <w:rFonts w:ascii="Times New Roman" w:hAnsi="Times New Roman"/>
          <w:strike/>
          <w:sz w:val="24"/>
          <w:ins w:id="14" w:author=""/>
        </w:rPr>
      </w:pPr>
      <w:ins w:id="13" w:author="">
        <w:r>
          <w:rPr>
            <w:rFonts w:ascii="Times New Roman" w:hAnsi="Times New Roman"/>
            <w:strike/>
            <w:sz w:val="24"/>
          </w:rPr>
          <w:t>(d) “Specified Indebtedness” will have the meaning specified in Section 14 of this Agreement.</w:t>
        </w:r>
      </w:ins>
    </w:p>
    <w:p>
      <w:pPr>
        <w:pStyle w:val="Normal"/>
        <w:bidi w:val="0"/>
        <w:spacing w:lineRule="atLeast" w:line="360"/>
        <w:jc w:val="both"/>
        <w:rPr>
          <w:rFonts w:ascii="Times New Roman" w:hAnsi="Times New Roman"/>
          <w:strike/>
          <w:sz w:val="24"/>
          <w:ins w:id="16" w:author=""/>
        </w:rPr>
      </w:pPr>
      <w:ins w:id="15" w:author="">
        <w:r>
          <w:rPr>
            <w:rFonts w:ascii="Times New Roman" w:hAnsi="Times New Roman"/>
            <w:strike/>
            <w:sz w:val="24"/>
          </w:rPr>
        </w:r>
      </w:ins>
    </w:p>
    <w:p>
      <w:pPr>
        <w:pStyle w:val="Normal"/>
        <w:bidi w:val="0"/>
        <w:spacing w:lineRule="atLeast" w:line="360"/>
        <w:jc w:val="both"/>
        <w:rPr>
          <w:rFonts w:ascii="Times New Roman" w:hAnsi="Times New Roman"/>
          <w:strike/>
          <w:sz w:val="24"/>
          <w:ins w:id="18" w:author=""/>
        </w:rPr>
      </w:pPr>
      <w:ins w:id="17" w:author="">
        <w:r>
          <w:rPr>
            <w:rFonts w:ascii="Times New Roman" w:hAnsi="Times New Roman"/>
            <w:strike/>
            <w:sz w:val="24"/>
          </w:rPr>
          <w:t>(e) “Threshold Amount” means, with respect to Party A, US$ 50,000,000, or its equivalent in any currency.</w:t>
        </w:r>
      </w:ins>
    </w:p>
    <w:p>
      <w:pPr>
        <w:pStyle w:val="Normal"/>
        <w:bidi w:val="0"/>
        <w:spacing w:lineRule="atLeast" w:line="360"/>
        <w:jc w:val="both"/>
        <w:rPr>
          <w:rFonts w:ascii="Times New Roman" w:hAnsi="Times New Roman"/>
          <w:strike/>
          <w:sz w:val="24"/>
          <w:ins w:id="20" w:author=""/>
        </w:rPr>
      </w:pPr>
      <w:ins w:id="19" w:author="">
        <w:r>
          <w:rPr>
            <w:rFonts w:ascii="Times New Roman" w:hAnsi="Times New Roman"/>
            <w:strike/>
            <w:sz w:val="24"/>
          </w:rPr>
        </w:r>
      </w:ins>
    </w:p>
    <w:p>
      <w:pPr>
        <w:pStyle w:val="Normal"/>
        <w:bidi w:val="0"/>
        <w:spacing w:lineRule="atLeast" w:line="360"/>
        <w:jc w:val="both"/>
        <w:rPr>
          <w:rFonts w:ascii="Times New Roman" w:hAnsi="Times New Roman"/>
          <w:sz w:val="24"/>
        </w:rPr>
      </w:pPr>
      <w:ins w:id="21" w:author="">
        <w:r>
          <w:rPr>
            <w:rFonts w:ascii="Times New Roman" w:hAnsi="Times New Roman"/>
            <w:strike/>
            <w:sz w:val="24"/>
          </w:rPr>
          <w:t>(f)</w:t>
        </w:r>
      </w:ins>
      <w:r>
        <w:rPr>
          <w:rFonts w:ascii="Times New Roman" w:hAnsi="Times New Roman"/>
          <w:sz w:val="24"/>
        </w:rPr>
        <w:t xml:space="preserve"> 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 </w:t>
      </w:r>
      <w:ins w:id="22" w:author="">
        <w:r>
          <w:rPr>
            <w:rFonts w:ascii="Times New Roman" w:hAnsi="Times New Roman"/>
            <w:strike/>
            <w:sz w:val="24"/>
          </w:rPr>
          <w:t>and Party A's Credit Support Provider</w:t>
        </w:r>
      </w:ins>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itself, but not in the case of any Specified Entity </w:t>
      </w:r>
      <w:ins w:id="23" w:author="">
        <w:r>
          <w:rPr>
            <w:rFonts w:ascii="Times New Roman" w:hAnsi="Times New Roman"/>
            <w:strike/>
            <w:sz w:val="24"/>
          </w:rPr>
          <w:t>or Party A’s Credit Support Provider</w:t>
        </w:r>
      </w:ins>
      <w:r>
        <w:rPr>
          <w:rFonts w:ascii="Times New Roman" w:hAnsi="Times New Roman"/>
          <w:sz w:val="24"/>
        </w:rPr>
        <w:t>. 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The Second Method (Full Two</w:t>
        <w:noBreakHyphen/>
        <w:t xml:space="preserve">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w:t>
      </w:r>
      <w:ins w:id="24" w:author="">
        <w:r>
          <w:rPr>
            <w:rFonts w:ascii="Times New Roman" w:hAnsi="Times New Roman"/>
            <w:b/>
            <w:sz w:val="24"/>
            <w:u w:val="double"/>
          </w:rPr>
          <w:t>material</w:t>
        </w:r>
      </w:ins>
      <w:r>
        <w:rPr>
          <w:rFonts w:ascii="Times New Roman" w:hAnsi="Times New Roman"/>
          <w:sz w:val="24"/>
        </w:rPr>
        <w:t xml:space="preserve"> breach (which, in the case of a breach capable of remedy,    remain unremedied 30 days after written notice of such breach is given to Party A </w:t>
      </w:r>
      <w:ins w:id="25" w:author="">
        <w:r>
          <w:rPr>
            <w:rFonts w:ascii="Times New Roman" w:hAnsi="Times New Roman"/>
            <w:strike/>
            <w:sz w:val="24"/>
          </w:rPr>
          <w:t>or to Party A’s Credit Support Provider</w:t>
        </w:r>
      </w:ins>
      <w:r>
        <w:rPr>
          <w:rFonts w:ascii="Times New Roman" w:hAnsi="Times New Roman"/>
          <w:sz w:val="24"/>
        </w:rPr>
        <w:t xml:space="preserve"> by Party B) by Party </w:t>
      </w:r>
      <w:ins w:id="26" w:author="">
        <w:r>
          <w:rPr>
            <w:rFonts w:ascii="Times New Roman" w:hAnsi="Times New Roman"/>
            <w:strike/>
            <w:sz w:val="24"/>
          </w:rPr>
          <w:t>A’s Credit Support Provider</w:t>
        </w:r>
      </w:ins>
      <w:r>
        <w:rPr>
          <w:rFonts w:ascii="Times New Roman" w:hAnsi="Times New Roman"/>
          <w:sz w:val="24"/>
        </w:rPr>
        <w:t xml:space="preserve"> </w:t>
      </w:r>
      <w:ins w:id="27" w:author="">
        <w:r>
          <w:rPr>
            <w:rFonts w:ascii="Times New Roman" w:hAnsi="Times New Roman"/>
            <w:b/>
            <w:sz w:val="24"/>
            <w:u w:val="double"/>
          </w:rPr>
          <w:t>A</w:t>
        </w:r>
      </w:ins>
      <w:r>
        <w:rPr>
          <w:rFonts w:ascii="Times New Roman" w:hAnsi="Times New Roman"/>
          <w:sz w:val="24"/>
        </w:rPr>
        <w:t xml:space="preserve">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trike/>
          <w:sz w:val="24"/>
        </w:rPr>
      </w:pPr>
      <w:r>
        <w:rPr>
          <w:rFonts w:ascii="Times New Roman" w:hAnsi="Times New Roman"/>
          <w:sz w:val="24"/>
        </w:rPr>
        <w:tab/>
        <w:tab/>
        <w:tab/>
        <w:tab/>
        <w:t xml:space="preserve">(ii) any of the representations or warranties </w:t>
      </w:r>
      <w:ins w:id="28" w:author="">
        <w:r>
          <w:rPr>
            <w:rFonts w:ascii="Times New Roman" w:hAnsi="Times New Roman"/>
            <w:strike/>
            <w:sz w:val="24"/>
          </w:rPr>
          <w:t xml:space="preserve">in any material respect </w:t>
        </w:r>
      </w:ins>
    </w:p>
    <w:p>
      <w:pPr>
        <w:pStyle w:val="Normal"/>
        <w:bidi w:val="0"/>
        <w:spacing w:lineRule="atLeast" w:line="360"/>
        <w:jc w:val="both"/>
        <w:rPr>
          <w:rFonts w:ascii="Times New Roman" w:hAnsi="Times New Roman"/>
          <w:sz w:val="24"/>
        </w:rPr>
      </w:pPr>
      <w:r>
        <w:rPr>
          <w:rFonts w:ascii="Times New Roman" w:hAnsi="Times New Roman"/>
          <w:sz w:val="24"/>
        </w:rPr>
        <w:t xml:space="preserve">set out or incorporated by reference in </w:t>
      </w:r>
      <w:ins w:id="29" w:author="">
        <w:r>
          <w:rPr>
            <w:rFonts w:ascii="Times New Roman" w:hAnsi="Times New Roman"/>
            <w:strike/>
            <w:sz w:val="24"/>
          </w:rPr>
          <w:t>that certain guaranty dated the date hereof, (the “Guaranty”) executed by Party A’s Credit Support Provider in favor of Party B</w:t>
        </w:r>
      </w:ins>
      <w:r>
        <w:rPr>
          <w:rFonts w:ascii="Times New Roman" w:hAnsi="Times New Roman"/>
          <w:sz w:val="24"/>
        </w:rPr>
        <w:t xml:space="preserve"> </w:t>
      </w:r>
      <w:ins w:id="30" w:author="">
        <w:r>
          <w:rPr>
            <w:rFonts w:ascii="Times New Roman" w:hAnsi="Times New Roman"/>
            <w:b/>
            <w:sz w:val="24"/>
            <w:u w:val="double"/>
          </w:rPr>
          <w:t>paragraph (b) (2) of this Schedule</w:t>
        </w:r>
      </w:ins>
      <w:r>
        <w:rPr>
          <w:rFonts w:ascii="Times New Roman" w:hAnsi="Times New Roman"/>
          <w:sz w:val="24"/>
        </w:rPr>
        <w: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(b)      the occurrence with respect to Party </w:t>
      </w:r>
      <w:ins w:id="31" w:author="">
        <w:r>
          <w:rPr>
            <w:rFonts w:ascii="Times New Roman" w:hAnsi="Times New Roman"/>
            <w:strike/>
            <w:sz w:val="24"/>
          </w:rPr>
          <w:t>A’s Credit Support Provider</w:t>
        </w:r>
      </w:ins>
      <w:r>
        <w:rPr>
          <w:rFonts w:ascii="Times New Roman" w:hAnsi="Times New Roman"/>
          <w:sz w:val="24"/>
        </w:rPr>
        <w:t xml:space="preserve"> </w:t>
      </w:r>
      <w:ins w:id="32" w:author="">
        <w:r>
          <w:rPr>
            <w:rFonts w:ascii="Times New Roman" w:hAnsi="Times New Roman"/>
            <w:b/>
            <w:sz w:val="24"/>
            <w:u w:val="double"/>
          </w:rPr>
          <w:t>A</w:t>
        </w:r>
      </w:ins>
      <w:r>
        <w:rPr>
          <w:rFonts w:ascii="Times New Roman" w:hAnsi="Times New Roman"/>
          <w:sz w:val="24"/>
        </w:rPr>
        <w:t xml:space="preserve">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(h)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(c)</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w:t>
      </w:r>
      <w:ins w:id="33" w:author="">
        <w:r>
          <w:rPr>
            <w:rFonts w:ascii="Times New Roman" w:hAnsi="Times New Roman"/>
            <w:strike/>
            <w:sz w:val="24"/>
          </w:rPr>
          <w:t>(A) if after such action or event such resulting, surviving, or transferee entity (which entity is the successor</w:t>
          <w:noBreakHyphen/>
          <w:t>in</w:t>
          <w:noBreakHyphen/>
          <w:t>interest to such party) is directly or indirectly owned or controlled by such party’s Credit Support Provider, or (B)</w:t>
        </w:r>
      </w:ins>
      <w:r>
        <w:rPr>
          <w:rFonts w:ascii="Times New Roman" w:hAnsi="Times New Roman"/>
          <w:sz w:val="24"/>
        </w:rPr>
        <w:t xml:space="preserve"> if, in the case of a merger or consolidation of Enron Corp. with or into any Person, (1) Enron Corp. is the survivor, or (2) the surviving Person, if not Enron Corp., is organized under the laws of the United States or a state thereof and assumes all obligations of Enron Corp. </w:t>
      </w:r>
      <w:ins w:id="34" w:author="">
        <w:r>
          <w:rPr>
            <w:rFonts w:ascii="Times New Roman" w:hAnsi="Times New Roman"/>
            <w:strike/>
            <w:sz w:val="24"/>
          </w:rPr>
          <w:t>under the Guaranty Agreement executed by Enron Corp. in connection herewith</w:t>
        </w:r>
      </w:ins>
      <w:r>
        <w:rPr>
          <w:rFonts w:ascii="Times New Roman" w:hAnsi="Times New Roman"/>
          <w:sz w:val="24"/>
        </w:rPr>
        <w:t xml:space="preserve"> </w:t>
      </w:r>
      <w:ins w:id="35" w:author="">
        <w:r>
          <w:rPr>
            <w:rFonts w:ascii="Times New Roman" w:hAnsi="Times New Roman"/>
            <w:b/>
            <w:sz w:val="24"/>
            <w:u w:val="double"/>
          </w:rPr>
          <w:t>hereunder</w:t>
        </w:r>
      </w:ins>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5(d)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t>The provisions of Section 5(a)(iv), (v), (vi) and (vii) will not apply to Party </w:t>
      </w:r>
      <w:ins w:id="36" w:author="">
        <w:r>
          <w:rPr>
            <w:rFonts w:ascii="Times New Roman" w:hAnsi="Times New Roman"/>
            <w:strike/>
            <w:sz w:val="24"/>
          </w:rPr>
          <w:t>A’s Credit Support Provider</w:t>
        </w:r>
      </w:ins>
      <w:r>
        <w:rPr>
          <w:rFonts w:ascii="Times New Roman" w:hAnsi="Times New Roman"/>
          <w:sz w:val="24"/>
        </w:rPr>
        <w:t xml:space="preserve"> </w:t>
      </w:r>
      <w:ins w:id="37" w:author="">
        <w:r>
          <w:rPr>
            <w:rFonts w:ascii="Times New Roman" w:hAnsi="Times New Roman"/>
            <w:b/>
            <w:sz w:val="24"/>
            <w:u w:val="double"/>
          </w:rPr>
          <w:t>A</w:t>
        </w:r>
      </w:ins>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Delaware.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IRS Forms 1001 or 4224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rFonts w:ascii="Times New Roman" w:hAnsi="Times New Roman"/>
                <w:strike/>
                <w:sz w:val="24"/>
                <w:ins w:id="39" w:author=""/>
              </w:rPr>
            </w:pPr>
            <w:r>
              <w:rPr>
                <w:rFonts w:ascii="Times New Roman" w:hAnsi="Times New Roman"/>
                <w:sz w:val="24"/>
              </w:rPr>
              <w:t xml:space="preserve">Party A </w:t>
            </w:r>
            <w:ins w:id="38" w:author="">
              <w:r>
                <w:rPr>
                  <w:rFonts w:ascii="Times New Roman" w:hAnsi="Times New Roman"/>
                  <w:strike/>
                  <w:sz w:val="24"/>
                </w:rPr>
                <w:t>Guaranty of Party A’s Credit Support Provider substantially in the form attached as Exhibit B Execution of Agreement Yes Party A Annual report of Party A’s Credit Support Provider which it sends to its public security holders containing consolidated financial statements for the relevant year certified by independent certified public accountants As soon as available and in any event within 135 days after the end of each fiscal year of such party Yes Party A Report on Form 10</w:t>
                <w:noBreakHyphen/>
                <w:t>Q</w:t>
              </w:r>
            </w:ins>
          </w:p>
          <w:p>
            <w:pPr>
              <w:pStyle w:val="Normal"/>
              <w:tabs>
                <w:tab w:val="clear" w:pos="720"/>
              </w:tabs>
              <w:bidi w:val="0"/>
              <w:jc w:val="both"/>
              <w:rPr>
                <w:rFonts w:ascii="Times New Roman" w:hAnsi="Times New Roman"/>
                <w:strike/>
                <w:sz w:val="24"/>
                <w:ins w:id="41" w:author=""/>
              </w:rPr>
            </w:pPr>
            <w:ins w:id="40" w:author="">
              <w:r>
                <w:rPr>
                  <w:rFonts w:ascii="Times New Roman" w:hAnsi="Times New Roman"/>
                  <w:strike/>
                  <w:sz w:val="24"/>
                </w:rPr>
                <w:t>ß(or any comparable form) of Party A’s Credit Support Provider which Report will include such Credit Support Provider’s quarterly unaudited consolidated financial statements As soon as available and in any event within 75 days after the end of the first three fiscal quarters</w:t>
              </w:r>
            </w:ins>
          </w:p>
          <w:p>
            <w:pPr>
              <w:pStyle w:val="Normal"/>
              <w:tabs>
                <w:tab w:val="clear" w:pos="720"/>
              </w:tabs>
              <w:bidi w:val="0"/>
              <w:jc w:val="both"/>
              <w:rPr>
                <w:rFonts w:ascii="Times New Roman" w:hAnsi="Times New Roman"/>
                <w:strike/>
                <w:sz w:val="24"/>
                <w:ins w:id="43" w:author=""/>
              </w:rPr>
            </w:pPr>
            <w:ins w:id="42" w:author="">
              <w:r>
                <w:rPr>
                  <w:rFonts w:ascii="Times New Roman" w:hAnsi="Times New Roman"/>
                  <w:strike/>
                  <w:sz w:val="24"/>
                </w:rPr>
                <w:t>ßof such party</w:t>
              </w:r>
            </w:ins>
          </w:p>
          <w:p>
            <w:pPr>
              <w:pStyle w:val="Normal"/>
              <w:tabs>
                <w:tab w:val="clear" w:pos="720"/>
              </w:tabs>
              <w:bidi w:val="0"/>
              <w:jc w:val="both"/>
              <w:rPr/>
            </w:pPr>
            <w:ins w:id="44" w:author="">
              <w:r>
                <w:rPr>
                  <w:rFonts w:ascii="Times New Roman" w:hAnsi="Times New Roman"/>
                  <w:strike/>
                  <w:sz w:val="24"/>
                </w:rPr>
                <w:t>ß Yes Party A Report on Form 8</w:t>
                <w:noBreakHyphen/>
                <w:t>K (or any comparable form) of Party A’s Credit Support Provider As soon as available Yes Party A</w:t>
              </w:r>
            </w:ins>
            <w:r>
              <w:rPr>
                <w:rFonts w:ascii="Times New Roman" w:hAnsi="Times New Roman"/>
                <w:sz w:val="24"/>
              </w:rPr>
              <w:t xml:space="preserve">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trike/>
          <w:sz w:val="24"/>
          <w:ins w:id="46" w:author=""/>
        </w:rPr>
      </w:pPr>
      <w:r>
        <w:rPr>
          <w:rFonts w:ascii="Times New Roman" w:hAnsi="Times New Roman"/>
          <w:sz w:val="24"/>
        </w:rPr>
        <w:tab/>
      </w:r>
      <w:ins w:id="45" w:author="">
        <w:r>
          <w:rPr>
            <w:rFonts w:ascii="Times New Roman" w:hAnsi="Times New Roman"/>
            <w:strike/>
            <w:sz w:val="24"/>
          </w:rPr>
          <w:t>Address : Enron North America Corp.</w:t>
        </w:r>
      </w:ins>
    </w:p>
    <w:p>
      <w:pPr>
        <w:pStyle w:val="Normal"/>
        <w:bidi w:val="0"/>
        <w:spacing w:lineRule="atLeast" w:line="360"/>
        <w:jc w:val="both"/>
        <w:rPr>
          <w:rFonts w:ascii="Times New Roman" w:hAnsi="Times New Roman"/>
          <w:strike/>
          <w:sz w:val="24"/>
          <w:ins w:id="48" w:author=""/>
        </w:rPr>
      </w:pPr>
      <w:ins w:id="47" w:author="">
        <w:r>
          <w:rPr>
            <w:rFonts w:ascii="Times New Roman" w:hAnsi="Times New Roman"/>
            <w:strike/>
            <w:sz w:val="24"/>
          </w:rPr>
          <w:t xml:space="preserve">PO Box 4428 </w:t>
        </w:r>
      </w:ins>
    </w:p>
    <w:p>
      <w:pPr>
        <w:pStyle w:val="Normal"/>
        <w:bidi w:val="0"/>
        <w:spacing w:lineRule="atLeast" w:line="360"/>
        <w:jc w:val="both"/>
        <w:rPr>
          <w:rFonts w:ascii="Times New Roman" w:hAnsi="Times New Roman"/>
          <w:sz w:val="24"/>
        </w:rPr>
      </w:pPr>
      <w:ins w:id="49" w:author="">
        <w:r>
          <w:rPr>
            <w:rFonts w:ascii="Times New Roman" w:hAnsi="Times New Roman"/>
            <w:strike/>
            <w:sz w:val="24"/>
          </w:rPr>
          <w:t>Houston, Texas 77210</w:t>
          <w:noBreakHyphen/>
          <w:t>4428</w:t>
        </w:r>
      </w:ins>
      <w:r>
        <w:rPr>
          <w:rFonts w:ascii="Times New Roman" w:hAnsi="Times New Roman"/>
          <w:sz w:val="24"/>
        </w:rPr>
        <w:t xml:space="preserve"> </w:t>
      </w:r>
      <w:ins w:id="50" w:author="">
        <w:r>
          <w:rPr>
            <w:rFonts w:ascii="Times New Roman" w:hAnsi="Times New Roman"/>
            <w:b/>
            <w:sz w:val="24"/>
            <w:u w:val="double"/>
          </w:rPr>
          <w:t>Name:</w:t>
          <w:tab/>
          <w:tab/>
          <w:tab/>
          <w:t>:</w:t>
          <w:tab/>
          <w:t>Enron Corp.</w:t>
        </w:r>
      </w:ins>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r>
      <w:ins w:id="51" w:author="">
        <w:r>
          <w:rPr>
            <w:rFonts w:ascii="Times New Roman" w:hAnsi="Times New Roman"/>
            <w:strike/>
            <w:sz w:val="24"/>
          </w:rPr>
          <w:t>Director, Documentation Department</w:t>
        </w:r>
      </w:ins>
      <w:r>
        <w:rPr>
          <w:rFonts w:ascii="Times New Roman" w:hAnsi="Times New Roman"/>
          <w:sz w:val="24"/>
        </w:rPr>
        <w:t xml:space="preserve"> </w:t>
      </w:r>
      <w:ins w:id="52" w:author="">
        <w:r>
          <w:rPr>
            <w:rFonts w:ascii="Times New Roman" w:hAnsi="Times New Roman"/>
            <w:b/>
            <w:sz w:val="24"/>
            <w:u w:val="double"/>
          </w:rPr>
          <w:t>Vice President, Finance and Treasury</w:t>
        </w:r>
      </w:ins>
    </w:p>
    <w:p>
      <w:pPr>
        <w:pStyle w:val="Normal"/>
        <w:bidi w:val="0"/>
        <w:spacing w:lineRule="atLeast" w:line="360"/>
        <w:jc w:val="both"/>
        <w:rPr>
          <w:rFonts w:ascii="Times New Roman" w:hAnsi="Times New Roman"/>
          <w:sz w:val="24"/>
        </w:rPr>
      </w:pPr>
      <w:r>
        <w:rPr>
          <w:rFonts w:ascii="Times New Roman" w:hAnsi="Times New Roman"/>
          <w:sz w:val="24"/>
        </w:rPr>
        <w:tab/>
        <w:t>Facsimile No.</w:t>
        <w:tab/>
        <w:tab/>
        <w:t>:</w:t>
        <w:tab/>
        <w:t>(713) 646</w:t>
        <w:noBreakHyphen/>
      </w:r>
      <w:ins w:id="53" w:author="">
        <w:r>
          <w:rPr>
            <w:rFonts w:ascii="Times New Roman" w:hAnsi="Times New Roman"/>
            <w:strike/>
            <w:sz w:val="24"/>
          </w:rPr>
          <w:t>4816</w:t>
        </w:r>
      </w:ins>
      <w:r>
        <w:rPr>
          <w:rFonts w:ascii="Times New Roman" w:hAnsi="Times New Roman"/>
          <w:sz w:val="24"/>
        </w:rPr>
        <w:t xml:space="preserve"> </w:t>
      </w:r>
      <w:ins w:id="54" w:author="">
        <w:r>
          <w:rPr>
            <w:rFonts w:ascii="Times New Roman" w:hAnsi="Times New Roman"/>
            <w:b/>
            <w:sz w:val="24"/>
            <w:u w:val="double"/>
          </w:rPr>
          <w:t>3422</w:t>
        </w:r>
      </w:ins>
    </w:p>
    <w:p>
      <w:pPr>
        <w:pStyle w:val="Normal"/>
        <w:bidi w:val="0"/>
        <w:spacing w:lineRule="atLeast" w:line="360"/>
        <w:jc w:val="both"/>
        <w:rPr>
          <w:rFonts w:ascii="Times New Roman" w:hAnsi="Times New Roman"/>
          <w:sz w:val="24"/>
        </w:rPr>
      </w:pPr>
      <w:r>
        <w:rPr>
          <w:rFonts w:ascii="Times New Roman" w:hAnsi="Times New Roman"/>
          <w:sz w:val="24"/>
        </w:rPr>
        <w:tab/>
      </w:r>
      <w:ins w:id="55" w:author="">
        <w:r>
          <w:rPr>
            <w:rFonts w:ascii="Times New Roman" w:hAnsi="Times New Roman"/>
            <w:strike/>
            <w:sz w:val="24"/>
          </w:rPr>
          <w:t>Telephone : (713) 853</w:t>
          <w:noBreakHyphen/>
          <w:t>3300</w:t>
        </w:r>
      </w:ins>
    </w:p>
    <w:p>
      <w:pPr>
        <w:pStyle w:val="Normal"/>
        <w:bidi w:val="0"/>
        <w:spacing w:lineRule="atLeast" w:line="360"/>
        <w:jc w:val="both"/>
        <w:rPr>
          <w:rFonts w:ascii="Times New Roman" w:hAnsi="Times New Roman"/>
          <w:sz w:val="24"/>
        </w:rPr>
      </w:pPr>
      <w:r>
        <w:rPr>
          <w:rFonts w:ascii="Times New Roman" w:hAnsi="Times New Roman"/>
          <w:sz w:val="24"/>
        </w:rPr>
        <w:t>A copy of any notice sent to Party A pursuant to Section 5 or 6 must also be sent to (i) Enron North America Corp., Attention: Corporate Secretary at the above address and facsimile no.    (713) 853</w:t>
        <w:noBreakHyphen/>
        <w:t>2534, and (ii) Enron North America Corp., Attention: Assistant General Counsel, Trading Group at the above address and facsimile no.    (713) 646</w:t>
        <w:noBreakHyphen/>
        <w:t>4818.</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ind w:hanging="2880" w:start="2880"/>
        <w:jc w:val="both"/>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t>[                                              ]</w:t>
      </w:r>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trike/>
          <w:sz w:val="24"/>
          <w:ins w:id="58" w:author=""/>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w:t>
      </w:r>
      <w:ins w:id="56" w:author="">
        <w:r>
          <w:rPr>
            <w:rFonts w:ascii="Times New Roman" w:hAnsi="Times New Roman"/>
            <w:b/>
            <w:sz w:val="24"/>
            <w:u w:val="double"/>
          </w:rPr>
          <w:t>Not Applicable</w:t>
        </w:r>
      </w:ins>
      <w:r>
        <w:rPr>
          <w:rFonts w:ascii="Times New Roman" w:hAnsi="Times New Roman"/>
          <w:sz w:val="24"/>
        </w:rPr>
        <w:t xml:space="preserve"> </w:t>
      </w:r>
      <w:ins w:id="57" w:author="">
        <w:r>
          <w:rPr>
            <w:rFonts w:ascii="Times New Roman" w:hAnsi="Times New Roman"/>
            <w:strike/>
            <w:sz w:val="24"/>
          </w:rPr>
          <w:t>Details of any Credit Support Document:</w:t>
          <w:noBreakHyphen/>
        </w:r>
      </w:ins>
    </w:p>
    <w:p>
      <w:pPr>
        <w:pStyle w:val="Normal"/>
        <w:bidi w:val="0"/>
        <w:spacing w:lineRule="atLeast" w:line="360"/>
        <w:jc w:val="both"/>
        <w:rPr>
          <w:rFonts w:ascii="Times New Roman" w:hAnsi="Times New Roman"/>
          <w:sz w:val="24"/>
        </w:rPr>
      </w:pPr>
      <w:ins w:id="59" w:author="">
        <w:r>
          <w:rPr>
            <w:rFonts w:ascii="Times New Roman" w:hAnsi="Times New Roman"/>
            <w:strike/>
            <w:sz w:val="24"/>
          </w:rPr>
          <w:t>The obligations of Party A will be guaranteed by Enron Corp. pursuant to a Guaranty Agreement substantially in the form of Exhibit B hereto.</w:t>
        </w:r>
      </w:ins>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trike/>
          <w:sz w:val="24"/>
          <w:ins w:id="61" w:author=""/>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w:t>
      </w:r>
      <w:ins w:id="60" w:author="">
        <w:r>
          <w:rPr>
            <w:rFonts w:ascii="Times New Roman" w:hAnsi="Times New Roman"/>
            <w:b/>
            <w:sz w:val="24"/>
            <w:u w:val="double"/>
          </w:rPr>
          <w:t>Not Applicable</w:t>
        </w:r>
      </w:ins>
    </w:p>
    <w:p>
      <w:pPr>
        <w:pStyle w:val="Normal"/>
        <w:keepLines/>
        <w:bidi w:val="0"/>
        <w:spacing w:lineRule="atLeast" w:line="360"/>
        <w:jc w:val="both"/>
        <w:rPr>
          <w:rFonts w:ascii="Times New Roman" w:hAnsi="Times New Roman"/>
          <w:strike/>
          <w:sz w:val="24"/>
          <w:ins w:id="63" w:author=""/>
        </w:rPr>
      </w:pPr>
      <w:ins w:id="62" w:author="">
        <w:r>
          <w:rPr>
            <w:rFonts w:ascii="Times New Roman" w:hAnsi="Times New Roman"/>
            <w:strike/>
            <w:sz w:val="24"/>
          </w:rPr>
        </w:r>
      </w:ins>
    </w:p>
    <w:p>
      <w:pPr>
        <w:pStyle w:val="Normal"/>
        <w:bidi w:val="0"/>
        <w:spacing w:lineRule="atLeast" w:line="360"/>
        <w:jc w:val="both"/>
        <w:rPr>
          <w:rFonts w:ascii="Times New Roman" w:hAnsi="Times New Roman"/>
          <w:strike/>
          <w:sz w:val="24"/>
          <w:ins w:id="65" w:author=""/>
        </w:rPr>
      </w:pPr>
      <w:ins w:id="64" w:author="">
        <w:r>
          <w:rPr>
            <w:rFonts w:ascii="Times New Roman" w:hAnsi="Times New Roman"/>
            <w:strike/>
            <w:sz w:val="24"/>
          </w:rPr>
          <w:t>(i) Credit Support Provider means in relation to Party A: Enron Corp.</w:t>
        </w:r>
      </w:ins>
    </w:p>
    <w:p>
      <w:pPr>
        <w:pStyle w:val="Normal"/>
        <w:bidi w:val="0"/>
        <w:spacing w:lineRule="atLeast" w:line="360"/>
        <w:jc w:val="both"/>
        <w:rPr>
          <w:rFonts w:ascii="Times New Roman" w:hAnsi="Times New Roman"/>
          <w:strike/>
          <w:sz w:val="24"/>
          <w:ins w:id="67" w:author=""/>
        </w:rPr>
      </w:pPr>
      <w:ins w:id="66" w:author="">
        <w:r>
          <w:rPr>
            <w:rFonts w:ascii="Times New Roman" w:hAnsi="Times New Roman"/>
            <w:strike/>
            <w:sz w:val="24"/>
          </w:rPr>
        </w:r>
      </w:ins>
    </w:p>
    <w:p>
      <w:pPr>
        <w:pStyle w:val="Normal"/>
        <w:bidi w:val="0"/>
        <w:spacing w:lineRule="atLeast" w:line="360"/>
        <w:jc w:val="both"/>
        <w:rPr>
          <w:rFonts w:ascii="Times New Roman" w:hAnsi="Times New Roman"/>
          <w:sz w:val="24"/>
        </w:rPr>
      </w:pPr>
      <w:ins w:id="68" w:author="">
        <w:r>
          <w:rPr>
            <w:rFonts w:ascii="Times New Roman" w:hAnsi="Times New Roman"/>
            <w:strike/>
            <w:sz w:val="24"/>
          </w:rPr>
          <w:t>(ii) Credit Support Provider means in relation to Party B: Not Applicable.</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w:t>
      </w:r>
      <w:ins w:id="69" w:author="">
        <w:r>
          <w:rPr>
            <w:rFonts w:ascii="Times New Roman" w:hAnsi="Times New Roman"/>
            <w:b/>
            <w:sz w:val="24"/>
            <w:u w:val="double"/>
          </w:rPr>
          <w:t>together with any other amendments and supplements thereto</w:t>
        </w:r>
      </w:ins>
      <w:r>
        <w:rPr>
          <w:rFonts w:ascii="Times New Roman" w:hAnsi="Times New Roman"/>
          <w:sz w:val="24"/>
        </w:rPr>
        <w:t xml:space="preserve">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b/>
          <w:sz w:val="24"/>
          <w:u w:val="double"/>
          <w:ins w:id="73" w:author=""/>
        </w:rPr>
      </w:pPr>
      <w:r>
        <w:rPr>
          <w:rFonts w:ascii="Times New Roman" w:hAnsi="Times New Roman"/>
          <w:sz w:val="24"/>
        </w:rPr>
        <w:t>(b)</w:t>
        <w:tab/>
      </w:r>
      <w:r>
        <w:rPr>
          <w:rFonts w:ascii="Times New Roman" w:hAnsi="Times New Roman"/>
          <w:b/>
          <w:sz w:val="24"/>
        </w:rPr>
        <w:t xml:space="preserve">Representations </w:t>
      </w:r>
      <w:ins w:id="70" w:author="">
        <w:r>
          <w:rPr>
            <w:rFonts w:ascii="Times New Roman" w:hAnsi="Times New Roman"/>
            <w:b/>
            <w:strike/>
            <w:sz w:val="24"/>
          </w:rPr>
          <w:t>and</w:t>
        </w:r>
      </w:ins>
      <w:ins w:id="71" w:author="">
        <w:r>
          <w:rPr>
            <w:rFonts w:ascii="Times New Roman" w:hAnsi="Times New Roman"/>
            <w:b/>
            <w:sz w:val="24"/>
            <w:u w:val="double"/>
          </w:rPr>
          <w:t>,</w:t>
        </w:r>
      </w:ins>
      <w:r>
        <w:rPr>
          <w:rFonts w:ascii="Times New Roman" w:hAnsi="Times New Roman"/>
          <w:b/>
          <w:sz w:val="24"/>
        </w:rPr>
        <w:t xml:space="preserve"> Warranties </w:t>
      </w:r>
      <w:ins w:id="72" w:author="">
        <w:r>
          <w:rPr>
            <w:rFonts w:ascii="Times New Roman" w:hAnsi="Times New Roman"/>
            <w:b/>
            <w:sz w:val="24"/>
            <w:u w:val="double"/>
          </w:rPr>
          <w:t>and Covenants.</w:t>
        </w:r>
      </w:ins>
    </w:p>
    <w:p>
      <w:pPr>
        <w:pStyle w:val="Normal"/>
        <w:bidi w:val="0"/>
        <w:spacing w:lineRule="atLeast" w:line="360"/>
        <w:jc w:val="both"/>
        <w:rPr>
          <w:rFonts w:ascii="Times New Roman" w:hAnsi="Times New Roman"/>
          <w:b/>
          <w:sz w:val="24"/>
          <w:u w:val="double"/>
          <w:ins w:id="75" w:author=""/>
        </w:rPr>
      </w:pPr>
      <w:ins w:id="74" w:author="">
        <w:r>
          <w:rPr>
            <w:rFonts w:ascii="Times New Roman" w:hAnsi="Times New Roman"/>
            <w:b/>
            <w:sz w:val="24"/>
            <w:u w:val="double"/>
          </w:rPr>
        </w:r>
      </w:ins>
    </w:p>
    <w:p>
      <w:pPr>
        <w:pStyle w:val="Normal"/>
        <w:bidi w:val="0"/>
        <w:spacing w:lineRule="atLeast" w:line="360"/>
        <w:ind w:hanging="0" w:start="720"/>
        <w:jc w:val="both"/>
        <w:rPr>
          <w:rFonts w:ascii="Times New Roman" w:hAnsi="Times New Roman"/>
          <w:strike/>
          <w:sz w:val="24"/>
        </w:rPr>
      </w:pPr>
      <w:ins w:id="76" w:author="">
        <w:r>
          <w:rPr>
            <w:rFonts w:ascii="Times New Roman" w:hAnsi="Times New Roman"/>
            <w:b/>
            <w:sz w:val="24"/>
            <w:u w:val="double"/>
          </w:rPr>
          <w:t>(1)</w:t>
        </w:r>
      </w:ins>
      <w:ins w:id="77" w:author="">
        <w:r>
          <w:rPr>
            <w:rFonts w:ascii="Times New Roman" w:hAnsi="Times New Roman"/>
            <w:strike/>
            <w:sz w:val="24"/>
          </w:rPr>
          <w:t>.</w:t>
        </w:r>
      </w:ins>
    </w:p>
    <w:p>
      <w:pPr>
        <w:pStyle w:val="Normal"/>
        <w:bidi w:val="0"/>
        <w:spacing w:lineRule="atLeast" w:line="360"/>
        <w:jc w:val="both"/>
        <w:rPr>
          <w:rFonts w:ascii="Times New Roman" w:hAnsi="Times New Roman"/>
          <w:sz w:val="24"/>
        </w:rPr>
      </w:pPr>
      <w:r>
        <w:rPr>
          <w:rFonts w:ascii="Times New Roman" w:hAnsi="Times New Roman"/>
          <w:sz w:val="24"/>
        </w:rPr>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 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b/>
          <w:sz w:val="24"/>
          <w:u w:val="double"/>
          <w:ins w:id="79" w:author=""/>
        </w:rPr>
      </w:pPr>
      <w:r>
        <w:rPr>
          <w:rFonts w:ascii="Times New Roman" w:hAnsi="Times New Roman"/>
          <w:sz w:val="24"/>
        </w:rPr>
        <w:tab/>
      </w:r>
      <w:ins w:id="78" w:author="">
        <w:r>
          <w:rPr>
            <w:rFonts w:ascii="Times New Roman" w:hAnsi="Times New Roman"/>
            <w:b/>
            <w:sz w:val="24"/>
            <w:u w:val="double"/>
          </w:rPr>
          <w:t>(2)</w:t>
          <w:tab/>
          <w:t>(A)</w:t>
          <w:tab/>
          <w:t>Party A covenants until all amounts of principal, interest and all other amounts due to the Lenders under the Facility Agreement have been paid in full.</w:t>
        </w:r>
      </w:ins>
    </w:p>
    <w:p>
      <w:pPr>
        <w:pStyle w:val="Normal"/>
        <w:bidi w:val="0"/>
        <w:spacing w:lineRule="atLeast" w:line="360"/>
        <w:jc w:val="both"/>
        <w:rPr>
          <w:rFonts w:ascii="Times New Roman" w:hAnsi="Times New Roman"/>
          <w:b/>
          <w:sz w:val="24"/>
          <w:u w:val="double"/>
          <w:ins w:id="81" w:author=""/>
        </w:rPr>
      </w:pPr>
      <w:ins w:id="80"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83" w:author=""/>
        </w:rPr>
      </w:pPr>
      <w:ins w:id="82" w:author="">
        <w:r>
          <w:rPr>
            <w:rFonts w:ascii="Times New Roman" w:hAnsi="Times New Roman"/>
            <w:b/>
            <w:sz w:val="24"/>
            <w:u w:val="double"/>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ins>
    </w:p>
    <w:p>
      <w:pPr>
        <w:pStyle w:val="Normal"/>
        <w:bidi w:val="0"/>
        <w:spacing w:lineRule="atLeast" w:line="360"/>
        <w:jc w:val="both"/>
        <w:rPr>
          <w:rFonts w:ascii="Times New Roman" w:hAnsi="Times New Roman"/>
          <w:b/>
          <w:sz w:val="24"/>
          <w:u w:val="double"/>
          <w:ins w:id="85" w:author=""/>
        </w:rPr>
      </w:pPr>
      <w:ins w:id="84"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87" w:author=""/>
        </w:rPr>
      </w:pPr>
      <w:ins w:id="86" w:author="">
        <w:r>
          <w:rPr>
            <w:rFonts w:ascii="Times New Roman" w:hAnsi="Times New Roman"/>
            <w:b/>
            <w:sz w:val="24"/>
            <w:u w:val="double"/>
          </w:rPr>
          <w:t>(ii)</w:t>
          <w:tab/>
          <w:t>to cause G</w:t>
          <w:noBreakHyphen/>
          <w:t>Present, L.L.C., a Delaware limited liability company (“G</w:t>
          <w:noBreakHyphen/>
          <w:t>Present”), to limit its business activities to those activities specified in Section 2.04 of that certain Amended and Restated Limited Liability Company Agreement of G</w:t>
          <w:noBreakHyphen/>
          <w:t>Present (the “G</w:t>
          <w:noBreakHyphen/>
          <w:t>Present Agreement”) dated the date hereof.</w:t>
        </w:r>
      </w:ins>
    </w:p>
    <w:p>
      <w:pPr>
        <w:pStyle w:val="Normal"/>
        <w:bidi w:val="0"/>
        <w:spacing w:lineRule="atLeast" w:line="360"/>
        <w:jc w:val="both"/>
        <w:rPr>
          <w:rFonts w:ascii="Times New Roman" w:hAnsi="Times New Roman"/>
          <w:b/>
          <w:sz w:val="24"/>
          <w:u w:val="double"/>
          <w:ins w:id="89" w:author=""/>
        </w:rPr>
      </w:pPr>
      <w:ins w:id="88"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91" w:author=""/>
        </w:rPr>
      </w:pPr>
      <w:ins w:id="90" w:author="">
        <w:r>
          <w:rPr>
            <w:rFonts w:ascii="Times New Roman" w:hAnsi="Times New Roman"/>
            <w:b/>
            <w:sz w:val="24"/>
            <w:u w:val="double"/>
          </w:rPr>
          <w:t>(iii)</w:t>
          <w:tab/>
          <w:t>to cause G</w:t>
          <w:noBreakHyphen/>
          <w:t>Present not to incur or suffer to exist any Indebtedness (as defined in the Facility Agreement) other than pursuant to the Facility Agreement</w:t>
        </w:r>
      </w:ins>
    </w:p>
    <w:p>
      <w:pPr>
        <w:pStyle w:val="Normal"/>
        <w:bidi w:val="0"/>
        <w:spacing w:lineRule="atLeast" w:line="360"/>
        <w:jc w:val="both"/>
        <w:rPr>
          <w:rFonts w:ascii="Times New Roman" w:hAnsi="Times New Roman"/>
          <w:b/>
          <w:sz w:val="24"/>
          <w:u w:val="double"/>
          <w:ins w:id="93" w:author=""/>
        </w:rPr>
      </w:pPr>
      <w:ins w:id="92"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b/>
          <w:sz w:val="24"/>
          <w:u w:val="double"/>
          <w:ins w:id="95" w:author=""/>
        </w:rPr>
      </w:pPr>
      <w:ins w:id="94" w:author="">
        <w:r>
          <w:rPr>
            <w:rFonts w:ascii="Times New Roman" w:hAnsi="Times New Roman"/>
            <w:b/>
            <w:sz w:val="24"/>
            <w:u w:val="double"/>
          </w:rPr>
          <w:t>(iv)</w:t>
          <w:tab/>
          <w:t>that Enron Communications, Inc., a Delaware corporation, will remain at all times the sole Managing Member of G</w:t>
          <w:noBreakHyphen/>
          <w:t>Present.</w:t>
        </w:r>
      </w:ins>
    </w:p>
    <w:p>
      <w:pPr>
        <w:pStyle w:val="Normal"/>
        <w:bidi w:val="0"/>
        <w:spacing w:lineRule="atLeast" w:line="360"/>
        <w:jc w:val="both"/>
        <w:rPr>
          <w:rFonts w:ascii="Times New Roman" w:hAnsi="Times New Roman"/>
          <w:b/>
          <w:sz w:val="24"/>
          <w:u w:val="double"/>
          <w:ins w:id="97" w:author=""/>
        </w:rPr>
      </w:pPr>
      <w:ins w:id="96"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ins w:id="98" w:author="">
        <w:r>
          <w:rPr>
            <w:rFonts w:ascii="Times New Roman" w:hAnsi="Times New Roman"/>
            <w:b/>
            <w:sz w:val="24"/>
            <w:u w:val="double"/>
          </w:rPr>
          <w:t>(B)</w:t>
          <w:tab/>
          <w:t xml:space="preserve">The covenant of Party A set forth in Section 5.02(b) </w:t>
        </w:r>
      </w:ins>
      <w:ins w:id="99" w:author="">
        <w:r>
          <w:rPr>
            <w:rFonts w:ascii="Times New Roman" w:hAnsi="Times New Roman"/>
            <w:b/>
            <w:i/>
            <w:sz w:val="24"/>
            <w:u w:val="double"/>
          </w:rPr>
          <w:t xml:space="preserve">[Note: there is no Tangible Net Worth Covenant in the 1999 Citibank Revolver] </w:t>
        </w:r>
      </w:ins>
      <w:ins w:id="100" w:author="">
        <w:r>
          <w:rPr>
            <w:rFonts w:ascii="Times New Roman" w:hAnsi="Times New Roman"/>
            <w:b/>
            <w:sz w:val="24"/>
            <w:u w:val="double"/>
          </w:rPr>
          <w:t>(as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provided that any reference to the “Majority Banks” shall be deemed to be a reference to Party B.    If the Credit Agreement should for any reason terminate or be amended without the consent of Party B, such provisions shall be incorporated herein as they existed immediately prior to such event.</w:t>
        </w:r>
      </w:ins>
    </w:p>
    <w:p>
      <w:pPr>
        <w:pStyle w:val="Normal"/>
        <w:keepNext w:val="true"/>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Revolving Credit Agreement by and among Enron Corp., The Chase Manhattan Bank and certain other banks, dated as of December 3,    1996.</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 xml:space="preserve">Reliance. It is acting for its own account </w:t>
      </w:r>
      <w:ins w:id="101" w:author="">
        <w:r>
          <w:rPr>
            <w:rFonts w:ascii="Times New Roman" w:hAnsi="Times New Roman"/>
            <w:strike/>
            <w:sz w:val="24"/>
          </w:rPr>
          <w:t>(except that Party B is acting in its capacity as Agent under the Facility Agreement)</w:t>
        </w:r>
      </w:ins>
      <w:r>
        <w:rPr>
          <w:rFonts w:ascii="Times New Roman" w:hAnsi="Times New Roman"/>
          <w:sz w:val="24"/>
        </w:rPr>
        <w:t xml:space="preserve">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Transfer.</w:t>
      </w:r>
      <w:r>
        <w:rPr>
          <w:rFonts w:ascii="Times New Roman" w:hAnsi="Times New Roman"/>
          <w:sz w:val="24"/>
        </w:rPr>
        <w:t>    Section 7 is hereby amended by:    (i) adding in the third line thereof after the word “party,”the words “which consent</w:t>
      </w:r>
      <w:ins w:id="102" w:author="">
        <w:r>
          <w:rPr>
            <w:rFonts w:ascii="Times New Roman" w:hAnsi="Times New Roman"/>
            <w:b/>
            <w:sz w:val="24"/>
            <w:u w:val="double"/>
          </w:rPr>
          <w:t>, in the case of a proposed transfer by Party A,</w:t>
        </w:r>
      </w:ins>
      <w:r>
        <w:rPr>
          <w:rFonts w:ascii="Times New Roman" w:hAnsi="Times New Roman"/>
          <w:sz w:val="24"/>
        </w:rPr>
        <w:t xml:space="preserve"> will not be unreasonably withheld or delayed”; and (ii) adding the following at the end thereof: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b/>
        <w:t>“For purposes of this Section, the non</w:t>
        <w:noBreakHyphen/>
        <w:t>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w:t>
        <w:noBreakHyphen/>
        <w:t>transferring party</w:t>
      </w:r>
      <w:ins w:id="103" w:author="">
        <w:r>
          <w:rPr>
            <w:rFonts w:ascii="Times New Roman" w:hAnsi="Times New Roman"/>
            <w:strike/>
            <w:sz w:val="24"/>
          </w:rPr>
          <w:t>(or if the transferring party has a Credit Support Provider and the transfer is to a party other than such Credit Support Provider, unless such Credit Support Provider provides a satisfactory Credit Support Document to the non</w:t>
          <w:noBreakHyphen/>
          <w:t>transferring party or its existing Credit Support Document remains in full force and effect)</w:t>
        </w:r>
      </w:ins>
      <w:r>
        <w:rPr>
          <w:rFonts w:ascii="Times New Roman" w:hAnsi="Times New Roman"/>
          <w:sz w:val="24"/>
        </w:rPr>
        <w:t>; on the next succeeding Scheduled Payment Date, the non</w:t>
        <w:noBreakHyphen/>
        <w:t>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w:t>
        <w:noBreakHyphen/>
        <w:t xml:space="preserve">transferring party applies in deciding whether to offer or make an extension of credit or to enter into transactions similar to the Transactions subject to the proposed transfer; or the proposed transfer would adversely affect the nontransferring party’s netting </w:t>
      </w:r>
      <w:ins w:id="104" w:author="">
        <w:r>
          <w:rPr>
            <w:rFonts w:ascii="Times New Roman" w:hAnsi="Times New Roman"/>
            <w:b/>
            <w:sz w:val="24"/>
            <w:u w:val="double"/>
          </w:rPr>
          <w:t>or set</w:t>
          <w:noBreakHyphen/>
          <w:t>off</w:t>
        </w:r>
      </w:ins>
      <w:r>
        <w:rPr>
          <w:rFonts w:ascii="Times New Roman" w:hAnsi="Times New Roman"/>
          <w:sz w:val="24"/>
        </w:rPr>
        <w:t xml:space="preserve"> rights hereunder or under applicable law. </w:t>
      </w:r>
      <w:ins w:id="105" w:author="">
        <w:r>
          <w:rPr>
            <w:rFonts w:ascii="Times New Roman" w:hAnsi="Times New Roman"/>
            <w:strike/>
            <w:sz w:val="24"/>
          </w:rPr>
          <w:t>Notwithstanding any other provision of this Section 7, no transfer may be made of Party A's rights and obligations hereunder unless immediately following such transfer the obligations hereunder of the transferee are guaranteed by Enron Corp. pursuant to a guaranty substantially in the form of the Guaranty.”</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Taxes</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(n)</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(o)</w:t>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b/>
          <w:sz w:val="24"/>
        </w:rPr>
        <w:t>G</w:t>
        <w:noBreakHyphen/>
        <w:t>FUTURE INTEREST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t xml:space="preserve">ENRON </w:t>
      </w:r>
      <w:ins w:id="106" w:author="">
        <w:r>
          <w:rPr>
            <w:rFonts w:ascii="Times New Roman" w:hAnsi="Times New Roman"/>
            <w:b/>
            <w:strike/>
            <w:sz w:val="24"/>
          </w:rPr>
          <w:t>NORTH AMERICA</w:t>
        </w:r>
      </w:ins>
      <w:r>
        <w:rPr>
          <w:rFonts w:ascii="Times New Roman" w:hAnsi="Times New Roman"/>
          <w:b/>
          <w:sz w:val="24"/>
        </w:rPr>
        <w:t xml:space="preserve">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Name: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ab/>
        <w:t>Title:</w:t>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[FORM OF OPINION TO BE AGREED]</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trike/>
          <w:sz w:val="24"/>
          <w:ins w:id="108" w:author=""/>
        </w:rPr>
      </w:pPr>
      <w:ins w:id="107" w:author="">
        <w:r>
          <w:rPr>
            <w:rFonts w:ascii="Times New Roman" w:hAnsi="Times New Roman"/>
            <w:strike/>
            <w:sz w:val="24"/>
          </w:rPr>
          <w:t>EXHIBIT B</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trike/>
          <w:sz w:val="24"/>
          <w:ins w:id="110" w:author=""/>
        </w:rPr>
      </w:pPr>
      <w:ins w:id="109"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ins w:id="111" w:author="">
        <w:r>
          <w:rPr>
            <w:rFonts w:ascii="Times New Roman" w:hAnsi="Times New Roman"/>
            <w:strike/>
            <w:sz w:val="24"/>
          </w:rPr>
          <w:t>FORM OF ENRON GUARANTY</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 xml:space="preserve">The undersigned, the Assistant Secretary of Enron </w:t>
      </w:r>
      <w:ins w:id="112" w:author="">
        <w:r>
          <w:rPr>
            <w:rFonts w:ascii="Times New Roman" w:hAnsi="Times New Roman"/>
            <w:strike/>
            <w:sz w:val="24"/>
          </w:rPr>
          <w:t>North America</w:t>
        </w:r>
      </w:ins>
      <w:r>
        <w:rPr>
          <w:rFonts w:ascii="Times New Roman" w:hAnsi="Times New Roman"/>
          <w:sz w:val="24"/>
        </w:rPr>
        <w:t xml:space="preserve"> Corp. (the “Counterparty”), a Delaware corporation organized under the law of    Delaware hereby certifies that: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G</w:t>
        <w:noBreakHyphen/>
        <w:t>Future Interest Owner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 xml:space="preserve">ENRON </w:t>
      </w:r>
      <w:ins w:id="113" w:author="">
        <w:r>
          <w:rPr>
            <w:rFonts w:ascii="Times New Roman" w:hAnsi="Times New Roman"/>
            <w:b/>
            <w:strike/>
            <w:sz w:val="24"/>
          </w:rPr>
          <w:t>NORTH AMERICA</w:t>
        </w:r>
      </w:ins>
      <w:r>
        <w:rPr>
          <w:rFonts w:ascii="Times New Roman" w:hAnsi="Times New Roman"/>
          <w:b/>
          <w:sz w:val="24"/>
        </w:rPr>
        <w:t xml:space="preserve">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w:t>
      </w:r>
      <w:ins w:id="114" w:author="">
        <w:r>
          <w:rPr>
            <w:rFonts w:ascii="Times New Roman" w:hAnsi="Times New Roman"/>
            <w:strike/>
            <w:sz w:val="24"/>
          </w:rPr>
          <w:t>North America</w:t>
        </w:r>
      </w:ins>
      <w:r>
        <w:rPr>
          <w:rFonts w:ascii="Times New Roman" w:hAnsi="Times New Roman"/>
          <w:sz w:val="24"/>
        </w:rPr>
        <w:t xml:space="preserve"> Corp. (the “Counterparty”), a Delaware corporation organized under the law of Delaware,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16" w:author=""/>
        </w:rPr>
      </w:pPr>
      <w:ins w:id="115" w:author="">
        <w:r>
          <w:rPr>
            <w:rFonts w:ascii="Times New Roman" w:hAnsi="Times New Roman"/>
            <w:strike/>
            <w:sz w:val="24"/>
          </w:rPr>
          <w:t>INCUMBENCY AND SIGNATURE CERTIFICATE</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18" w:author=""/>
        </w:rPr>
      </w:pPr>
      <w:ins w:id="117"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20" w:author=""/>
        </w:rPr>
      </w:pPr>
      <w:ins w:id="119" w:author="">
        <w:r>
          <w:rPr>
            <w:rFonts w:ascii="Times New Roman" w:hAnsi="Times New Roman"/>
            <w:strike/>
            <w:sz w:val="24"/>
          </w:rPr>
          <w:t>The undersigned, the Assistant Secretary of Enron North America Corp. (the “Counterparty”), a Delaware corporation organized under the law of Delaware hereby certifies that:</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22" w:author=""/>
        </w:rPr>
      </w:pPr>
      <w:ins w:id="121"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24" w:author=""/>
        </w:rPr>
      </w:pPr>
      <w:ins w:id="123" w:author="">
        <w:r>
          <w:rPr>
            <w:rFonts w:ascii="Times New Roman" w:hAnsi="Times New Roman"/>
            <w:strike/>
            <w:sz w:val="24"/>
          </w:rPr>
          <w:t>1. The ISDA Master Agreement dated as of [ ], including the Schedule, Confirmation, and other exhibits, supplements, attachments and annexes thereto and documents incorporated by reference therein (collectively the “Agreement Documentation”), between Canadian Imperial Bank of Commerce and the Counterparty has been duly executed and delivered for, in the name of, and on behalf of the Counterparty by the following officer, whose title and signature appear below:</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26" w:author=""/>
        </w:rPr>
      </w:pPr>
      <w:ins w:id="125" w:author="">
        <w:r>
          <w:rPr>
            <w:rFonts w:ascii="Times New Roman" w:hAnsi="Times New Roman"/>
            <w:strike/>
            <w:sz w:val="24"/>
          </w:rPr>
          <w:t>NAME TITLE SIGNATURE</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28" w:author=""/>
        </w:rPr>
      </w:pPr>
      <w:ins w:id="127"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30" w:author=""/>
        </w:rPr>
      </w:pPr>
      <w:ins w:id="129"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32" w:author=""/>
        </w:rPr>
      </w:pPr>
      <w:ins w:id="131"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34" w:author=""/>
        </w:rPr>
      </w:pPr>
      <w:ins w:id="133"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36" w:author=""/>
        </w:rPr>
      </w:pPr>
      <w:ins w:id="135"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38" w:author=""/>
        </w:rPr>
      </w:pPr>
      <w:ins w:id="137" w:author="">
        <w:r>
          <w:rPr>
            <w:rFonts w:ascii="Times New Roman" w:hAnsi="Times New Roman"/>
            <w:strike/>
            <w:sz w:val="24"/>
          </w:rPr>
          <w:t>2. 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40" w:author=""/>
        </w:rPr>
      </w:pPr>
      <w:ins w:id="139"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42" w:author=""/>
        </w:rPr>
      </w:pPr>
      <w:ins w:id="141" w:author="">
        <w:r>
          <w:rPr>
            <w:rFonts w:ascii="Times New Roman" w:hAnsi="Times New Roman"/>
            <w:strike/>
            <w:sz w:val="24"/>
          </w:rPr>
          <w:t>IN WITNESS WHEREOF, the undersigned has executed this certificate the day of [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44" w:author=""/>
        </w:rPr>
      </w:pPr>
      <w:ins w:id="143"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46" w:author=""/>
        </w:rPr>
      </w:pPr>
      <w:ins w:id="145" w:author="">
        <w:r>
          <w:rPr>
            <w:rFonts w:ascii="Times New Roman" w:hAnsi="Times New Roman"/>
            <w:strike/>
            <w:sz w:val="24"/>
          </w:rPr>
          <w:t>ENRON NORTH AMERICA CORP.</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48" w:author=""/>
        </w:rPr>
      </w:pPr>
      <w:ins w:id="147"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50" w:author=""/>
        </w:rPr>
      </w:pPr>
      <w:ins w:id="149" w:author="">
        <w:r>
          <w:rPr>
            <w:rFonts w:ascii="Times New Roman" w:hAnsi="Times New Roman"/>
            <w:strike/>
            <w:sz w:val="24"/>
          </w:rPr>
          <w:t xml:space="preserve">By: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52" w:author=""/>
        </w:rPr>
      </w:pPr>
      <w:ins w:id="151" w:author="">
        <w:r>
          <w:rPr>
            <w:rFonts w:ascii="Times New Roman" w:hAnsi="Times New Roman"/>
            <w:strike/>
            <w:sz w:val="24"/>
          </w:rPr>
          <w:t xml:space="preserve">Name: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54" w:author=""/>
        </w:rPr>
      </w:pPr>
      <w:ins w:id="153" w:author="">
        <w:r>
          <w:rPr>
            <w:rFonts w:ascii="Times New Roman" w:hAnsi="Times New Roman"/>
            <w:strike/>
            <w:sz w:val="24"/>
          </w:rPr>
          <w:t>Title: Assistant Secretary</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56" w:author=""/>
        </w:rPr>
      </w:pPr>
      <w:ins w:id="155"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58" w:author=""/>
        </w:rPr>
      </w:pPr>
      <w:ins w:id="157" w:author="">
        <w:r>
          <w:rPr>
            <w:rFonts w:ascii="Times New Roman" w:hAnsi="Times New Roman"/>
            <w:strike/>
            <w:sz w:val="24"/>
          </w:rPr>
          <w:t>I, , a of Enron North America Corp. (the “Counterparty”), a Delaware corporation organized under the law of Delaware, hereby certify that is a duly elected, qualified, and acting Assistant Secretary of the Counterparty and that the signature appearing above is his/her genuine signature.</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60" w:author=""/>
        </w:rPr>
      </w:pPr>
      <w:ins w:id="159"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62" w:author=""/>
        </w:rPr>
      </w:pPr>
      <w:ins w:id="161" w:author="">
        <w:r>
          <w:rPr>
            <w:rFonts w:ascii="Times New Roman" w:hAnsi="Times New Roman"/>
            <w:strike/>
            <w:sz w:val="24"/>
          </w:rPr>
          <w:t>IN WITNESS WHEREOF, I have hereunto signed my name the day of [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64" w:author=""/>
        </w:rPr>
      </w:pPr>
      <w:ins w:id="163" w:author="">
        <w:r>
          <w:rPr>
            <w:rFonts w:ascii="Times New Roman" w:hAnsi="Times New Roman"/>
            <w:strike/>
            <w:sz w:val="24"/>
          </w:rPr>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trike/>
          <w:sz w:val="24"/>
          <w:ins w:id="166" w:author=""/>
        </w:rPr>
      </w:pPr>
      <w:ins w:id="165" w:author="">
        <w:r>
          <w:rPr>
            <w:rFonts w:ascii="Times New Roman" w:hAnsi="Times New Roman"/>
            <w:strike/>
            <w:sz w:val="24"/>
          </w:rPr>
          <w:t xml:space="preserve">Name: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ins w:id="167" w:author="">
        <w:r>
          <w:rPr>
            <w:rFonts w:ascii="Times New Roman" w:hAnsi="Times New Roman"/>
            <w:strike/>
            <w:sz w:val="24"/>
          </w:rPr>
          <w:t xml:space="preserve">Title: </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before="0" w:after="0"/>
        <w:jc w:val="center"/>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DAL: </w:t>
      </w:r>
      <w:ins w:id="168" w:author="">
        <w:r>
          <w:rPr>
            <w:rFonts w:ascii="Times New Roman" w:hAnsi="Times New Roman"/>
            <w:strike/>
            <w:sz w:val="24"/>
          </w:rPr>
          <w:t>216444.4</w:t>
        </w:r>
      </w:ins>
      <w:r>
        <w:rPr>
          <w:rFonts w:ascii="Times New Roman" w:hAnsi="Times New Roman"/>
          <w:sz w:val="24"/>
        </w:rPr>
        <w:t xml:space="preserve"> </w:t>
      </w:r>
      <w:ins w:id="169" w:author="">
        <w:r>
          <w:rPr>
            <w:rFonts w:ascii="Times New Roman" w:hAnsi="Times New Roman"/>
            <w:b/>
            <w:sz w:val="24"/>
            <w:u w:val="double"/>
          </w:rPr>
          <w:t>216444.5</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Ghost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Trakya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Ghost/Exhibit C to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Trakya/Exhibit C to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original document      : C:\WINDOWS\TEMP\DAL_216444_4</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and revised document: C:\WINDOWS\TEMP\DAL_216444.5</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CompareRite found      37 change(s) in the text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 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 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DAL:216444.5</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