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r>
    </w:p>
    <w:p>
      <w:pPr>
        <w:pStyle w:val="Normal"/>
        <w:widowControl/>
        <w:jc w:val="both"/>
        <w:rPr>
          <w:color w:val="000000"/>
        </w:rPr>
      </w:pPr>
      <w:r>
        <w:rPr>
          <w:color w:val="000000"/>
        </w:rPr>
        <w:t>September 6, 2001</w:t>
      </w:r>
    </w:p>
    <w:p>
      <w:pPr>
        <w:pStyle w:val="Normal"/>
        <w:widowControl/>
        <w:jc w:val="both"/>
        <w:rPr>
          <w:color w:val="000000"/>
        </w:rPr>
      </w:pPr>
      <w:r>
        <w:rPr>
          <w:color w:val="000000"/>
        </w:rPr>
      </w:r>
    </w:p>
    <w:p>
      <w:pPr>
        <w:pStyle w:val="Normal"/>
        <w:widowControl/>
        <w:jc w:val="both"/>
        <w:rPr/>
      </w:pPr>
      <w:r>
        <w:rPr/>
      </w:r>
    </w:p>
    <w:p>
      <w:pPr>
        <w:pStyle w:val="Normal"/>
        <w:widowControl/>
        <w:jc w:val="both"/>
        <w:rPr/>
      </w:pPr>
      <w:r>
        <w:rPr/>
      </w:r>
    </w:p>
    <w:p>
      <w:pPr>
        <w:pStyle w:val="Normal"/>
        <w:widowControl/>
        <w:jc w:val="both"/>
        <w:rPr/>
      </w:pPr>
      <w:r>
        <w:rPr>
          <w:b/>
        </w:rPr>
        <w:t>Advice</w:t>
      </w:r>
      <w:r>
        <w:rPr>
          <w:b/>
          <w:color w:val="000000"/>
        </w:rPr>
        <w:t xml:space="preserve"> 2142-E-A</w:t>
      </w:r>
    </w:p>
    <w:p>
      <w:pPr>
        <w:pStyle w:val="Normal"/>
        <w:widowControl/>
        <w:tabs>
          <w:tab w:val="clear" w:pos="720"/>
          <w:tab w:val="left" w:pos="4410" w:leader="none"/>
        </w:tabs>
        <w:jc w:val="both"/>
        <w:rPr/>
      </w:pPr>
      <w:r>
        <w:rPr/>
        <w:t>(Pacific Gas and Electric Company ID U 39 E</w:t>
      </w:r>
    </w:p>
    <w:p>
      <w:pPr>
        <w:pStyle w:val="Normal"/>
        <w:widowControl/>
        <w:jc w:val="both"/>
        <w:rPr/>
      </w:pPr>
      <w:r>
        <w:rPr/>
      </w:r>
    </w:p>
    <w:p>
      <w:pPr>
        <w:pStyle w:val="Normal"/>
        <w:widowControl/>
        <w:jc w:val="both"/>
        <w:rPr/>
      </w:pPr>
      <w:r>
        <w:rPr/>
      </w:r>
    </w:p>
    <w:p>
      <w:pPr>
        <w:pStyle w:val="Normal"/>
        <w:widowControl/>
        <w:jc w:val="both"/>
        <w:rPr/>
      </w:pPr>
      <w:r>
        <w:rPr/>
        <w:t>Public Utilities Commission of the State of California</w:t>
      </w:r>
    </w:p>
    <w:p>
      <w:pPr>
        <w:pStyle w:val="Normal"/>
        <w:widowControl/>
        <w:jc w:val="both"/>
        <w:rPr/>
      </w:pPr>
      <w:r>
        <w:rPr/>
      </w:r>
    </w:p>
    <w:p>
      <w:pPr>
        <w:pStyle w:val="Normal"/>
        <w:widowControl/>
        <w:jc w:val="both"/>
        <w:rPr/>
      </w:pPr>
      <w:r>
        <w:rPr/>
      </w:r>
    </w:p>
    <w:p>
      <w:pPr>
        <w:pStyle w:val="Normal"/>
        <w:ind w:hanging="1440" w:start="1440" w:end="0"/>
        <w:jc w:val="both"/>
        <w:rPr/>
      </w:pPr>
      <w:r>
        <w:rPr>
          <w:b/>
          <w:u w:val="single"/>
        </w:rPr>
        <w:t>Subject:</w:t>
      </w:r>
      <w:r>
        <w:rPr>
          <w:b/>
        </w:rPr>
        <w:tab/>
        <w:t>Revisions to Electric Rate Schedule S, Related Electric Rate Schedules with Standby Provisions, Electric Rule 21-Generating Facility Interconnections, and Generating Facility Interconnection Application</w:t>
      </w:r>
    </w:p>
    <w:p>
      <w:pPr>
        <w:pStyle w:val="Normal"/>
        <w:widowControl/>
        <w:jc w:val="both"/>
        <w:rPr>
          <w:b/>
        </w:rPr>
      </w:pPr>
      <w:r>
        <w:rPr>
          <w:b/>
        </w:rPr>
      </w:r>
    </w:p>
    <w:p>
      <w:pPr>
        <w:pStyle w:val="Normal"/>
        <w:jc w:val="both"/>
        <w:rPr/>
      </w:pPr>
      <w:r>
        <w:rPr/>
        <w:t>Pacific Gas and Electric Company (PG&amp;E) hereby submits a supplemental filing, revisions to the electric tariff sheets in compliance with Decision (D.) 01-07-027.  The affected tariff sheets are listed on the enclosed Attachment I.</w:t>
      </w:r>
      <w:r>
        <w:rPr>
          <w:rStyle w:val="FootnoteCharacters"/>
          <w:rStyle w:val="FootnoteReference"/>
        </w:rPr>
        <w:footnoteReference w:id="2"/>
      </w:r>
    </w:p>
    <w:p>
      <w:pPr>
        <w:pStyle w:val="Normal"/>
        <w:widowControl/>
        <w:jc w:val="both"/>
        <w:rPr/>
      </w:pPr>
      <w:r>
        <w:rPr/>
      </w:r>
    </w:p>
    <w:p>
      <w:pPr>
        <w:pStyle w:val="Normal"/>
        <w:widowControl/>
        <w:jc w:val="both"/>
        <w:rPr/>
      </w:pPr>
      <w:r>
        <w:rPr/>
      </w:r>
    </w:p>
    <w:p>
      <w:pPr>
        <w:pStyle w:val="Heading1"/>
        <w:widowControl/>
        <w:ind w:hanging="0" w:start="0"/>
        <w:jc w:val="both"/>
        <w:rPr/>
      </w:pPr>
      <w:r>
        <w:rPr/>
        <w:t>Purpose</w:t>
      </w:r>
    </w:p>
    <w:p>
      <w:pPr>
        <w:pStyle w:val="Normal"/>
        <w:widowControl/>
        <w:jc w:val="both"/>
        <w:rPr/>
      </w:pPr>
      <w:r>
        <w:rPr/>
      </w:r>
    </w:p>
    <w:p>
      <w:pPr>
        <w:pStyle w:val="Normal"/>
        <w:jc w:val="both"/>
        <w:rPr/>
      </w:pPr>
      <w:r>
        <w:rPr>
          <w:bCs/>
        </w:rPr>
        <w:t xml:space="preserve">To comply with D. 01-07-027, PG&amp;E is </w:t>
      </w:r>
      <w:r>
        <w:rPr/>
        <w:t xml:space="preserve">filing to modify electric Rule 21 – </w:t>
      </w:r>
      <w:r>
        <w:rPr>
          <w:i/>
          <w:iCs/>
        </w:rPr>
        <w:t>Generating Facility Interconnections</w:t>
      </w:r>
      <w:r>
        <w:rPr/>
        <w:t xml:space="preserve">, </w:t>
      </w:r>
      <w:r>
        <w:rPr>
          <w:i/>
          <w:iCs/>
        </w:rPr>
        <w:t>Generating Facility Interconnection</w:t>
      </w:r>
      <w:r>
        <w:rPr/>
        <w:t xml:space="preserve"> </w:t>
      </w:r>
      <w:r>
        <w:rPr>
          <w:i/>
          <w:iCs/>
        </w:rPr>
        <w:t>Application</w:t>
      </w:r>
      <w:r>
        <w:rPr/>
        <w:t xml:space="preserve"> to incorporate modifications.  The modifications were developed in the California Energy Commission (CEC) electric Rule 21 working group.  This agreement was inadvertently, not filed, in Advice 2142-E, </w:t>
      </w:r>
      <w:r>
        <w:rPr>
          <w:bCs/>
          <w:i/>
          <w:iCs/>
        </w:rPr>
        <w:t>Revisions to Electric Rate Schedule S, Related Electric Rate Schedules with Standby Provisions, and Electric Rule 21-Generating Facility Interconnections</w:t>
      </w:r>
      <w:r>
        <w:rPr>
          <w:bCs/>
        </w:rPr>
        <w:t>.</w:t>
      </w:r>
    </w:p>
    <w:p>
      <w:pPr>
        <w:pStyle w:val="Normal"/>
        <w:widowControl/>
        <w:jc w:val="both"/>
        <w:rPr>
          <w:bCs/>
        </w:rPr>
      </w:pPr>
      <w:r>
        <w:rPr>
          <w:bCs/>
        </w:rPr>
      </w:r>
    </w:p>
    <w:p>
      <w:pPr>
        <w:pStyle w:val="Normal"/>
        <w:widowControl/>
        <w:jc w:val="both"/>
        <w:rPr/>
      </w:pPr>
      <w:r>
        <w:rPr/>
      </w:r>
    </w:p>
    <w:p>
      <w:pPr>
        <w:pStyle w:val="Heading3"/>
        <w:ind w:hanging="0" w:start="0"/>
        <w:rPr>
          <w:u w:val="single"/>
        </w:rPr>
      </w:pPr>
      <w:r>
        <w:rPr>
          <w:u w:val="single"/>
        </w:rPr>
        <w:t>Background</w:t>
      </w:r>
    </w:p>
    <w:p>
      <w:pPr>
        <w:pStyle w:val="Normal"/>
        <w:widowControl/>
        <w:jc w:val="both"/>
        <w:rPr>
          <w:u w:val="single"/>
        </w:rPr>
      </w:pPr>
      <w:r>
        <w:rPr>
          <w:u w:val="single"/>
        </w:rPr>
      </w:r>
    </w:p>
    <w:p>
      <w:pPr>
        <w:pStyle w:val="Normal"/>
        <w:jc w:val="both"/>
        <w:rPr/>
      </w:pPr>
      <w:r>
        <w:rPr/>
        <w:t xml:space="preserve">During the CEC workshops related to distributed generation and electric Rule 21 - DG-OIR, PG&amp;E, SCE, and SDG&amp;E agreed they would file agreed upon changes to either tariffs, rules, or agreements.  In SCE’s Advice 1565-E </w:t>
      </w:r>
      <w:r>
        <w:rPr>
          <w:i/>
          <w:iCs/>
        </w:rPr>
        <w:t>Revisions to Rule 21, Generating Interconnections and Schedule S, Standby for Solar Generating Facilities Up to One MW</w:t>
      </w:r>
      <w:r>
        <w:rPr/>
        <w:t xml:space="preserve">, and SDG&amp;E’s Advice 1352-E, </w:t>
      </w:r>
      <w:r>
        <w:rPr>
          <w:i/>
          <w:iCs/>
        </w:rPr>
        <w:t xml:space="preserve">Revision to the Generating Facility Interconnection Application (Form 142-05203), </w:t>
      </w:r>
      <w:r>
        <w:rPr/>
        <w:t>each made agreed upon modifications to the Generation Facility Interconnection Application. To compliment the other two utilities’ filing, PG&amp;E is submitting the same modifications.</w:t>
      </w:r>
    </w:p>
    <w:p>
      <w:pPr>
        <w:pStyle w:val="Normal"/>
        <w:jc w:val="both"/>
        <w:rPr/>
      </w:pPr>
      <w:r>
        <w:rPr/>
      </w:r>
    </w:p>
    <w:p>
      <w:pPr>
        <w:pStyle w:val="Normal"/>
        <w:jc w:val="both"/>
        <w:rPr/>
      </w:pPr>
      <w:r>
        <w:rPr/>
      </w:r>
    </w:p>
    <w:p>
      <w:pPr>
        <w:pStyle w:val="Heading1"/>
        <w:widowControl/>
        <w:ind w:hanging="0" w:start="0"/>
        <w:jc w:val="both"/>
        <w:rPr/>
      </w:pPr>
      <w:r>
        <w:rPr/>
        <w:t>Protests</w:t>
      </w:r>
    </w:p>
    <w:p>
      <w:pPr>
        <w:pStyle w:val="Normal"/>
        <w:widowControl/>
        <w:jc w:val="both"/>
        <w:rPr/>
      </w:pPr>
      <w:r>
        <w:rPr/>
      </w:r>
    </w:p>
    <w:p>
      <w:pPr>
        <w:pStyle w:val="Normal"/>
        <w:jc w:val="both"/>
        <w:rPr/>
      </w:pPr>
      <w:r>
        <w:rPr/>
        <w:t xml:space="preserve">Anyone wishing to protest this filing may do so by sending a letter by </w:t>
      </w:r>
      <w:r>
        <w:rPr>
          <w:b/>
        </w:rPr>
        <w:t>September 26, 2001</w:t>
      </w:r>
      <w:r>
        <w:rPr/>
        <w:t>, which is 20 days from the date of this filing.  The protest must state the grounds upon which it is based, including such items as financial and service impact, and should be submitted expeditiously.  Protests should be mailed to:</w:t>
      </w:r>
    </w:p>
    <w:p>
      <w:pPr>
        <w:pStyle w:val="Normal"/>
        <w:jc w:val="both"/>
        <w:rPr/>
      </w:pPr>
      <w:r>
        <w:rPr/>
      </w:r>
    </w:p>
    <w:p>
      <w:pPr>
        <w:pStyle w:val="Normal"/>
        <w:ind w:firstLine="2880" w:end="0"/>
        <w:jc w:val="both"/>
        <w:rPr/>
      </w:pPr>
      <w:r>
        <w:rPr/>
        <w:t>IMC Program Manager</w:t>
      </w:r>
    </w:p>
    <w:p>
      <w:pPr>
        <w:pStyle w:val="Normal"/>
        <w:ind w:firstLine="2880" w:end="0"/>
        <w:jc w:val="both"/>
        <w:rPr/>
      </w:pPr>
      <w:r>
        <w:rPr/>
        <w:t>Energy Division</w:t>
      </w:r>
    </w:p>
    <w:p>
      <w:pPr>
        <w:pStyle w:val="Normal"/>
        <w:ind w:firstLine="2880" w:end="0"/>
        <w:jc w:val="both"/>
        <w:rPr/>
      </w:pPr>
      <w:r>
        <w:rPr/>
        <w:t>California Public Utilities Commission</w:t>
      </w:r>
    </w:p>
    <w:p>
      <w:pPr>
        <w:pStyle w:val="Normal"/>
        <w:ind w:firstLine="2880" w:end="0"/>
        <w:jc w:val="both"/>
        <w:rPr/>
      </w:pPr>
      <w:r>
        <w:rPr/>
        <w:t>505 Van Ness Avenue, Room 4002</w:t>
      </w:r>
    </w:p>
    <w:p>
      <w:pPr>
        <w:pStyle w:val="Heading2"/>
        <w:ind w:firstLine="2880" w:start="0" w:end="0"/>
        <w:rPr>
          <w:b w:val="false"/>
          <w:bCs/>
        </w:rPr>
      </w:pPr>
      <w:r>
        <w:rPr>
          <w:b w:val="false"/>
          <w:bCs/>
        </w:rPr>
        <w:t>San Francisco, California 94102</w:t>
      </w:r>
    </w:p>
    <w:p>
      <w:pPr>
        <w:pStyle w:val="Heading2"/>
        <w:ind w:firstLine="2880" w:start="0" w:end="0"/>
        <w:rPr>
          <w:b w:val="false"/>
          <w:bCs/>
        </w:rPr>
      </w:pPr>
      <w:r>
        <w:rPr>
          <w:b w:val="false"/>
          <w:bCs/>
        </w:rPr>
        <w:t>Facsimile:  (415) 703-2200</w:t>
      </w:r>
    </w:p>
    <w:p>
      <w:pPr>
        <w:pStyle w:val="Normal"/>
        <w:jc w:val="both"/>
        <w:rPr>
          <w:b/>
          <w:bCs/>
        </w:rPr>
      </w:pPr>
      <w:r>
        <w:rPr>
          <w:b/>
          <w:bCs/>
        </w:rPr>
      </w:r>
    </w:p>
    <w:p>
      <w:pPr>
        <w:pStyle w:val="Normal"/>
        <w:jc w:val="both"/>
        <w:rPr/>
      </w:pPr>
      <w:r>
        <w:rPr/>
        <w:t>Copies should also be mailed to the attention of the Director, Energy Division, Room 4005 and Jerry Royer, Energy Division, at the address as shown above.  It is also request that a copy of the protest be sent via postal mail and facsimile to Pacific Gas and Electric Company on the same date it is mailed or delivered to the Commission at the address shown below.</w:t>
      </w:r>
    </w:p>
    <w:p>
      <w:pPr>
        <w:pStyle w:val="Normal"/>
        <w:jc w:val="both"/>
        <w:rPr/>
      </w:pPr>
      <w:r>
        <w:rPr/>
      </w:r>
    </w:p>
    <w:p>
      <w:pPr>
        <w:pStyle w:val="Normal"/>
        <w:jc w:val="both"/>
        <w:rPr/>
      </w:pPr>
      <w:r>
        <w:rPr/>
        <w:tab/>
        <w:tab/>
        <w:tab/>
        <w:tab/>
        <w:t>Pacific Gas and Electric Company</w:t>
      </w:r>
    </w:p>
    <w:p>
      <w:pPr>
        <w:pStyle w:val="Normal"/>
        <w:jc w:val="both"/>
        <w:rPr/>
      </w:pPr>
      <w:r>
        <w:rPr/>
        <w:tab/>
        <w:tab/>
        <w:tab/>
        <w:tab/>
        <w:t>Attention: Les Guliasi</w:t>
      </w:r>
    </w:p>
    <w:p>
      <w:pPr>
        <w:pStyle w:val="Normal"/>
        <w:jc w:val="both"/>
        <w:rPr/>
      </w:pPr>
      <w:r>
        <w:rPr/>
        <w:tab/>
        <w:tab/>
        <w:tab/>
        <w:tab/>
        <w:t>Director, Regulatory Relations</w:t>
      </w:r>
    </w:p>
    <w:p>
      <w:pPr>
        <w:pStyle w:val="Normal"/>
        <w:jc w:val="both"/>
        <w:rPr/>
      </w:pPr>
      <w:r>
        <w:rPr/>
        <w:tab/>
        <w:tab/>
        <w:tab/>
        <w:tab/>
        <w:t>77 Beale Street, Mail Code B10C</w:t>
      </w:r>
    </w:p>
    <w:p>
      <w:pPr>
        <w:pStyle w:val="Normal"/>
        <w:jc w:val="both"/>
        <w:rPr/>
      </w:pPr>
      <w:r>
        <w:rPr/>
        <w:tab/>
        <w:tab/>
        <w:tab/>
        <w:tab/>
        <w:t>P.O. Box 770000</w:t>
      </w:r>
    </w:p>
    <w:p>
      <w:pPr>
        <w:pStyle w:val="Normal"/>
        <w:jc w:val="both"/>
        <w:rPr/>
      </w:pPr>
      <w:r>
        <w:rPr/>
        <w:tab/>
        <w:tab/>
        <w:tab/>
        <w:tab/>
        <w:t>San Francisco, California 94177</w:t>
      </w:r>
    </w:p>
    <w:p>
      <w:pPr>
        <w:pStyle w:val="Normal"/>
        <w:jc w:val="both"/>
        <w:rPr/>
      </w:pPr>
      <w:r>
        <w:rPr/>
        <w:tab/>
        <w:tab/>
        <w:tab/>
        <w:tab/>
        <w:t>Facsimile:  (415) 973-7226</w:t>
      </w:r>
    </w:p>
    <w:p>
      <w:pPr>
        <w:pStyle w:val="Normal"/>
        <w:jc w:val="both"/>
        <w:rPr/>
      </w:pPr>
      <w:r>
        <w:rPr/>
      </w:r>
    </w:p>
    <w:p>
      <w:pPr>
        <w:pStyle w:val="Normal"/>
        <w:jc w:val="both"/>
        <w:rPr/>
      </w:pPr>
      <w:r>
        <w:rPr/>
      </w:r>
    </w:p>
    <w:p>
      <w:pPr>
        <w:pStyle w:val="Heading1"/>
        <w:ind w:hanging="0" w:start="0"/>
        <w:rPr/>
      </w:pPr>
      <w:r>
        <w:rPr/>
        <w:t>Effective Date</w:t>
      </w:r>
    </w:p>
    <w:p>
      <w:pPr>
        <w:pStyle w:val="Normal"/>
        <w:jc w:val="both"/>
        <w:rPr/>
      </w:pPr>
      <w:r>
        <w:rPr/>
      </w:r>
    </w:p>
    <w:p>
      <w:pPr>
        <w:pStyle w:val="Normal"/>
        <w:tabs>
          <w:tab w:val="clear" w:pos="720"/>
          <w:tab w:val="left" w:pos="0" w:leader="none"/>
        </w:tabs>
        <w:jc w:val="both"/>
        <w:rPr/>
      </w:pPr>
      <w:r>
        <w:rPr>
          <w:color w:val="000000"/>
        </w:rPr>
        <w:t xml:space="preserve">To comply with D. 01-07-027, PG&amp;E requests that this advice filing become effective on </w:t>
      </w:r>
      <w:r>
        <w:rPr>
          <w:b/>
          <w:color w:val="000000"/>
        </w:rPr>
        <w:t>July 27, 2001</w:t>
      </w:r>
      <w:r>
        <w:rPr>
          <w:color w:val="000000"/>
        </w:rPr>
        <w:t>, which is the effective date of Advice 2142-E.</w:t>
      </w:r>
    </w:p>
    <w:p>
      <w:pPr>
        <w:pStyle w:val="Normal"/>
        <w:jc w:val="both"/>
        <w:rPr>
          <w:color w:val="000000"/>
        </w:rPr>
      </w:pPr>
      <w:r>
        <w:rPr>
          <w:color w:val="000000"/>
        </w:rPr>
      </w:r>
    </w:p>
    <w:p>
      <w:pPr>
        <w:pStyle w:val="Normal"/>
        <w:jc w:val="both"/>
        <w:rPr/>
      </w:pPr>
      <w:r>
        <w:rPr/>
      </w:r>
    </w:p>
    <w:p>
      <w:pPr>
        <w:pStyle w:val="Heading1"/>
        <w:ind w:hanging="0" w:start="0"/>
        <w:rPr/>
      </w:pPr>
      <w:r>
        <w:rPr/>
        <w:t>Notice</w:t>
      </w:r>
    </w:p>
    <w:p>
      <w:pPr>
        <w:pStyle w:val="Normal"/>
        <w:jc w:val="both"/>
        <w:rPr/>
      </w:pPr>
      <w:r>
        <w:rPr/>
      </w:r>
    </w:p>
    <w:p>
      <w:pPr>
        <w:pStyle w:val="BodyText"/>
        <w:rPr/>
      </w:pPr>
      <w:r>
        <w:rPr/>
        <w:t>In accordance with General Order 96-A, Section III, Paragraph G, a copy of this advice letter is being sent electronically and sent via U.S. mail to parties shown on the attached list and to the service list for Rulemaking (R.) 99-10-025.  Address change requests should be directed to Nelia Avendano at (415) 973-3529.  Advice letter filings can also be accessed electronically at:</w:t>
      </w:r>
    </w:p>
    <w:p>
      <w:pPr>
        <w:pStyle w:val="Normal"/>
        <w:jc w:val="both"/>
        <w:rPr/>
      </w:pPr>
      <w:r>
        <w:rPr/>
      </w:r>
    </w:p>
    <w:p>
      <w:pPr>
        <w:pStyle w:val="Normal"/>
        <w:jc w:val="center"/>
        <w:rPr/>
      </w:pPr>
      <w:r>
        <w:rPr/>
        <w:t>http://www.pge.com/customer_services/business/tariffs/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Vice President – Regulatory Relations</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Attachments</w:t>
      </w:r>
    </w:p>
    <w:p>
      <w:pPr>
        <w:pStyle w:val="Normal"/>
        <w:jc w:val="both"/>
        <w:rPr/>
      </w:pPr>
      <w:r>
        <w:rPr/>
      </w:r>
    </w:p>
    <w:p>
      <w:pPr>
        <w:pStyle w:val="Normal"/>
        <w:widowControl/>
        <w:jc w:val="both"/>
        <w:rPr/>
      </w:pPr>
      <w:r>
        <w:rPr/>
      </w:r>
    </w:p>
    <w:p>
      <w:pPr>
        <w:pStyle w:val="Normal"/>
        <w:widowControl/>
        <w:jc w:val="both"/>
        <w:rPr/>
      </w:pPr>
      <w:r>
        <w:rPr/>
      </w:r>
    </w:p>
    <w:p>
      <w:pPr>
        <w:pStyle w:val="Normal"/>
        <w:widowControl/>
        <w:jc w:val="both"/>
        <w:rPr/>
      </w:pPr>
      <w:r>
        <w:rPr/>
        <w:t>cc:</w:t>
        <w:tab/>
        <w:t>Service List – R. 99-10-025</w:t>
      </w:r>
    </w:p>
    <w:p>
      <w:pPr>
        <w:pStyle w:val="Normal"/>
        <w:widowControl/>
        <w:jc w:val="both"/>
        <w:rPr>
          <w:sz w:val="22"/>
        </w:rPr>
      </w:pPr>
      <w:r>
        <w:rPr>
          <w:sz w:val="22"/>
        </w:rPr>
      </w:r>
    </w:p>
    <w:sectPr>
      <w:headerReference w:type="default" r:id="rId2"/>
      <w:headerReference w:type="first" r:id="rId3"/>
      <w:footnotePr>
        <w:numFmt w:val="decimal"/>
      </w:footnotePr>
      <w:type w:val="nextPage"/>
      <w:pgSz w:w="12240" w:h="15840"/>
      <w:pgMar w:left="1800" w:right="1728" w:gutter="0" w:header="864" w:top="1440" w:footer="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rFonts w:cs="Arial" w:ascii="Arial" w:hAnsi="Arial"/>
        </w:rPr>
        <w:t>PG&amp;E reserves all legal rights to challenge the decisions or statutes under which it has been required to make this advice filing, and nothing in this advice filing constitutes a waiver of such rights.  Also, PG&amp;E reserves any additional legal rights to challenge the requirement to make this advice filing by reason of its status as a debtor under Chapter 11 of the Bankruptcy Code, and nothing in this advice filing constitutes a waiver of such rights.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Header"/>
            <w:widowControl/>
            <w:rPr/>
          </w:pPr>
          <w:r>
            <w:rPr/>
            <w:t>Advice 2142-E-A</w:t>
          </w:r>
        </w:p>
      </w:tc>
      <w:tc>
        <w:tcPr>
          <w:tcW w:w="2952" w:type="dxa"/>
          <w:tcBorders/>
        </w:tcPr>
        <w:p>
          <w:pPr>
            <w:pStyle w:val="Header"/>
            <w:widowControl/>
            <w:jc w:val="center"/>
            <w:rPr/>
          </w:pPr>
          <w:r>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r>
            <w:rPr>
              <w:rStyle w:val="PageNumber"/>
              <w:sz w:val="24"/>
            </w:rPr>
            <w:t xml:space="preserve"> -</w:t>
          </w:r>
        </w:p>
      </w:tc>
      <w:tc>
        <w:tcPr>
          <w:tcW w:w="2952" w:type="dxa"/>
          <w:tcBorders/>
        </w:tcPr>
        <w:p>
          <w:pPr>
            <w:pStyle w:val="Header"/>
            <w:widowControl/>
            <w:jc w:val="end"/>
            <w:rPr/>
          </w:pPr>
          <w:r>
            <w:rPr/>
            <w:t>September 6, 2001</w:t>
          </w:r>
        </w:p>
      </w:tc>
    </w:tr>
  </w:tbl>
  <w:p>
    <w:pPr>
      <w:pStyle w:val="Header"/>
      <w:widowControl/>
      <w:rPr/>
    </w:pPr>
    <w:r>
      <w:rPr/>
    </w:r>
  </w:p>
  <w:p>
    <w:pPr>
      <w:pStyle w:val="Header"/>
      <w:widowContro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widowControl/>
      <w:numPr>
        <w:ilvl w:val="2"/>
        <w:numId w:val="1"/>
      </w:numPr>
      <w:jc w:val="both"/>
      <w:outlineLvl w:val="2"/>
    </w:pPr>
    <w:rPr>
      <w:b/>
      <w:bCs/>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0" w:end="1440"/>
      <w:jc w:val="both"/>
    </w:pPr>
    <w:rPr/>
  </w:style>
  <w:style w:type="paragraph" w:styleId="BodyText3">
    <w:name w:val="Body Text 3"/>
    <w:basedOn w:val="Normal"/>
    <w:qFormat/>
    <w:pPr>
      <w:ind w:hanging="0" w:start="0" w:end="-36"/>
      <w:jc w:val="both"/>
    </w:pPr>
    <w:rPr/>
  </w:style>
  <w:style w:type="paragraph" w:styleId="FootnoteText">
    <w:name w:val="footnote text"/>
    <w:basedOn w:val="Normal"/>
    <w:pPr>
      <w:widowControl/>
    </w:pPr>
    <w:rPr>
      <w:rFonts w:ascii="Times New Roman" w:hAnsi="Times New Roman" w:cs="Times New Roman"/>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2001-09-06T19:42:00Z</dcterms:created>
  <dc:creator>Harold Hirsch</dc:creator>
  <dc:description/>
  <dc:language>en-CA</dc:language>
  <cp:lastModifiedBy>Nel Avendano</cp:lastModifiedBy>
  <cp:lastPrinted>2001-09-06T08:41:00Z</cp:lastPrinted>
  <dcterms:modified xsi:type="dcterms:W3CDTF">2001-09-06T19:42:00Z</dcterms:modified>
  <cp:revision>2</cp:revision>
  <dc:subject/>
  <dc:title>Date</dc:title>
</cp:coreProperties>
</file>