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McCUT</w:t>
      </w:r>
      <w:bookmarkStart w:id="0" w:name="zZ_PrintDraft"/>
      <w:bookmarkEnd w:id="0"/>
      <w:r>
        <w:rPr/>
        <w:t>CHEN, DOYLE, BROWN &amp; ENERSEN, LLP</w:t>
      </w:r>
    </w:p>
    <w:p>
      <w:pPr>
        <w:pStyle w:val="Normal"/>
        <w:rPr/>
      </w:pPr>
      <w:bookmarkStart w:id="1" w:name="ATTYNAMES"/>
      <w:bookmarkEnd w:id="1"/>
      <w:r>
        <w:rPr/>
        <w:t>TERRY J. HOULIHAN (SBN 42877)</w:t>
      </w:r>
    </w:p>
    <w:p>
      <w:pPr>
        <w:pStyle w:val="Normal"/>
        <w:rPr/>
      </w:pPr>
      <w:r>
        <w:rPr/>
        <w:t>DONN P. PICKETT (SBN 72257)</w:t>
      </w:r>
    </w:p>
    <w:p>
      <w:pPr>
        <w:pStyle w:val="Normal"/>
        <w:rPr/>
      </w:pPr>
      <w:r>
        <w:rPr/>
        <w:t>NORA CREGAN (SBN 157263)</w:t>
      </w:r>
    </w:p>
    <w:p>
      <w:pPr>
        <w:pStyle w:val="Normal"/>
        <w:rPr/>
      </w:pPr>
      <w:r>
        <w:rPr/>
        <w:t>Three Embarcadero Center</w:t>
      </w:r>
    </w:p>
    <w:p>
      <w:pPr>
        <w:pStyle w:val="Normal"/>
        <w:rPr/>
      </w:pPr>
      <w:r>
        <w:rPr/>
        <w:t>San Francisco, California 94111-4067</w:t>
      </w:r>
    </w:p>
    <w:p>
      <w:pPr>
        <w:pStyle w:val="Normal"/>
        <w:rPr/>
      </w:pPr>
      <w:r>
        <w:rPr/>
        <w:t>Telephone:  (415) 393-2000</w:t>
      </w:r>
    </w:p>
    <w:p>
      <w:pPr>
        <w:pStyle w:val="Normal"/>
        <w:spacing w:before="0" w:after="240"/>
        <w:rPr/>
      </w:pPr>
      <w:r>
        <w:rPr/>
        <w:t>Facsimile:  (415) 393-2286</w:t>
      </w:r>
    </w:p>
    <w:p>
      <w:pPr>
        <w:pStyle w:val="Normal"/>
        <w:spacing w:lineRule="auto" w:line="240"/>
        <w:rPr/>
      </w:pPr>
      <w:r>
        <w:rPr/>
        <w:t>JOHN C. MORRISSEY (SBN 122194)</w:t>
      </w:r>
    </w:p>
    <w:p>
      <w:pPr>
        <w:pStyle w:val="Normal"/>
        <w:spacing w:lineRule="auto" w:line="240"/>
        <w:rPr/>
      </w:pPr>
      <w:r>
        <w:rPr/>
        <w:t>355 South Grand Avenue, Suite 4400</w:t>
      </w:r>
    </w:p>
    <w:p>
      <w:pPr>
        <w:pStyle w:val="Normal"/>
        <w:spacing w:lineRule="auto" w:line="240"/>
        <w:rPr/>
      </w:pPr>
      <w:r>
        <w:rPr/>
        <w:t>Los Angeles, California  90071-1560</w:t>
      </w:r>
    </w:p>
    <w:p>
      <w:pPr>
        <w:pStyle w:val="Normal"/>
        <w:rPr/>
      </w:pPr>
      <w:r>
        <w:rPr/>
        <w:t>Telephone:  (213) 680-6400</w:t>
      </w:r>
    </w:p>
    <w:p>
      <w:pPr>
        <w:pStyle w:val="Normal"/>
        <w:spacing w:before="0" w:after="240"/>
        <w:rPr/>
      </w:pPr>
      <w:r>
        <w:rPr/>
        <w:t>Facsimile:  (213) 680-6499</w:t>
      </w:r>
    </w:p>
    <w:p>
      <w:pPr>
        <w:pStyle w:val="Normal"/>
        <w:rPr/>
      </w:pPr>
      <w:r>
        <w:rPr/>
        <w:t xml:space="preserve">Attorneys for </w:t>
      </w:r>
      <w:bookmarkStart w:id="2" w:name="REPTYPE"/>
      <w:bookmarkEnd w:id="2"/>
      <w:r>
        <w:rPr/>
        <w:t>Plaintiff</w:t>
      </w:r>
    </w:p>
    <w:p>
      <w:pPr>
        <w:pStyle w:val="Normal"/>
        <w:rPr/>
      </w:pPr>
      <w:bookmarkStart w:id="3" w:name="REPNAME"/>
      <w:bookmarkEnd w:id="3"/>
      <w:r>
        <w:rPr/>
        <w:t>Reliant Energy Services, Inc.</w:t>
      </w:r>
    </w:p>
    <w:p>
      <w:pPr>
        <w:pStyle w:val="zTitle"/>
        <w:rPr/>
      </w:pPr>
      <w:bookmarkStart w:id="4" w:name="COURT"/>
      <w:bookmarkStart w:id="5" w:name="zPleadingTitle"/>
      <w:bookmarkEnd w:id="4"/>
      <w:bookmarkEnd w:id="5"/>
      <w:r>
        <w:rPr/>
        <w:t>SUPERIOR COURT OF THE STATE OF CALIFORNIA</w:t>
        <w:br/>
        <w:br/>
        <w:t>COUNTY OF LOS ANGELES</w:t>
      </w:r>
    </w:p>
    <w:tbl>
      <w:tblPr>
        <w:tblW w:w="9828" w:type="dxa"/>
        <w:jc w:val="start"/>
        <w:tblInd w:w="0" w:type="dxa"/>
        <w:tblLayout w:type="fixed"/>
        <w:tblCellMar>
          <w:top w:w="0" w:type="dxa"/>
          <w:start w:w="288" w:type="dxa"/>
          <w:bottom w:w="0" w:type="dxa"/>
          <w:end w:w="288" w:type="dxa"/>
        </w:tblCellMar>
      </w:tblPr>
      <w:tblGrid>
        <w:gridCol w:w="4968"/>
        <w:gridCol w:w="4860"/>
      </w:tblGrid>
      <w:tr>
        <w:trPr/>
        <w:tc>
          <w:tcPr>
            <w:tcW w:w="4968" w:type="dxa"/>
            <w:tcBorders>
              <w:bottom w:val="single" w:sz="6" w:space="0" w:color="000000"/>
              <w:end w:val="single" w:sz="6" w:space="0" w:color="000000"/>
            </w:tcBorders>
          </w:tcPr>
          <w:p>
            <w:pPr>
              <w:pStyle w:val="Normal"/>
              <w:snapToGrid w:val="false"/>
              <w:rPr/>
            </w:pPr>
            <w:r>
              <w:rPr/>
            </w:r>
            <w:bookmarkStart w:id="6" w:name="PLAINTIFF"/>
            <w:bookmarkStart w:id="7" w:name="zBCageTop"/>
            <w:bookmarkStart w:id="8" w:name="PLAINTIFF"/>
            <w:bookmarkStart w:id="9" w:name="zBCageTop"/>
            <w:bookmarkEnd w:id="8"/>
            <w:bookmarkEnd w:id="9"/>
          </w:p>
          <w:p>
            <w:pPr>
              <w:pStyle w:val="Normal"/>
              <w:spacing w:lineRule="atLeast" w:line="240" w:before="0" w:after="240"/>
              <w:rPr/>
            </w:pPr>
            <w:r>
              <w:rPr/>
              <w:t>RELIANT ENERGY SERVICES INC. and THE CALIFORNIA POWER EXCHANGE CORPORATION,</w:t>
            </w:r>
          </w:p>
          <w:p>
            <w:pPr>
              <w:pStyle w:val="Normal"/>
              <w:spacing w:lineRule="atLeast" w:line="240" w:before="0" w:after="240"/>
              <w:ind w:start="1440" w:end="0"/>
              <w:rPr/>
            </w:pPr>
            <w:r>
              <w:rPr/>
              <w:t>Plaintiffs,</w:t>
            </w:r>
          </w:p>
          <w:p>
            <w:pPr>
              <w:pStyle w:val="Normal"/>
              <w:spacing w:lineRule="atLeast" w:line="240" w:before="0" w:after="240"/>
              <w:rPr/>
            </w:pPr>
            <w:r>
              <w:rPr/>
              <w:tab/>
              <w:t>v.</w:t>
            </w:r>
          </w:p>
          <w:p>
            <w:pPr>
              <w:pStyle w:val="Normal"/>
              <w:spacing w:lineRule="atLeast" w:line="240" w:before="0" w:after="240"/>
              <w:rPr/>
            </w:pPr>
            <w:r>
              <w:rPr/>
              <w:t>GRAY DAVIS, Governor of the State of California, and THE STATE OF CALIFORNIA,</w:t>
            </w:r>
          </w:p>
          <w:p>
            <w:pPr>
              <w:pStyle w:val="Normal"/>
              <w:spacing w:lineRule="atLeast" w:line="240"/>
              <w:ind w:start="1440" w:end="0"/>
              <w:rPr/>
            </w:pPr>
            <w:r>
              <w:rPr/>
              <w:t>Defendants.</w:t>
            </w:r>
          </w:p>
          <w:p>
            <w:pPr>
              <w:pStyle w:val="Normal"/>
              <w:spacing w:lineRule="atLeast" w:line="240"/>
              <w:ind w:start="1440" w:end="0"/>
              <w:rPr/>
            </w:pPr>
            <w:r>
              <w:rPr/>
            </w:r>
          </w:p>
        </w:tc>
        <w:tc>
          <w:tcPr>
            <w:tcW w:w="4860" w:type="dxa"/>
            <w:tcBorders/>
          </w:tcPr>
          <w:p>
            <w:pPr>
              <w:pStyle w:val="Normal"/>
              <w:spacing w:lineRule="atLeast" w:line="240" w:before="0" w:after="240"/>
              <w:rPr/>
            </w:pPr>
            <w:r>
              <w:rPr/>
              <w:t xml:space="preserve">No. </w:t>
            </w:r>
            <w:bookmarkStart w:id="10" w:name="CASENO"/>
            <w:bookmarkEnd w:id="10"/>
          </w:p>
          <w:p>
            <w:pPr>
              <w:pStyle w:val="zPleadingTitle"/>
              <w:rPr>
                <w:b/>
                <w:bCs/>
              </w:rPr>
            </w:pPr>
            <w:bookmarkStart w:id="11" w:name="CASETITLE"/>
            <w:bookmarkStart w:id="12" w:name="zBCageTitle"/>
            <w:bookmarkEnd w:id="11"/>
            <w:bookmarkEnd w:id="12"/>
            <w:r>
              <w:rPr>
                <w:b/>
                <w:bCs/>
              </w:rPr>
              <w:t>COMPLAINT FOR DECLARATORY RELIEF AND DAMAGES IN INVERSE CONDEMNATION</w:t>
            </w:r>
          </w:p>
          <w:p>
            <w:pPr>
              <w:pStyle w:val="Normal"/>
              <w:pBdr>
                <w:top w:val="single" w:sz="6" w:space="1" w:color="000000"/>
              </w:pBdr>
              <w:spacing w:lineRule="atLeast" w:line="240"/>
              <w:rPr>
                <w:b/>
                <w:bCs/>
              </w:rPr>
            </w:pPr>
            <w:r>
              <w:rPr>
                <w:b/>
                <w:bCs/>
              </w:rPr>
            </w:r>
          </w:p>
          <w:p>
            <w:pPr>
              <w:pStyle w:val="Normal"/>
              <w:spacing w:lineRule="atLeast" w:line="240"/>
              <w:rPr/>
            </w:pPr>
            <w:r>
              <w:rPr/>
            </w:r>
          </w:p>
        </w:tc>
      </w:tr>
    </w:tbl>
    <w:p>
      <w:pPr>
        <w:pStyle w:val="Normal"/>
        <w:rPr/>
      </w:pPr>
      <w:r>
        <w:rPr/>
      </w:r>
      <w:bookmarkStart w:id="13" w:name="zZ_TOCButton"/>
      <w:bookmarkStart w:id="14" w:name="zZ_TOCButton"/>
      <w:bookmarkEnd w:id="14"/>
    </w:p>
    <w:p>
      <w:pPr>
        <w:pStyle w:val="bodytext1"/>
        <w:rPr/>
      </w:pPr>
      <w:bookmarkStart w:id="15" w:name="zZ_TOCButton"/>
      <w:bookmarkStart w:id="16" w:name="ZSTART"/>
      <w:bookmarkStart w:id="17" w:name="zZ_Start"/>
      <w:bookmarkEnd w:id="15"/>
      <w:bookmarkEnd w:id="16"/>
      <w:bookmarkEnd w:id="17"/>
      <w:r>
        <w:rPr/>
        <w:t>Plaintiffs Reliant Energy Services Inc. (“Reliant”) and the California Power Exchange Corporation (the “PX”) bring this Complaint for Inverse Condemnation against Gray Davis, Governor of the State of California (the “Governor”), and the State of California (the “State”) for declaratory relief and damages in inverse condemnation, and alleges:</w:t>
      </w:r>
    </w:p>
    <w:p>
      <w:pPr>
        <w:pStyle w:val="Heading1"/>
        <w:rPr/>
      </w:pPr>
      <w:r>
        <w:rPr/>
        <w:t>THE PARTIES</w:t>
      </w:r>
    </w:p>
    <w:p>
      <w:pPr>
        <w:pStyle w:val="BodyText"/>
        <w:numPr>
          <w:ilvl w:val="0"/>
          <w:numId w:val="2"/>
        </w:numPr>
        <w:tabs>
          <w:tab w:val="clear" w:pos="720"/>
        </w:tabs>
        <w:ind w:firstLine="1440" w:start="0" w:end="0"/>
        <w:rPr/>
      </w:pPr>
      <w:r>
        <w:rPr/>
        <w:t>Reliant is a Delaware corporation that does business in California.  Reliant is a engaged in the trading of wholesale electricity, including electricity generated at plants owned by Reliant’s parent corporation, Reliant Energy, Inc.  Reliant sells electricity to wholesale purchasers, through markets maintained by the California Independent System Operator (“ISO”) and, until recently, by the PX.  The two largest purchasers of wholesale electricity in the PX and ISO markets are Pacific Gas &amp; Electric Co. (“PG&amp;E”) and Southern California Edison Co. (“SCE”), the state’s largest investor-owned utilities.</w:t>
      </w:r>
    </w:p>
    <w:p>
      <w:pPr>
        <w:pStyle w:val="BodyText"/>
        <w:numPr>
          <w:ilvl w:val="0"/>
          <w:numId w:val="2"/>
        </w:numPr>
        <w:tabs>
          <w:tab w:val="clear" w:pos="720"/>
        </w:tabs>
        <w:ind w:firstLine="1440" w:start="0" w:end="0"/>
        <w:rPr/>
      </w:pPr>
      <w:r>
        <w:rPr/>
        <w:t>Plaintiff PX is a California public benefit corporation with its principal place of business in Pasadena, California.</w:t>
      </w:r>
    </w:p>
    <w:p>
      <w:pPr>
        <w:pStyle w:val="BodyText"/>
        <w:numPr>
          <w:ilvl w:val="0"/>
          <w:numId w:val="2"/>
        </w:numPr>
        <w:tabs>
          <w:tab w:val="clear" w:pos="720"/>
        </w:tabs>
        <w:ind w:firstLine="1440" w:start="0" w:end="0"/>
        <w:rPr/>
      </w:pPr>
      <w:r>
        <w:rPr/>
        <w:t>Defendant Gray Davis is the Governor of the State of California.</w:t>
      </w:r>
    </w:p>
    <w:p>
      <w:pPr>
        <w:pStyle w:val="BodyText"/>
        <w:numPr>
          <w:ilvl w:val="0"/>
          <w:numId w:val="2"/>
        </w:numPr>
        <w:tabs>
          <w:tab w:val="clear" w:pos="720"/>
        </w:tabs>
        <w:ind w:firstLine="1440" w:start="0" w:end="0"/>
        <w:rPr/>
      </w:pPr>
      <w:r>
        <w:rPr/>
        <w:t>Defendant the State of California is the entity charged under the Emergency Services Act, Cal. Gov. Code § 8572, with providing compensation for takings of property under the Act.</w:t>
      </w:r>
    </w:p>
    <w:p>
      <w:pPr>
        <w:pStyle w:val="Heading1"/>
        <w:rPr/>
      </w:pPr>
      <w:r>
        <w:rPr/>
        <w:t>FACTS COMMON TO ALL CLAIMS FOR RELIEF</w:t>
      </w:r>
    </w:p>
    <w:p>
      <w:pPr>
        <w:pStyle w:val="Heading1"/>
        <w:rPr/>
      </w:pPr>
      <w:r>
        <w:rPr/>
        <w:t>BACKGROUND</w:t>
      </w:r>
    </w:p>
    <w:p>
      <w:pPr>
        <w:pStyle w:val="BodyText"/>
        <w:numPr>
          <w:ilvl w:val="0"/>
          <w:numId w:val="2"/>
        </w:numPr>
        <w:tabs>
          <w:tab w:val="clear" w:pos="720"/>
        </w:tabs>
        <w:ind w:firstLine="1440" w:start="0" w:end="0"/>
        <w:rPr/>
      </w:pPr>
      <w:r>
        <w:rPr/>
        <w:t>The PX is a non-profit, public benefit corporation organized under California law.  It was established in 1998 pursuant to AB 1890, the legislation that restructured the California energy market.  The PX operates under and is governed by the California Power Exchange Corporation FERC Electric Service Tariff No. 2 (“Tariff”).  The Tariff may not be altered or amended without FERC approval.  Pursuant to the Tariff, all market participants, including Reliant, PG&amp;E, and SCE, were required to enter into written Participation Agreements.  Under the Participation Agreements, market participants agree to be bound by the terms and conditions of and perform the obligations imposed by the Tariff, including those relating to settlement, billing, security requirements, and payment.  Pursuant to the Tariff, the PX promulgated day-to-day operating procedures and standards (the “PX Operating Manual”) governing all transactions in the PX markets.</w:t>
      </w:r>
    </w:p>
    <w:p>
      <w:pPr>
        <w:pStyle w:val="BodyText"/>
        <w:widowControl/>
        <w:numPr>
          <w:ilvl w:val="0"/>
          <w:numId w:val="2"/>
        </w:numPr>
        <w:tabs>
          <w:tab w:val="clear" w:pos="720"/>
        </w:tabs>
        <w:ind w:firstLine="1440" w:start="0" w:end="0"/>
        <w:rPr/>
      </w:pPr>
      <w:r>
        <w:rPr/>
        <w:t>From 1998 until January 31, 2001, the PX facilitated wholesale purchases and sales of electricity.  Sellers in the PX markets include Reliant and other generators of electricity, their agents, and other entities that have purchased electricity from generators for resale.  The California Public Utilities Commission required SCE and PG&amp;E to purchase all of their supply, and sell all of their generation, through the PX.  The PX matches these bids with the demands for electricity by purchasers such as SCE and PG&amp;E.  The PX invoices and credits PX Participants for purchases and sales effected through the PX markets.  Energy purchased through the PX is delivered by Reliant and others to the California Independent System Operator (“ISO”), which transmits it to PX buyers, including SCE and PG&amp;E.</w:t>
      </w:r>
    </w:p>
    <w:p>
      <w:pPr>
        <w:pStyle w:val="bodytext1"/>
        <w:rPr/>
      </w:pPr>
      <w:r>
        <w:rPr/>
        <w:t>7.</w:t>
        <w:tab/>
        <w:t xml:space="preserve">Pursuant to the Tariff, the PX does not bear ultimate liability for the purchase and sale of electricity.  Rather, through several provisions of the Tariff and Participation Agreements, including cost allocation and indemnity provisions, liability for market transactions is borne directly by the market participants. </w:t>
      </w:r>
    </w:p>
    <w:p>
      <w:pPr>
        <w:pStyle w:val="bodytext1"/>
        <w:rPr/>
      </w:pPr>
      <w:r>
        <w:rPr/>
        <w:t>8.</w:t>
        <w:tab/>
        <w:t xml:space="preserve">The PX ran wholesale electricity markets, the Core market and the California Power Exchange Trading Services (“CTS”) market.  The Core market was comprised of Day-Ahead and Day-Of/Hour-Ahead trading.  Participants in the CTS market entered into forward transactions – that is, contracts to purchase and supply power in the future.  These contracts are often referred to as Block Forward Market (“BFM”) contracts.  </w:t>
      </w:r>
    </w:p>
    <w:p>
      <w:pPr>
        <w:pStyle w:val="bodytext1"/>
        <w:rPr/>
      </w:pPr>
      <w:r>
        <w:rPr/>
        <w:t>9.</w:t>
        <w:tab/>
        <w:t xml:space="preserve">In the CTS market, a purchaser, such as PG&amp;E or SCE, contracts for the future delivery of electric power at a specified time and price.  The value of a particular BFM contract can, and typically does, change over time, as the prevailing spot market price changes.  That is, if the spot market price for electricity increases, the BFM contract will be seen as a better bargain, and will thus increase in value, because it locks in a lower future price for electricity.  PG&amp;E and SCE purchased BFM contracts for wholesale electricity in the CTS (“the BFM Contracts”).  </w:t>
      </w:r>
    </w:p>
    <w:p>
      <w:pPr>
        <w:pStyle w:val="bodytext1"/>
        <w:rPr/>
      </w:pPr>
      <w:r>
        <w:rPr/>
        <w:t>10.</w:t>
        <w:tab/>
        <w:t xml:space="preserve">Under the Tariff and the CTS Block Forward Market Trading Rules, in the event that a market participant does not pay on an ongoing basis for power purchased through the PX or otherwise fails to meet certain obligations under the Tariff or Trading Rules, the participant is in default.  A default in one PX market by a PX participant is considered to be a default in all PX markets.  The PX Tariff and the CTS Block Forward Market Trading Rules provide for several procedures and remedies in such circumstances.  Remedies available against the defaulting party include offsetting the defaulting participant’s debts by credits owed to it by the PX, liquidating the participant’s collateral, or other measures.  Once the PX has applied all available funds against the participant’s default, the Tariff obligates all other market participants, including Reliant, to pay a proportional share of the default amount pursuant to a methodology established in the Tariff.  Through these procedures and remedies, the PX avoids financial liability, and all financial risks are borne by market participants.  In recent FERC proceedings, the PX has described its role as follows:  “CalPX provides only exchange services.  It does not buy or sell power. . . . CalPX is ‘cash neutral.’  The money that comes into the exchange is the money that goes out of the exchange.”  </w:t>
      </w:r>
    </w:p>
    <w:p>
      <w:pPr>
        <w:pStyle w:val="Heading2"/>
        <w:keepNext w:val="false"/>
        <w:keepLines w:val="false"/>
        <w:ind w:hanging="0" w:start="0" w:end="0"/>
        <w:rPr>
          <w:b w:val="false"/>
          <w:bCs/>
        </w:rPr>
      </w:pPr>
      <w:r>
        <w:rPr>
          <w:b w:val="false"/>
          <w:bCs/>
        </w:rPr>
        <w:t>SCE AND PG&amp;E DEFAULTS TO THE PX</w:t>
      </w:r>
    </w:p>
    <w:p>
      <w:pPr>
        <w:pStyle w:val="bodytext1"/>
        <w:rPr/>
      </w:pPr>
      <w:r>
        <w:rPr/>
        <w:t>11.</w:t>
        <w:tab/>
        <w:t>On or about January 18, 2001, SCE defaulted on a payment of approximately $215 million due to the PX for the electricity provided to SCE through the PX markets.  When SCE defaulted on its obligation to the PX, the PX allocated that obligation, through a mechanism known as a “chargeback,” among the market participants, including PG&amp;E, Reliant, and others.  Reliant was invoiced, and paid, an amount to be proved at trial, but in excess of $10 million, as its share of the shortfall caused by SCE’s default.</w:t>
      </w:r>
    </w:p>
    <w:p>
      <w:pPr>
        <w:pStyle w:val="bodytext1"/>
        <w:rPr/>
      </w:pPr>
      <w:r>
        <w:rPr/>
        <w:t>12.</w:t>
        <w:tab/>
        <w:t xml:space="preserve">On February 1, 2001, PG&amp;E failed to make its net payment of $611 million due to the PX for power purchased on its behalf by ISO for November 2000 real-time energy purchases.  As a result of this default, the PX entered on its books and records a chargeback against Reliant of over $28 million, payable by PG&amp;E.  </w:t>
      </w:r>
    </w:p>
    <w:p>
      <w:pPr>
        <w:pStyle w:val="bodytext1"/>
        <w:rPr/>
      </w:pPr>
      <w:r>
        <w:rPr/>
        <w:t>13.</w:t>
        <w:tab/>
        <w:t>Under the PX Operating Manual and the CTS Block Forward Market Trading Rules, when a shortfall is allocated to one PX market participant as a result of a default by another market participant, the amount allocated constitutes an amount due and owing by the defaulting market participant to the non-defaulting market participant.  Thus, the amounts allocated to Reliant as its share of the shortfall caused by SCE’s and PG&amp;E’s defaults are due and owing to Reliant from SCE and PG&amp;E.  Neither SCE nor PG&amp;E has cured its default; indeed, each has defaulted on subsequent amounts due to Reliant and other market participants through the PX and elsewhere.  The PX is entitled to collect administrative fees which remain unpaid because of SCE and PG&amp;E’s defaults.</w:t>
      </w:r>
    </w:p>
    <w:p>
      <w:pPr>
        <w:pStyle w:val="bodytext1"/>
        <w:rPr/>
      </w:pPr>
      <w:r>
        <w:rPr/>
        <w:t>14.</w:t>
        <w:tab/>
        <w:t xml:space="preserve">Because of  SCE’s and PG&amp;E’s defaults, the PX began efforts pursuant to its Tariff and the CTS Block Forward Market Trading Rules to liquidate the PG&amp;E and SCE BFM Contracts and distribute the liquidation value to the non-defaulting PX participants, including Reliant.  The proceeds from such liquidation were to be allocated among the non-defaulting PX market participants to compensate them for their losses resulting from SCE’s and PG&amp;E’s defaults.  </w:t>
      </w:r>
    </w:p>
    <w:p>
      <w:pPr>
        <w:pStyle w:val="bodytext1"/>
        <w:rPr/>
      </w:pPr>
      <w:r>
        <w:rPr/>
        <w:t>15.</w:t>
        <w:tab/>
        <w:t xml:space="preserve">On January 19, 2001, SCE filed a lawsuit in the California Superior Court in Los Angeles, </w:t>
      </w:r>
      <w:r>
        <w:rPr>
          <w:i/>
          <w:iCs/>
        </w:rPr>
        <w:t>Southern California Edison v. California Power Exchange Corporation</w:t>
      </w:r>
      <w:r>
        <w:rPr/>
        <w:t>, No. BC 243 658, seeking to enjoin the PX from liquidating the SCE BFM Contracts.  The office of the Attorney General of the State of California intervened in the matter as a plaintiff.  On January 24, 2001, the Court enjoined the PX from liquidating the contracts pending a further hearing on February 2.  The Court indicated that if the Governor had not taken some action on the BFM contracts before February 2, 2001, the injunction would be dissolved.  At the hearing on February 2, the Court held that SCE was unlikely to prevail on the merits of its claim that the PX was not entitled to liquidate the BFM Contracts, and ordered the injunction dissolved at 4:00 p.m. on February 2.</w:t>
      </w:r>
    </w:p>
    <w:p>
      <w:pPr>
        <w:pStyle w:val="bodytext1"/>
        <w:rPr/>
      </w:pPr>
      <w:r>
        <w:rPr/>
        <w:t>16.</w:t>
        <w:tab/>
        <w:t xml:space="preserve">On January 23, PG&amp;E filed a lawsuit in the California Superior Court in San Francisco, </w:t>
      </w:r>
      <w:r>
        <w:rPr>
          <w:i/>
          <w:iCs/>
        </w:rPr>
        <w:t xml:space="preserve">Pacific Gas &amp; Electric v. California Power Exchange Corp., </w:t>
      </w:r>
      <w:r>
        <w:rPr/>
        <w:t xml:space="preserve">No. 318308, seeking to enjoin the PX from liquidating the PG&amp;E BFM Contracts.  The office of the Attorney General of the State of California intervened in the matter as a plaintiff.  The court entered a temporary restraining order on January 25, 2001, that enjoined the PX from liquidating the contracts pending a preliminary injunction hearing on February 5.  </w:t>
      </w:r>
    </w:p>
    <w:p>
      <w:pPr>
        <w:pStyle w:val="bodytext1"/>
        <w:rPr/>
      </w:pPr>
      <w:r>
        <w:rPr/>
        <w:t>17.</w:t>
        <w:tab/>
        <w:t>On February 2, 2001, the PX began preparations for the immediate liquidation of the BFM Contracts, including accepting bids for their sale.  Bids for the BFM Contracts entered into by SCE totaled in excess of $651 million and that bids for the BFM Contracts entered into by PG&amp;E totaled in excess of $347 million.</w:t>
      </w:r>
    </w:p>
    <w:p>
      <w:pPr>
        <w:pStyle w:val="Heading1"/>
        <w:keepNext w:val="false"/>
        <w:keepLines w:val="false"/>
        <w:ind w:hanging="0" w:start="0" w:end="0"/>
        <w:rPr>
          <w:b w:val="false"/>
          <w:bCs/>
        </w:rPr>
      </w:pPr>
      <w:r>
        <w:rPr>
          <w:b w:val="false"/>
          <w:bCs/>
        </w:rPr>
        <w:t>THE COMMANDEERING OF THE BFM CONTRACTS</w:t>
      </w:r>
    </w:p>
    <w:p>
      <w:pPr>
        <w:pStyle w:val="bodytext1"/>
        <w:rPr/>
      </w:pPr>
      <w:r>
        <w:rPr/>
        <w:t>18.</w:t>
        <w:tab/>
        <w:t xml:space="preserve">On February 2, 2001, immediately before the injunction in </w:t>
      </w:r>
      <w:r>
        <w:rPr>
          <w:i/>
          <w:iCs/>
        </w:rPr>
        <w:t>Southern California Edison v. California Power Exchange Corporation</w:t>
      </w:r>
      <w:r>
        <w:rPr/>
        <w:t xml:space="preserve"> enjoining liquidation was dissolved, the Governor issued an Executive Order commandeering the SCE BFM Contracts.  The Executive Order read in part:</w:t>
      </w:r>
    </w:p>
    <w:p>
      <w:pPr>
        <w:pStyle w:val="quote"/>
        <w:rPr/>
      </w:pPr>
      <w:r>
        <w:rPr/>
        <w:t>Pursuant to section 8572 of the California Emergency Services Act, it is ordered that the contracts and trades in the market for sales and purchases of forward contracts and trades for electricity (known as the “Block Forward” market) for the delivery of electricity possessed by Southern California Edison, a corporation organized and existing under the laws of the State of California with its principal place of business in California, and subject to actions, including liquidation, by the California Power Exchange Corporation, a non-profit public benefit corporation organized and existing under the laws of the State of California, is hereby commandeered by the State of California to be held subject to the control and coordination of the State of California.</w:t>
      </w:r>
    </w:p>
    <w:p>
      <w:pPr>
        <w:pStyle w:val="bodytext1"/>
        <w:rPr/>
      </w:pPr>
      <w:r>
        <w:rPr/>
        <w:t>19.</w:t>
        <w:tab/>
        <w:t xml:space="preserve">On February 5, 2001, immediately before the hearing on the preliminary injunction in </w:t>
      </w:r>
      <w:r>
        <w:rPr>
          <w:i/>
          <w:iCs/>
        </w:rPr>
        <w:t>Pacific Gas &amp; Electric v. California Power Exchange Corp.,</w:t>
      </w:r>
      <w:r>
        <w:rPr/>
        <w:t xml:space="preserve"> the Governor issued an Executive Order commandeering the PG&amp;E BFM Contracts.  The Executive Order read in part:</w:t>
      </w:r>
    </w:p>
    <w:p>
      <w:pPr>
        <w:pStyle w:val="quote"/>
        <w:rPr/>
      </w:pPr>
      <w:r>
        <w:rPr/>
        <w:t>Pursuant to section 8572 of the California Emergency Services Act, it is ordered that the contracts and trades in the market for sales and purchases of forward contracts and trades for electricity (known as the “Block Forward” market) for the delivery of electricity possessed by Pacific Gas &amp; Electric Company, a corporation organized and existing under the laws of the State of California with its principal place of business in California, and subject to actions, including liquidation, by the California Power Exchange Corporation, a non-profit public benefit corporation organized and existing under the laws of the State of California, is hereby commandeered by the State of California to be held subject to the control and coordination of the State of California.</w:t>
      </w:r>
    </w:p>
    <w:p>
      <w:pPr>
        <w:pStyle w:val="bodytext1"/>
        <w:rPr/>
      </w:pPr>
      <w:r>
        <w:rPr/>
        <w:t>20.</w:t>
        <w:tab/>
        <w:t xml:space="preserve">As a result of the Governor’s commandeering of the SCE and PG&amp;E BFM Contracts, the PX has been unable to liquidate them, as it had been poised to do under its authority granted by the FERC-approved PX Tariff and the CTS Block Forward Market trading rules.  Consequently, plaintiffs were not able to benefit from the proceeds from such a liquidation which would have been allocated among the non-defaulting PX market participants, including Reliant, to compensate them for their losses resulting from PG&amp;E’s and SCE’s defaults.  </w:t>
      </w:r>
    </w:p>
    <w:p>
      <w:pPr>
        <w:pStyle w:val="bodytext1"/>
        <w:rPr/>
      </w:pPr>
      <w:r>
        <w:rPr/>
        <w:t>21.</w:t>
        <w:tab/>
        <w:t xml:space="preserve">Under the California Constitution, Art. I, Section 19, and the Emergency Services Act, Cal. Gov. Code § 8572,  the State is required to pay “just compensation” and the “reasonable value” of for the commandeered SCE and PG&amp;E BFM Contracts.  The reasonable value of and just compensation for the BFM contracts at issue here is their liquidation value as of the date the Governor commandeered the BFM Contracts. </w:t>
      </w:r>
    </w:p>
    <w:p>
      <w:pPr>
        <w:pStyle w:val="bodytext1"/>
        <w:rPr/>
      </w:pPr>
      <w:r>
        <w:rPr/>
        <w:t>22.</w:t>
        <w:tab/>
        <w:t xml:space="preserve">On March 5, 2001, the United States District Court for the Central District of California entered a preliminary injunction in the matter of </w:t>
      </w:r>
      <w:r>
        <w:rPr>
          <w:i/>
          <w:iCs/>
        </w:rPr>
        <w:t xml:space="preserve">Enron Power Marketing v. The California Power Exchange Corporation, </w:t>
      </w:r>
      <w:r>
        <w:rPr/>
        <w:t xml:space="preserve">No. 01-00901 CM (and related cases) which prohibits the PX from issuing further invoices for charge backs, and prohibits the PX from attempting to collect or set off funds to recover chargeback amounts.  Pending a FERC decision on the distribution of funds among PX Market Participants in the matter of </w:t>
      </w:r>
      <w:r>
        <w:rPr>
          <w:i/>
          <w:iCs/>
        </w:rPr>
        <w:t xml:space="preserve">Coral Power LLC v. California Power Exchange Corporation, </w:t>
      </w:r>
      <w:r>
        <w:rPr/>
        <w:t>FERC Docket No. EL01 - 36 - 000, all proceeds of payments to the PX for settlement of outstanding transactions in the PX markets are to be paid into an escrow account (the “PX Escrow”).</w:t>
      </w:r>
    </w:p>
    <w:p>
      <w:pPr>
        <w:pStyle w:val="BodyText"/>
        <w:spacing w:lineRule="exact" w:line="240" w:before="240" w:after="0"/>
        <w:ind w:hanging="0" w:end="0"/>
        <w:jc w:val="center"/>
        <w:rPr/>
      </w:pPr>
      <w:r>
        <w:rPr>
          <w:b/>
          <w:bCs/>
        </w:rPr>
        <w:t>FIRST CAUSE OF ACTION</w:t>
        <w:br/>
      </w:r>
      <w:r>
        <w:rPr/>
        <w:t>(Declaratory Relief against all Defendants)</w:t>
      </w:r>
    </w:p>
    <w:p>
      <w:pPr>
        <w:pStyle w:val="bodytext1"/>
        <w:rPr/>
      </w:pPr>
      <w:r>
        <w:rPr/>
        <w:t>23.</w:t>
        <w:tab/>
        <w:t>Plaintiffs incorporate by reference the allegations contained in paragraphs 1 through 22 of this Complaint as though fully set forth herein.</w:t>
      </w:r>
    </w:p>
    <w:p>
      <w:pPr>
        <w:pStyle w:val="bodytext1"/>
        <w:rPr/>
      </w:pPr>
      <w:r>
        <w:rPr/>
        <w:t>24.</w:t>
        <w:tab/>
        <w:t xml:space="preserve">An actual controversy has arisen and now exists between and among plaintiffs, the Governor, and the State concerning their respective rights and duties.  Plaintiffs contend that they and the other non-defaulting PX market participants are owed “just compensation” for the “reasonable value” of the commandeered BFM Contracts sufficient to make them whole for the losses they incurred as a result of SCE’s and PG&amp;E’s defaults and the Governor’s commandeering of the BFM Contracts.  Plaintiffs further contend that the reasonable value of and just compensation for the commandeered Contracts is their liquidation value as of the dates the Governor commandeered the Contracts.  </w:t>
      </w:r>
    </w:p>
    <w:p>
      <w:pPr>
        <w:pStyle w:val="bodytext1"/>
        <w:rPr/>
      </w:pPr>
      <w:r>
        <w:rPr/>
        <w:t>25.</w:t>
        <w:tab/>
        <w:t>Plaintiffs are informed and believe that the Governor and the State dispute that the PX and market participants are owed any compensation as a result of the commandeering, and further dispute that the reasonable value of and just compensation for the commandeered BFM Contracts is the liquidation value of the contracts on the dates the Governor commandeered the Contracts.</w:t>
      </w:r>
    </w:p>
    <w:p>
      <w:pPr>
        <w:pStyle w:val="bodytext1"/>
        <w:rPr/>
      </w:pPr>
      <w:r>
        <w:rPr/>
        <w:t>26.</w:t>
        <w:tab/>
        <w:t xml:space="preserve">Plaintiffs desire a judicial determination of all parties’ rights and duties, and a declaration as to plaintiffs’ interest in and entitlement to any compensation due and owing from the State for the “reasonable value” of and “just compensation” for the commandeered BFM contracts, and the amount of such compensation.  Plaintiffs further desire a judicial determination that all compensation owed for the commandeering of the BFM contracts must be deposited into the Escrow Account pending a decision by FERC as to the proper disposition of such funds in the matter of </w:t>
      </w:r>
      <w:r>
        <w:rPr>
          <w:i/>
          <w:iCs/>
        </w:rPr>
        <w:t>Coral Power LLC v. California Power Exchange Corporation</w:t>
      </w:r>
      <w:r>
        <w:rPr/>
        <w:t>.</w:t>
      </w:r>
    </w:p>
    <w:p>
      <w:pPr>
        <w:pStyle w:val="bodytext1"/>
        <w:rPr/>
      </w:pPr>
      <w:r>
        <w:rPr/>
        <w:t>27.</w:t>
        <w:tab/>
        <w:t>A judicial declaration is necessary and appropriate at this time under the circumstances in order that plaintiffs may ascertain their interest in and entitlement to any compensation due and owing from the State for the “reasonable value” of and “just compensation” for the commandeered BFM Contracts.  Plaintiffs have suffered significant monetary loss as a result of SCE’s and PG&amp;E’s defaults and as a result of the Governor’s commandeering of the BFM Contracts.  Such a declaration is necessary so that plaintiffs may determine the extent of their interest in any funds due and owing from the State and consequently their need to seek alternative legal forms of redress for their losses.</w:t>
      </w:r>
    </w:p>
    <w:p>
      <w:pPr>
        <w:pStyle w:val="BodyText"/>
        <w:keepNext w:val="true"/>
        <w:keepLines/>
        <w:spacing w:lineRule="exact" w:line="240" w:before="240" w:after="0"/>
        <w:ind w:hanging="0" w:end="0"/>
        <w:jc w:val="center"/>
        <w:rPr>
          <w:b/>
          <w:bCs/>
          <w:u w:val="single"/>
        </w:rPr>
      </w:pPr>
      <w:r>
        <w:rPr>
          <w:b/>
          <w:bCs/>
          <w:u w:val="single"/>
        </w:rPr>
        <w:t>SECOND CAUSE OF ACTION</w:t>
      </w:r>
    </w:p>
    <w:p>
      <w:pPr>
        <w:pStyle w:val="bodytext1"/>
        <w:keepNext w:val="true"/>
        <w:keepLines/>
        <w:spacing w:lineRule="exact" w:line="240"/>
        <w:ind w:hanging="0" w:end="0"/>
        <w:jc w:val="center"/>
        <w:rPr/>
      </w:pPr>
      <w:r>
        <w:rPr/>
        <w:t>(Inverse Condemnation against the Governor and the State)</w:t>
      </w:r>
    </w:p>
    <w:p>
      <w:pPr>
        <w:pStyle w:val="bodytext1"/>
        <w:keepNext w:val="true"/>
        <w:keepLines/>
        <w:rPr/>
      </w:pPr>
      <w:r>
        <w:rPr/>
        <w:t>28.</w:t>
        <w:tab/>
        <w:t>Plaintiffs incorporate by reference the allegations contained in paragraphs 1 through 27 of this Complaint as though fully set forth herein.</w:t>
      </w:r>
    </w:p>
    <w:p>
      <w:pPr>
        <w:pStyle w:val="bodytext1"/>
        <w:rPr/>
      </w:pPr>
      <w:r>
        <w:rPr/>
        <w:t>29.</w:t>
        <w:tab/>
        <w:t>At all relevant times, plaintiffs had an interest in the SCE and PG&amp;E BFM Contracts by virtue of their rights under the PX Tariff and the CTS Block Forward Market Trading Rules to have the BFM Contracts liquidated for the benefit of non-defaulting PX market participants upon SCE’s and PG&amp;E’s defaults.  Under the PX Operating Manual and the CTS Block Forward Market Trading Rules, the shortfall allocated to market participation as a result of the defaults by SCE and PG&amp;E constitutes an amount due and owing by SCE and PG&amp;E to plaintiffs, and the proceeds of the liquidation by the PX would have been distributed among Reliant and the other non-defaulting PX market participants.</w:t>
      </w:r>
    </w:p>
    <w:p>
      <w:pPr>
        <w:pStyle w:val="bodytext1"/>
        <w:rPr/>
      </w:pPr>
      <w:r>
        <w:rPr/>
        <w:t>30.</w:t>
        <w:tab/>
        <w:t>On February 2, 2001, the Governor issued an Executive Order commandeering the SCE BFM Contracts pursuant to section 8572 of the California Emergency Services Act.  On February 5, 2001, the Governor issued an Executive Order commandeering the PG&amp;E BFM Contracts pursuant to section 8572 of the California Emergency Services Act.</w:t>
      </w:r>
    </w:p>
    <w:p>
      <w:pPr>
        <w:pStyle w:val="bodytext1"/>
        <w:rPr/>
      </w:pPr>
      <w:r>
        <w:rPr/>
        <w:t>31.</w:t>
        <w:tab/>
        <w:t>As a result of the Governor’s commandeering of the BFM Contracts, the PX has been unable to liquidate them for the benefit of non-defaulting PX market participants, as the PX was in the process of doing under its authority granted by the Tariff and the CTS Block Forward Market Trading Rules.  The Governor’s commandeering of the BFM Contracts deprived Reliant of the benefit of the proceeds of the PX’s intended liquidation, which would have been allocated among the non-defaulting PX market participants, including Reliant to compensate them for their losses resulting from SCE’s and PG&amp;E’s defaults.  Thus, the Governor’s commandeering of the BFM contracts proximately caused plaintiffs to suffer damages in an amount to be proved at trial.</w:t>
      </w:r>
    </w:p>
    <w:p>
      <w:pPr>
        <w:pStyle w:val="bodytext1"/>
        <w:rPr/>
      </w:pPr>
      <w:r>
        <w:rPr/>
        <w:t>32.</w:t>
        <w:tab/>
        <w:t>Plaintiffs have received no compensation for the damages they suffered as a result of the Governor’s commandeering of the BFM Contracts.</w:t>
      </w:r>
    </w:p>
    <w:p>
      <w:pPr>
        <w:pStyle w:val="bodytext1"/>
        <w:rPr/>
      </w:pPr>
      <w:r>
        <w:rPr/>
        <w:t>33.</w:t>
        <w:tab/>
        <w:t>Plaintiffs have incurred, and will continue to incur, attorneys’ and appraisal fees and other expenses because of this proceeding, in amounts that cannot yet be ascertained.</w:t>
      </w:r>
    </w:p>
    <w:p>
      <w:pPr>
        <w:pStyle w:val="Heading1"/>
        <w:ind w:hanging="0" w:start="0" w:end="0"/>
        <w:rPr>
          <w:b w:val="false"/>
        </w:rPr>
      </w:pPr>
      <w:r>
        <w:rPr>
          <w:b w:val="false"/>
        </w:rPr>
        <w:t>prayer for relief</w:t>
      </w:r>
    </w:p>
    <w:p>
      <w:pPr>
        <w:pStyle w:val="bodytextblock"/>
        <w:rPr/>
      </w:pPr>
      <w:r>
        <w:rPr/>
        <w:t>WHEREFORE, plaintiffs pray for judgment as follows:</w:t>
      </w:r>
    </w:p>
    <w:p>
      <w:pPr>
        <w:pStyle w:val="bodytext1"/>
        <w:tabs>
          <w:tab w:val="clear" w:pos="720"/>
          <w:tab w:val="left" w:pos="0" w:leader="none"/>
        </w:tabs>
        <w:rPr/>
      </w:pPr>
      <w:r>
        <w:rPr/>
        <w:t>a.</w:t>
        <w:tab/>
        <w:t xml:space="preserve">For a declaration that the State must pay compensation for the commandeered BFM contracts in an amount equal to their liquidation value on the dates the Governor commandeered the contracts. </w:t>
      </w:r>
    </w:p>
    <w:p>
      <w:pPr>
        <w:pStyle w:val="bodytext1"/>
        <w:rPr/>
      </w:pPr>
      <w:r>
        <w:rPr/>
        <w:t>b.</w:t>
        <w:tab/>
        <w:t xml:space="preserve">For a declaration that any compensation due and owing from the State for the “reasonable value” of and “just compensation” for the commandeered BFM contracts must be placed in the PX Escrow Account hed by the U.S. District Court in </w:t>
      </w:r>
      <w:r>
        <w:rPr>
          <w:i/>
          <w:iCs/>
        </w:rPr>
        <w:t>Enron v. California Power Exchange</w:t>
      </w:r>
      <w:r>
        <w:rPr/>
        <w:t xml:space="preserve">, so that the monies in such account may be distributed among the PX and the non-defaulting PX market participants in the manner prescribed under the PX tariff as if such compensation were realized by the PX from a PX liquidation of the BFM contracts absent any action by the Governor, or in the manner subsequently prescribed by FERC in the matter of </w:t>
      </w:r>
      <w:r>
        <w:rPr>
          <w:i/>
          <w:iCs/>
        </w:rPr>
        <w:t>Coral Power LLC v. California Power Exchange</w:t>
      </w:r>
      <w:r>
        <w:rPr/>
        <w:t>;</w:t>
      </w:r>
    </w:p>
    <w:p>
      <w:pPr>
        <w:pStyle w:val="bodytext1"/>
        <w:ind w:firstLine="1350" w:start="90" w:end="0"/>
        <w:rPr/>
      </w:pPr>
      <w:r>
        <w:rPr/>
        <w:t>c.</w:t>
        <w:tab/>
        <w:t xml:space="preserve">For damages in an amount to be proved at trial with interest thereon at the legal rate from the dates of the Governor’s commandeering of the BFM contracts to be paid into the PX Escrow Account or to be distributed in the manner subsequently prescribed by FERC in the matter of </w:t>
      </w:r>
      <w:r>
        <w:rPr>
          <w:i/>
          <w:iCs/>
        </w:rPr>
        <w:t>Coral Power LLC v. California Power Exchange</w:t>
      </w:r>
      <w:r>
        <w:rPr/>
        <w:t>;</w:t>
      </w:r>
    </w:p>
    <w:p>
      <w:pPr>
        <w:pStyle w:val="bodytext1"/>
        <w:rPr/>
      </w:pPr>
      <w:r>
        <w:rPr/>
        <w:t>d.</w:t>
        <w:tab/>
        <w:t>For plaintiffs’ costs of suit and attorneys’ and appraisal fees and other expenses according to proof; and</w:t>
      </w:r>
    </w:p>
    <w:p>
      <w:pPr>
        <w:pStyle w:val="bodytext1"/>
        <w:ind w:hanging="0" w:start="1440" w:end="0"/>
        <w:rPr/>
      </w:pPr>
      <w:r>
        <w:rPr/>
        <w:t>e.</w:t>
        <w:tab/>
        <w:t>For such other and further relief as the Court deems proper.</w:t>
      </w:r>
    </w:p>
    <w:p>
      <w:pPr>
        <w:pStyle w:val="zDated"/>
        <w:keepNext w:val="false"/>
        <w:rPr/>
      </w:pPr>
      <w:r>
        <w:rPr/>
        <w:t xml:space="preserve">DATED:  </w:t>
      </w:r>
      <w:bookmarkStart w:id="18" w:name="zDate"/>
      <w:bookmarkEnd w:id="18"/>
      <w:r>
        <w:rPr/>
        <w:fldChar w:fldCharType="begin"/>
      </w:r>
      <w:r>
        <w:rPr/>
        <w:instrText xml:space="preserve"> DATE \@"MMMM\ d', 'yyyy" </w:instrText>
      </w:r>
      <w:r>
        <w:rPr/>
        <w:fldChar w:fldCharType="separate"/>
      </w:r>
      <w:r>
        <w:rPr/>
        <w:t>September 28, 2025</w:t>
      </w:r>
      <w:r>
        <w:rPr/>
        <w:fldChar w:fldCharType="end"/>
      </w:r>
      <w:r>
        <w:rPr/>
        <w:t>.</w:t>
      </w:r>
    </w:p>
    <w:p>
      <w:pPr>
        <w:pStyle w:val="zSignatureBlock"/>
        <w:keepNext w:val="false"/>
        <w:spacing w:before="0" w:after="0"/>
        <w:ind w:hanging="360" w:end="0"/>
        <w:rPr/>
      </w:pPr>
      <w:bookmarkStart w:id="19" w:name="RESPECT"/>
      <w:bookmarkEnd w:id="19"/>
      <w:r>
        <w:rPr/>
        <w:t>McCUTCHEN, DOYLE, BROWN &amp; ENERSEN, LLP</w:t>
      </w:r>
    </w:p>
    <w:p>
      <w:pPr>
        <w:pStyle w:val="zByLine"/>
        <w:tabs>
          <w:tab w:val="clear" w:pos="4770"/>
          <w:tab w:val="clear" w:pos="9360"/>
        </w:tabs>
        <w:spacing w:before="240" w:after="0"/>
        <w:ind w:hanging="360" w:end="0"/>
        <w:rPr/>
      </w:pPr>
      <w:r>
        <w:rPr/>
        <w:t>By:</w:t>
        <w:tab/>
      </w:r>
      <w:r>
        <w:rPr>
          <w:u w:val="single"/>
        </w:rPr>
        <w:tab/>
        <w:tab/>
        <w:tab/>
        <w:tab/>
        <w:tab/>
        <w:tab/>
        <w:tab/>
      </w:r>
    </w:p>
    <w:p>
      <w:pPr>
        <w:pStyle w:val="Normal"/>
        <w:spacing w:lineRule="atLeast" w:line="240"/>
        <w:ind w:start="4680" w:end="0"/>
        <w:jc w:val="center"/>
        <w:rPr/>
      </w:pPr>
      <w:bookmarkStart w:id="20" w:name="SIGNER"/>
      <w:bookmarkStart w:id="21" w:name="zAttySign"/>
      <w:bookmarkEnd w:id="20"/>
      <w:bookmarkEnd w:id="21"/>
      <w:r>
        <w:rPr/>
        <w:t>Nora Cregan</w:t>
      </w:r>
    </w:p>
    <w:p>
      <w:pPr>
        <w:pStyle w:val="Normal"/>
        <w:spacing w:lineRule="atLeast" w:line="240"/>
        <w:ind w:start="4680" w:end="0"/>
        <w:jc w:val="center"/>
        <w:rPr/>
      </w:pPr>
      <w:r>
        <w:rPr/>
        <w:t xml:space="preserve">Attorneys for </w:t>
      </w:r>
      <w:bookmarkStart w:id="22" w:name="REPNAME2"/>
      <w:bookmarkEnd w:id="22"/>
      <w:r>
        <w:rPr/>
        <w:t>Plaintiff</w:t>
        <w:br/>
        <w:t>Reliant Energy Services, Inc.</w:t>
      </w:r>
    </w:p>
    <w:p>
      <w:pPr>
        <w:pStyle w:val="Normal"/>
        <w:rPr/>
      </w:pPr>
      <w:r>
        <w:rPr/>
      </w:r>
    </w:p>
    <w:sectPr>
      <w:headerReference w:type="default" r:id="rId2"/>
      <w:headerReference w:type="first" r:id="rId3"/>
      <w:footerReference w:type="default" r:id="rId4"/>
      <w:footerReference w:type="first" r:id="rId5"/>
      <w:type w:val="nextPage"/>
      <w:pgSz w:w="12240" w:h="15840"/>
      <w:pgMar w:left="1728" w:right="1152" w:gutter="0" w:header="720" w:top="1368" w:footer="432"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W1)">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ind w:start="-547" w:end="-547"/>
      <w:rPr>
        <w:color w:val="000000"/>
      </w:rPr>
    </w:pPr>
    <w:r>
      <w:rPr>
        <w:rFonts w:cs="Arial" w:ascii="Arial" w:hAnsi="Arial"/>
        <w:color w:val="0000FF"/>
        <w:sz w:val="14"/>
      </w:rPr>
      <w:fldChar w:fldCharType="begin"/>
    </w:r>
    <w:r>
      <w:rPr>
        <w:sz w:val="14"/>
        <w:rFonts w:cs="Arial" w:ascii="Arial" w:hAnsi="Arial"/>
        <w:color w:val="0000FF"/>
      </w:rPr>
      <w:instrText xml:space="preserve"> FILENAME </w:instrText>
    </w:r>
    <w:r>
      <w:rPr>
        <w:sz w:val="14"/>
        <w:rFonts w:cs="Arial" w:ascii="Arial" w:hAnsi="Arial"/>
        <w:color w:val="0000FF"/>
      </w:rPr>
      <w:fldChar w:fldCharType="separate"/>
    </w:r>
    <w:r>
      <w:rPr>
        <w:sz w:val="14"/>
        <w:rFonts w:cs="Arial" w:ascii="Arial" w:hAnsi="Arial"/>
        <w:color w:val="0000FF"/>
      </w:rPr>
      <w:t>21315587_2.DOC</w:t>
    </w:r>
    <w:r>
      <w:rPr>
        <w:sz w:val="14"/>
        <w:rFonts w:cs="Arial" w:ascii="Arial" w:hAnsi="Arial"/>
        <w:color w:val="0000FF"/>
      </w:rPr>
      <w:fldChar w:fldCharType="end"/>
    </w:r>
    <w:r>
      <w:rPr>
        <w:rFonts w:cs="Arial" w:ascii="Arial" w:hAnsi="Arial"/>
        <w:color w:val="0000FF"/>
        <w:sz w:val="14"/>
      </w:rPr>
      <w:tab/>
    </w:r>
    <w:r>
      <w:rPr/>
      <w:fldChar w:fldCharType="begin"/>
    </w:r>
    <w:r>
      <w:rPr/>
      <w:instrText xml:space="preserve"> PAGE </w:instrText>
    </w:r>
    <w:r>
      <w:rPr/>
      <w:fldChar w:fldCharType="separate"/>
    </w:r>
    <w:r>
      <w:rPr/>
      <w:t>11</w:t>
    </w:r>
    <w:r>
      <w:rPr/>
      <w:fldChar w:fldCharType="end"/>
    </w:r>
  </w:p>
  <w:p>
    <w:pPr>
      <w:pStyle w:val="Footer"/>
      <w:pBdr>
        <w:top w:val="single" w:sz="6" w:space="1" w:color="000000"/>
      </w:pBdr>
      <w:ind w:end="-547"/>
      <w:jc w:val="center"/>
      <w:rPr>
        <w:rFonts w:ascii="Times New Roman" w:hAnsi="Times New Roman" w:cs="Times New Roman"/>
        <w:sz w:val="18"/>
      </w:rPr>
    </w:pPr>
    <w:r>
      <w:rPr>
        <w:rFonts w:cs="Times New Roman" w:ascii="Times New Roman" w:hAnsi="Times New Roman"/>
        <w:sz w:val="18"/>
      </w:rPr>
      <w:t>COMPLAINT FOR DECLARATORY RELIEF AND DAMAGES IN INVERSE CONDEMNATION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 w:val="right" w:pos="9900" w:leader="none"/>
      </w:tabs>
      <w:ind w:end="-547"/>
      <w:jc w:val="end"/>
      <w:rPr>
        <w:rFonts w:ascii="Times New Roman" w:hAnsi="Times New Roman" w:cs="Times New Roman"/>
      </w:rPr>
    </w:pPr>
    <w:r>
      <w:rPr>
        <w:rFonts w:cs="Times New Roman" w:ascii="Times New Roman" w:hAnsi="Times New Roman"/>
      </w:rPr>
      <w:t>DOCUMENT PREPARED ON RECYCLED PAPER</w:t>
    </w:r>
  </w:p>
  <w:p>
    <w:pPr>
      <w:pStyle w:val="Footer"/>
      <w:tabs>
        <w:tab w:val="clear" w:pos="9360"/>
        <w:tab w:val="center" w:pos="4680" w:leader="none"/>
        <w:tab w:val="right" w:pos="9900" w:leader="none"/>
      </w:tabs>
      <w:rPr/>
    </w:pPr>
    <w:r>
      <w:rPr/>
      <w:fldChar w:fldCharType="begin"/>
    </w:r>
    <w:r>
      <w:rPr/>
      <w:instrText xml:space="preserve"> FILENAME </w:instrText>
    </w:r>
    <w:r>
      <w:rPr/>
      <w:fldChar w:fldCharType="separate"/>
    </w:r>
    <w:r>
      <w:rPr/>
      <w:t>21315587_2.DOC</w:t>
    </w:r>
    <w:r>
      <w:rPr/>
      <w:fldChar w:fldCharType="end"/>
    </w:r>
    <w:r>
      <w:rPr/>
      <w:tab/>
      <w:tab/>
    </w:r>
  </w:p>
  <w:p>
    <w:pPr>
      <w:pStyle w:val="Footer"/>
      <w:pBdr>
        <w:top w:val="single" w:sz="6" w:space="1" w:color="000000"/>
      </w:pBdr>
      <w:ind w:end="-547"/>
      <w:jc w:val="center"/>
      <w:rPr>
        <w:rFonts w:ascii="Times New Roman" w:hAnsi="Times New Roman" w:cs="Times New Roman"/>
        <w:sz w:val="18"/>
      </w:rPr>
    </w:pPr>
    <w:r>
      <w:rPr>
        <w:rFonts w:cs="Times New Roman" w:ascii="Times New Roman" w:hAnsi="Times New Roman"/>
        <w:sz w:val="18"/>
      </w:rPr>
      <w:t>COMPLAINT FOR DECLARATORY RELIEF AND DAMAGES IN INVERSE CONDEMNATION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jc w:val="cent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align>top</wp:align>
              </wp:positionV>
              <wp:extent cx="5943600" cy="10058400"/>
              <wp:effectExtent l="0" t="0" r="0" b="0"/>
              <wp:wrapNone/>
              <wp:docPr id="1" name="Frame2"/>
              <a:graphic xmlns:a="http://schemas.openxmlformats.org/drawingml/2006/main">
                <a:graphicData uri="http://schemas.microsoft.com/office/word/2010/wordprocessingShape">
                  <wps:wsp>
                    <wps:cNvSpPr txBox="1"/>
                    <wps:spPr>
                      <a:xfrm>
                        <a:off x="0" y="0"/>
                        <a:ext cx="5943600" cy="10058400"/>
                      </a:xfrm>
                      <a:prstGeom prst="rect"/>
                      <a:solidFill>
                        <a:srgbClr val="FFFFFF"/>
                      </a:solidFill>
                    </wps:spPr>
                    <wps:txbx>
                      <w:txbxContent>
                        <w:tbl>
                          <w:tblPr>
                            <w:tblW w:w="10354" w:type="dxa"/>
                            <w:jc w:val="start"/>
                            <w:tblInd w:w="-720" w:type="dxa"/>
                            <w:tblLayout w:type="fixed"/>
                            <w:tblCellMar>
                              <w:top w:w="0" w:type="dxa"/>
                              <w:start w:w="0" w:type="dxa"/>
                              <w:bottom w:w="0" w:type="dxa"/>
                              <w:end w:w="0" w:type="dxa"/>
                            </w:tblCellMar>
                          </w:tblPr>
                          <w:tblGrid>
                            <w:gridCol w:w="634"/>
                            <w:gridCol w:w="9720"/>
                          </w:tblGrid>
                          <w:tr>
                            <w:trPr>
                              <w:trHeight w:val="14880" w:hRule="exact"/>
                            </w:trPr>
                            <w:tc>
                              <w:tcPr>
                                <w:tcW w:w="634" w:type="dxa"/>
                                <w:tcBorders/>
                              </w:tcPr>
                              <w:p>
                                <w:pPr>
                                  <w:pStyle w:val="Header"/>
                                  <w:spacing w:lineRule="atLeast" w:line="480" w:before="480" w:after="0"/>
                                  <w:ind w:end="245"/>
                                  <w:jc w:val="end"/>
                                  <w:rPr>
                                    <w:u w:val="none"/>
                                  </w:rPr>
                                </w:pPr>
                                <w:r>
                                  <w:rPr>
                                    <w:u w:val="none"/>
                                  </w:rPr>
                                  <w:t>1</w:t>
                                </w:r>
                              </w:p>
                              <w:p>
                                <w:pPr>
                                  <w:pStyle w:val="Header"/>
                                  <w:spacing w:lineRule="atLeast" w:line="480" w:before="0" w:after="0"/>
                                  <w:ind w:end="245"/>
                                  <w:jc w:val="end"/>
                                  <w:rPr>
                                    <w:u w:val="none"/>
                                  </w:rPr>
                                </w:pPr>
                                <w:r>
                                  <w:rPr>
                                    <w:u w:val="none"/>
                                  </w:rPr>
                                  <w:t>2</w:t>
                                </w:r>
                              </w:p>
                              <w:p>
                                <w:pPr>
                                  <w:pStyle w:val="Header"/>
                                  <w:spacing w:lineRule="atLeast" w:line="480" w:before="0" w:after="0"/>
                                  <w:ind w:end="245"/>
                                  <w:jc w:val="end"/>
                                  <w:rPr>
                                    <w:u w:val="none"/>
                                  </w:rPr>
                                </w:pPr>
                                <w:r>
                                  <w:rPr>
                                    <w:u w:val="none"/>
                                  </w:rPr>
                                  <w:t>3</w:t>
                                </w:r>
                              </w:p>
                              <w:p>
                                <w:pPr>
                                  <w:pStyle w:val="Header"/>
                                  <w:spacing w:lineRule="atLeast" w:line="480" w:before="0" w:after="0"/>
                                  <w:ind w:end="245"/>
                                  <w:jc w:val="end"/>
                                  <w:rPr>
                                    <w:u w:val="none"/>
                                  </w:rPr>
                                </w:pPr>
                                <w:r>
                                  <w:rPr>
                                    <w:u w:val="none"/>
                                  </w:rPr>
                                  <w:t>4</w:t>
                                </w:r>
                              </w:p>
                              <w:p>
                                <w:pPr>
                                  <w:pStyle w:val="Header"/>
                                  <w:spacing w:lineRule="atLeast" w:line="480" w:before="0" w:after="0"/>
                                  <w:ind w:end="245"/>
                                  <w:jc w:val="end"/>
                                  <w:rPr>
                                    <w:u w:val="none"/>
                                  </w:rPr>
                                </w:pPr>
                                <w:r>
                                  <w:rPr>
                                    <w:u w:val="none"/>
                                  </w:rPr>
                                  <w:t>5</w:t>
                                </w:r>
                              </w:p>
                              <w:p>
                                <w:pPr>
                                  <w:pStyle w:val="Header"/>
                                  <w:spacing w:lineRule="atLeast" w:line="480" w:before="0" w:after="0"/>
                                  <w:ind w:end="245"/>
                                  <w:jc w:val="end"/>
                                  <w:rPr>
                                    <w:u w:val="none"/>
                                  </w:rPr>
                                </w:pPr>
                                <w:r>
                                  <w:rPr>
                                    <w:u w:val="none"/>
                                  </w:rPr>
                                  <w:t>6</w:t>
                                </w:r>
                              </w:p>
                              <w:p>
                                <w:pPr>
                                  <w:pStyle w:val="Header"/>
                                  <w:spacing w:lineRule="atLeast" w:line="480" w:before="0" w:after="0"/>
                                  <w:ind w:end="245"/>
                                  <w:jc w:val="end"/>
                                  <w:rPr>
                                    <w:u w:val="none"/>
                                  </w:rPr>
                                </w:pPr>
                                <w:r>
                                  <w:rPr>
                                    <w:u w:val="none"/>
                                  </w:rPr>
                                  <w:t>7</w:t>
                                </w:r>
                              </w:p>
                              <w:p>
                                <w:pPr>
                                  <w:pStyle w:val="Header"/>
                                  <w:spacing w:lineRule="atLeast" w:line="480" w:before="0" w:after="0"/>
                                  <w:ind w:end="245"/>
                                  <w:jc w:val="end"/>
                                  <w:rPr>
                                    <w:u w:val="none"/>
                                  </w:rPr>
                                </w:pPr>
                                <w:r>
                                  <w:rPr>
                                    <w:u w:val="none"/>
                                  </w:rPr>
                                  <w:t>8</w:t>
                                </w:r>
                              </w:p>
                              <w:p>
                                <w:pPr>
                                  <w:pStyle w:val="Header"/>
                                  <w:spacing w:lineRule="atLeast" w:line="480" w:before="0" w:after="0"/>
                                  <w:ind w:end="245"/>
                                  <w:jc w:val="end"/>
                                  <w:rPr>
                                    <w:u w:val="none"/>
                                  </w:rPr>
                                </w:pPr>
                                <w:r>
                                  <w:rPr>
                                    <w:u w:val="none"/>
                                  </w:rPr>
                                  <w:t>9</w:t>
                                </w:r>
                              </w:p>
                              <w:p>
                                <w:pPr>
                                  <w:pStyle w:val="Header"/>
                                  <w:spacing w:lineRule="atLeast" w:line="480" w:before="0" w:after="0"/>
                                  <w:ind w:end="245"/>
                                  <w:jc w:val="end"/>
                                  <w:rPr>
                                    <w:u w:val="none"/>
                                  </w:rPr>
                                </w:pPr>
                                <w:r>
                                  <w:rPr>
                                    <w:u w:val="none"/>
                                  </w:rPr>
                                  <w:t>10</w:t>
                                </w:r>
                              </w:p>
                              <w:p>
                                <w:pPr>
                                  <w:pStyle w:val="Header"/>
                                  <w:spacing w:lineRule="atLeast" w:line="480" w:before="0" w:after="0"/>
                                  <w:ind w:end="245"/>
                                  <w:jc w:val="end"/>
                                  <w:rPr>
                                    <w:u w:val="none"/>
                                  </w:rPr>
                                </w:pPr>
                                <w:r>
                                  <w:rPr>
                                    <w:u w:val="none"/>
                                  </w:rPr>
                                  <w:t>11</w:t>
                                </w:r>
                              </w:p>
                              <w:p>
                                <w:pPr>
                                  <w:pStyle w:val="Header"/>
                                  <w:spacing w:lineRule="atLeast" w:line="480" w:before="0" w:after="0"/>
                                  <w:ind w:end="245"/>
                                  <w:jc w:val="end"/>
                                  <w:rPr>
                                    <w:u w:val="none"/>
                                  </w:rPr>
                                </w:pPr>
                                <w:r>
                                  <w:rPr>
                                    <w:u w:val="none"/>
                                  </w:rPr>
                                  <w:t>12</w:t>
                                </w:r>
                              </w:p>
                              <w:p>
                                <w:pPr>
                                  <w:pStyle w:val="Header"/>
                                  <w:spacing w:lineRule="atLeast" w:line="480" w:before="0" w:after="0"/>
                                  <w:ind w:end="245"/>
                                  <w:jc w:val="end"/>
                                  <w:rPr>
                                    <w:u w:val="none"/>
                                  </w:rPr>
                                </w:pPr>
                                <w:r>
                                  <w:rPr>
                                    <w:u w:val="none"/>
                                  </w:rPr>
                                  <w:t>13</w:t>
                                </w:r>
                              </w:p>
                              <w:p>
                                <w:pPr>
                                  <w:pStyle w:val="Header"/>
                                  <w:spacing w:lineRule="atLeast" w:line="480" w:before="0" w:after="0"/>
                                  <w:ind w:end="245"/>
                                  <w:jc w:val="end"/>
                                  <w:rPr>
                                    <w:u w:val="none"/>
                                  </w:rPr>
                                </w:pPr>
                                <w:r>
                                  <w:rPr>
                                    <w:u w:val="none"/>
                                  </w:rPr>
                                  <w:t>14</w:t>
                                </w:r>
                              </w:p>
                              <w:p>
                                <w:pPr>
                                  <w:pStyle w:val="Header"/>
                                  <w:spacing w:lineRule="atLeast" w:line="480" w:before="0" w:after="0"/>
                                  <w:ind w:end="245"/>
                                  <w:jc w:val="end"/>
                                  <w:rPr>
                                    <w:u w:val="none"/>
                                  </w:rPr>
                                </w:pPr>
                                <w:r>
                                  <w:rPr>
                                    <w:u w:val="none"/>
                                  </w:rPr>
                                  <w:t>15</w:t>
                                </w:r>
                              </w:p>
                              <w:p>
                                <w:pPr>
                                  <w:pStyle w:val="Header"/>
                                  <w:spacing w:lineRule="atLeast" w:line="480" w:before="0" w:after="0"/>
                                  <w:ind w:end="245"/>
                                  <w:jc w:val="end"/>
                                  <w:rPr>
                                    <w:u w:val="none"/>
                                  </w:rPr>
                                </w:pPr>
                                <w:r>
                                  <w:rPr>
                                    <w:u w:val="none"/>
                                  </w:rPr>
                                  <w:t>16</w:t>
                                </w:r>
                              </w:p>
                              <w:p>
                                <w:pPr>
                                  <w:pStyle w:val="Header"/>
                                  <w:spacing w:lineRule="atLeast" w:line="480" w:before="0" w:after="0"/>
                                  <w:ind w:end="245"/>
                                  <w:jc w:val="end"/>
                                  <w:rPr>
                                    <w:u w:val="none"/>
                                  </w:rPr>
                                </w:pPr>
                                <w:r>
                                  <w:rPr>
                                    <w:u w:val="none"/>
                                  </w:rPr>
                                  <w:t>17</w:t>
                                </w:r>
                              </w:p>
                              <w:p>
                                <w:pPr>
                                  <w:pStyle w:val="Header"/>
                                  <w:spacing w:lineRule="atLeast" w:line="480" w:before="0" w:after="0"/>
                                  <w:ind w:end="245"/>
                                  <w:jc w:val="end"/>
                                  <w:rPr>
                                    <w:u w:val="none"/>
                                  </w:rPr>
                                </w:pPr>
                                <w:r>
                                  <w:rPr>
                                    <w:u w:val="none"/>
                                  </w:rPr>
                                  <w:t>18</w:t>
                                </w:r>
                              </w:p>
                              <w:p>
                                <w:pPr>
                                  <w:pStyle w:val="Header"/>
                                  <w:spacing w:lineRule="atLeast" w:line="480" w:before="0" w:after="0"/>
                                  <w:ind w:end="245"/>
                                  <w:jc w:val="end"/>
                                  <w:rPr>
                                    <w:u w:val="none"/>
                                  </w:rPr>
                                </w:pPr>
                                <w:r>
                                  <w:rPr>
                                    <w:u w:val="none"/>
                                  </w:rPr>
                                  <w:t>19</w:t>
                                </w:r>
                              </w:p>
                              <w:p>
                                <w:pPr>
                                  <w:pStyle w:val="Header"/>
                                  <w:spacing w:lineRule="atLeast" w:line="480" w:before="0" w:after="0"/>
                                  <w:ind w:end="245"/>
                                  <w:jc w:val="end"/>
                                  <w:rPr>
                                    <w:u w:val="none"/>
                                  </w:rPr>
                                </w:pPr>
                                <w:r>
                                  <w:rPr>
                                    <w:u w:val="none"/>
                                  </w:rPr>
                                  <w:t>20</w:t>
                                </w:r>
                              </w:p>
                              <w:p>
                                <w:pPr>
                                  <w:pStyle w:val="Header"/>
                                  <w:spacing w:lineRule="atLeast" w:line="480" w:before="0" w:after="0"/>
                                  <w:ind w:end="245"/>
                                  <w:jc w:val="end"/>
                                  <w:rPr>
                                    <w:u w:val="none"/>
                                  </w:rPr>
                                </w:pPr>
                                <w:r>
                                  <w:rPr>
                                    <w:u w:val="none"/>
                                  </w:rPr>
                                  <w:t>21</w:t>
                                </w:r>
                              </w:p>
                              <w:p>
                                <w:pPr>
                                  <w:pStyle w:val="Header"/>
                                  <w:spacing w:lineRule="atLeast" w:line="480" w:before="0" w:after="0"/>
                                  <w:ind w:end="245"/>
                                  <w:jc w:val="end"/>
                                  <w:rPr>
                                    <w:u w:val="none"/>
                                  </w:rPr>
                                </w:pPr>
                                <w:r>
                                  <w:rPr>
                                    <w:u w:val="none"/>
                                  </w:rPr>
                                  <w:t>22</w:t>
                                </w:r>
                              </w:p>
                              <w:p>
                                <w:pPr>
                                  <w:pStyle w:val="Header"/>
                                  <w:spacing w:lineRule="atLeast" w:line="480" w:before="0" w:after="0"/>
                                  <w:ind w:end="245"/>
                                  <w:jc w:val="end"/>
                                  <w:rPr>
                                    <w:u w:val="none"/>
                                  </w:rPr>
                                </w:pPr>
                                <w:r>
                                  <w:rPr>
                                    <w:u w:val="none"/>
                                  </w:rPr>
                                  <w:t>23</w:t>
                                </w:r>
                              </w:p>
                              <w:p>
                                <w:pPr>
                                  <w:pStyle w:val="Header"/>
                                  <w:spacing w:lineRule="atLeast" w:line="480" w:before="0" w:after="0"/>
                                  <w:ind w:end="245"/>
                                  <w:jc w:val="end"/>
                                  <w:rPr>
                                    <w:u w:val="none"/>
                                  </w:rPr>
                                </w:pPr>
                                <w:r>
                                  <w:rPr>
                                    <w:u w:val="none"/>
                                  </w:rPr>
                                  <w:t>24</w:t>
                                </w:r>
                              </w:p>
                              <w:p>
                                <w:pPr>
                                  <w:pStyle w:val="Header"/>
                                  <w:spacing w:lineRule="atLeast" w:line="480" w:before="0" w:after="0"/>
                                  <w:ind w:end="245"/>
                                  <w:jc w:val="end"/>
                                  <w:rPr>
                                    <w:u w:val="none"/>
                                  </w:rPr>
                                </w:pPr>
                                <w:r>
                                  <w:rPr>
                                    <w:u w:val="none"/>
                                  </w:rPr>
                                  <w:t>25</w:t>
                                </w:r>
                              </w:p>
                              <w:p>
                                <w:pPr>
                                  <w:pStyle w:val="Header"/>
                                  <w:spacing w:lineRule="atLeast" w:line="480" w:before="0" w:after="0"/>
                                  <w:ind w:end="245"/>
                                  <w:jc w:val="end"/>
                                  <w:rPr>
                                    <w:u w:val="none"/>
                                  </w:rPr>
                                </w:pPr>
                                <w:r>
                                  <w:rPr>
                                    <w:u w:val="none"/>
                                  </w:rPr>
                                  <w:t>26</w:t>
                                </w:r>
                              </w:p>
                              <w:p>
                                <w:pPr>
                                  <w:pStyle w:val="Header"/>
                                  <w:spacing w:lineRule="atLeast" w:line="480" w:before="0" w:after="0"/>
                                  <w:ind w:end="245"/>
                                  <w:jc w:val="end"/>
                                  <w:rPr>
                                    <w:u w:val="none"/>
                                  </w:rPr>
                                </w:pPr>
                                <w:r>
                                  <w:rPr>
                                    <w:u w:val="none"/>
                                  </w:rPr>
                                  <w:t>27</w:t>
                                </w:r>
                              </w:p>
                              <w:p>
                                <w:pPr>
                                  <w:pStyle w:val="Header"/>
                                  <w:spacing w:lineRule="atLeast" w:line="480" w:before="0" w:after="0"/>
                                  <w:ind w:end="245"/>
                                  <w:jc w:val="end"/>
                                  <w:rPr>
                                    <w:u w:val="none"/>
                                  </w:rPr>
                                </w:pPr>
                                <w:r>
                                  <w:rPr>
                                    <w:u w:val="none"/>
                                  </w:rPr>
                                  <w:t>28</w:t>
                                </w:r>
                              </w:p>
                            </w:tc>
                            <w:tc>
                              <w:tcPr>
                                <w:tcW w:w="9720" w:type="dxa"/>
                                <w:tcBorders/>
                              </w:tcPr>
                              <w:p>
                                <w:pPr>
                                  <w:pStyle w:val="Normal"/>
                                  <w:snapToGrid w:val="false"/>
                                  <w:rPr/>
                                </w:pPr>
                                <w:r>
                                  <w:rPr/>
                                </w:r>
                              </w:p>
                            </w:tc>
                          </w:tr>
                        </w:tbl>
                        <w:p>
                          <w:pPr>
                            <w:pStyle w:val="Header"/>
                            <w:rPr/>
                          </w:pPr>
                          <w:r>
                            <w:rPr/>
                          </w:r>
                        </w:p>
                        <w:p>
                          <w:pPr>
                            <w:pStyle w:val="Header"/>
                            <w:spacing w:before="0" w:after="720"/>
                            <w:jc w:val="center"/>
                            <w:rPr/>
                          </w:pPr>
                          <w:r>
                            <w:rPr/>
                          </w:r>
                        </w:p>
                      </w:txbxContent>
                    </wps:txbx>
                    <wps:bodyPr anchor="t" lIns="0" tIns="0" rIns="0" bIns="0">
                      <a:noAutofit/>
                    </wps:bodyPr>
                  </wps:wsp>
                </a:graphicData>
              </a:graphic>
            </wp:anchor>
          </w:drawing>
        </mc:Choice>
        <mc:Fallback>
          <w:pict>
            <v:rect style="position:absolute;rotation:-0;width:468pt;height:792pt;mso-wrap-distance-left:0pt;mso-wrap-distance-right:0pt;mso-wrap-distance-top:0pt;mso-wrap-distance-bottom:0pt;margin-top:-36pt;mso-position-vertical:top;mso-position-vertical-relative:text;margin-left:0pt;mso-position-horizontal:left;mso-position-horizontal-relative:text">
              <v:textbox inset="0in,0in,0in,0in">
                <w:txbxContent>
                  <w:tbl>
                    <w:tblPr>
                      <w:tblW w:w="10354" w:type="dxa"/>
                      <w:jc w:val="start"/>
                      <w:tblInd w:w="-720" w:type="dxa"/>
                      <w:tblLayout w:type="fixed"/>
                      <w:tblCellMar>
                        <w:top w:w="0" w:type="dxa"/>
                        <w:start w:w="0" w:type="dxa"/>
                        <w:bottom w:w="0" w:type="dxa"/>
                        <w:end w:w="0" w:type="dxa"/>
                      </w:tblCellMar>
                    </w:tblPr>
                    <w:tblGrid>
                      <w:gridCol w:w="634"/>
                      <w:gridCol w:w="9720"/>
                    </w:tblGrid>
                    <w:tr>
                      <w:trPr>
                        <w:trHeight w:val="14880" w:hRule="exact"/>
                      </w:trPr>
                      <w:tc>
                        <w:tcPr>
                          <w:tcW w:w="634" w:type="dxa"/>
                          <w:tcBorders/>
                        </w:tcPr>
                        <w:p>
                          <w:pPr>
                            <w:pStyle w:val="Header"/>
                            <w:spacing w:lineRule="atLeast" w:line="480" w:before="480" w:after="0"/>
                            <w:ind w:end="245"/>
                            <w:jc w:val="end"/>
                            <w:rPr>
                              <w:u w:val="none"/>
                            </w:rPr>
                          </w:pPr>
                          <w:r>
                            <w:rPr>
                              <w:u w:val="none"/>
                            </w:rPr>
                            <w:t>1</w:t>
                          </w:r>
                        </w:p>
                        <w:p>
                          <w:pPr>
                            <w:pStyle w:val="Header"/>
                            <w:spacing w:lineRule="atLeast" w:line="480" w:before="0" w:after="0"/>
                            <w:ind w:end="245"/>
                            <w:jc w:val="end"/>
                            <w:rPr>
                              <w:u w:val="none"/>
                            </w:rPr>
                          </w:pPr>
                          <w:r>
                            <w:rPr>
                              <w:u w:val="none"/>
                            </w:rPr>
                            <w:t>2</w:t>
                          </w:r>
                        </w:p>
                        <w:p>
                          <w:pPr>
                            <w:pStyle w:val="Header"/>
                            <w:spacing w:lineRule="atLeast" w:line="480" w:before="0" w:after="0"/>
                            <w:ind w:end="245"/>
                            <w:jc w:val="end"/>
                            <w:rPr>
                              <w:u w:val="none"/>
                            </w:rPr>
                          </w:pPr>
                          <w:r>
                            <w:rPr>
                              <w:u w:val="none"/>
                            </w:rPr>
                            <w:t>3</w:t>
                          </w:r>
                        </w:p>
                        <w:p>
                          <w:pPr>
                            <w:pStyle w:val="Header"/>
                            <w:spacing w:lineRule="atLeast" w:line="480" w:before="0" w:after="0"/>
                            <w:ind w:end="245"/>
                            <w:jc w:val="end"/>
                            <w:rPr>
                              <w:u w:val="none"/>
                            </w:rPr>
                          </w:pPr>
                          <w:r>
                            <w:rPr>
                              <w:u w:val="none"/>
                            </w:rPr>
                            <w:t>4</w:t>
                          </w:r>
                        </w:p>
                        <w:p>
                          <w:pPr>
                            <w:pStyle w:val="Header"/>
                            <w:spacing w:lineRule="atLeast" w:line="480" w:before="0" w:after="0"/>
                            <w:ind w:end="245"/>
                            <w:jc w:val="end"/>
                            <w:rPr>
                              <w:u w:val="none"/>
                            </w:rPr>
                          </w:pPr>
                          <w:r>
                            <w:rPr>
                              <w:u w:val="none"/>
                            </w:rPr>
                            <w:t>5</w:t>
                          </w:r>
                        </w:p>
                        <w:p>
                          <w:pPr>
                            <w:pStyle w:val="Header"/>
                            <w:spacing w:lineRule="atLeast" w:line="480" w:before="0" w:after="0"/>
                            <w:ind w:end="245"/>
                            <w:jc w:val="end"/>
                            <w:rPr>
                              <w:u w:val="none"/>
                            </w:rPr>
                          </w:pPr>
                          <w:r>
                            <w:rPr>
                              <w:u w:val="none"/>
                            </w:rPr>
                            <w:t>6</w:t>
                          </w:r>
                        </w:p>
                        <w:p>
                          <w:pPr>
                            <w:pStyle w:val="Header"/>
                            <w:spacing w:lineRule="atLeast" w:line="480" w:before="0" w:after="0"/>
                            <w:ind w:end="245"/>
                            <w:jc w:val="end"/>
                            <w:rPr>
                              <w:u w:val="none"/>
                            </w:rPr>
                          </w:pPr>
                          <w:r>
                            <w:rPr>
                              <w:u w:val="none"/>
                            </w:rPr>
                            <w:t>7</w:t>
                          </w:r>
                        </w:p>
                        <w:p>
                          <w:pPr>
                            <w:pStyle w:val="Header"/>
                            <w:spacing w:lineRule="atLeast" w:line="480" w:before="0" w:after="0"/>
                            <w:ind w:end="245"/>
                            <w:jc w:val="end"/>
                            <w:rPr>
                              <w:u w:val="none"/>
                            </w:rPr>
                          </w:pPr>
                          <w:r>
                            <w:rPr>
                              <w:u w:val="none"/>
                            </w:rPr>
                            <w:t>8</w:t>
                          </w:r>
                        </w:p>
                        <w:p>
                          <w:pPr>
                            <w:pStyle w:val="Header"/>
                            <w:spacing w:lineRule="atLeast" w:line="480" w:before="0" w:after="0"/>
                            <w:ind w:end="245"/>
                            <w:jc w:val="end"/>
                            <w:rPr>
                              <w:u w:val="none"/>
                            </w:rPr>
                          </w:pPr>
                          <w:r>
                            <w:rPr>
                              <w:u w:val="none"/>
                            </w:rPr>
                            <w:t>9</w:t>
                          </w:r>
                        </w:p>
                        <w:p>
                          <w:pPr>
                            <w:pStyle w:val="Header"/>
                            <w:spacing w:lineRule="atLeast" w:line="480" w:before="0" w:after="0"/>
                            <w:ind w:end="245"/>
                            <w:jc w:val="end"/>
                            <w:rPr>
                              <w:u w:val="none"/>
                            </w:rPr>
                          </w:pPr>
                          <w:r>
                            <w:rPr>
                              <w:u w:val="none"/>
                            </w:rPr>
                            <w:t>10</w:t>
                          </w:r>
                        </w:p>
                        <w:p>
                          <w:pPr>
                            <w:pStyle w:val="Header"/>
                            <w:spacing w:lineRule="atLeast" w:line="480" w:before="0" w:after="0"/>
                            <w:ind w:end="245"/>
                            <w:jc w:val="end"/>
                            <w:rPr>
                              <w:u w:val="none"/>
                            </w:rPr>
                          </w:pPr>
                          <w:r>
                            <w:rPr>
                              <w:u w:val="none"/>
                            </w:rPr>
                            <w:t>11</w:t>
                          </w:r>
                        </w:p>
                        <w:p>
                          <w:pPr>
                            <w:pStyle w:val="Header"/>
                            <w:spacing w:lineRule="atLeast" w:line="480" w:before="0" w:after="0"/>
                            <w:ind w:end="245"/>
                            <w:jc w:val="end"/>
                            <w:rPr>
                              <w:u w:val="none"/>
                            </w:rPr>
                          </w:pPr>
                          <w:r>
                            <w:rPr>
                              <w:u w:val="none"/>
                            </w:rPr>
                            <w:t>12</w:t>
                          </w:r>
                        </w:p>
                        <w:p>
                          <w:pPr>
                            <w:pStyle w:val="Header"/>
                            <w:spacing w:lineRule="atLeast" w:line="480" w:before="0" w:after="0"/>
                            <w:ind w:end="245"/>
                            <w:jc w:val="end"/>
                            <w:rPr>
                              <w:u w:val="none"/>
                            </w:rPr>
                          </w:pPr>
                          <w:r>
                            <w:rPr>
                              <w:u w:val="none"/>
                            </w:rPr>
                            <w:t>13</w:t>
                          </w:r>
                        </w:p>
                        <w:p>
                          <w:pPr>
                            <w:pStyle w:val="Header"/>
                            <w:spacing w:lineRule="atLeast" w:line="480" w:before="0" w:after="0"/>
                            <w:ind w:end="245"/>
                            <w:jc w:val="end"/>
                            <w:rPr>
                              <w:u w:val="none"/>
                            </w:rPr>
                          </w:pPr>
                          <w:r>
                            <w:rPr>
                              <w:u w:val="none"/>
                            </w:rPr>
                            <w:t>14</w:t>
                          </w:r>
                        </w:p>
                        <w:p>
                          <w:pPr>
                            <w:pStyle w:val="Header"/>
                            <w:spacing w:lineRule="atLeast" w:line="480" w:before="0" w:after="0"/>
                            <w:ind w:end="245"/>
                            <w:jc w:val="end"/>
                            <w:rPr>
                              <w:u w:val="none"/>
                            </w:rPr>
                          </w:pPr>
                          <w:r>
                            <w:rPr>
                              <w:u w:val="none"/>
                            </w:rPr>
                            <w:t>15</w:t>
                          </w:r>
                        </w:p>
                        <w:p>
                          <w:pPr>
                            <w:pStyle w:val="Header"/>
                            <w:spacing w:lineRule="atLeast" w:line="480" w:before="0" w:after="0"/>
                            <w:ind w:end="245"/>
                            <w:jc w:val="end"/>
                            <w:rPr>
                              <w:u w:val="none"/>
                            </w:rPr>
                          </w:pPr>
                          <w:r>
                            <w:rPr>
                              <w:u w:val="none"/>
                            </w:rPr>
                            <w:t>16</w:t>
                          </w:r>
                        </w:p>
                        <w:p>
                          <w:pPr>
                            <w:pStyle w:val="Header"/>
                            <w:spacing w:lineRule="atLeast" w:line="480" w:before="0" w:after="0"/>
                            <w:ind w:end="245"/>
                            <w:jc w:val="end"/>
                            <w:rPr>
                              <w:u w:val="none"/>
                            </w:rPr>
                          </w:pPr>
                          <w:r>
                            <w:rPr>
                              <w:u w:val="none"/>
                            </w:rPr>
                            <w:t>17</w:t>
                          </w:r>
                        </w:p>
                        <w:p>
                          <w:pPr>
                            <w:pStyle w:val="Header"/>
                            <w:spacing w:lineRule="atLeast" w:line="480" w:before="0" w:after="0"/>
                            <w:ind w:end="245"/>
                            <w:jc w:val="end"/>
                            <w:rPr>
                              <w:u w:val="none"/>
                            </w:rPr>
                          </w:pPr>
                          <w:r>
                            <w:rPr>
                              <w:u w:val="none"/>
                            </w:rPr>
                            <w:t>18</w:t>
                          </w:r>
                        </w:p>
                        <w:p>
                          <w:pPr>
                            <w:pStyle w:val="Header"/>
                            <w:spacing w:lineRule="atLeast" w:line="480" w:before="0" w:after="0"/>
                            <w:ind w:end="245"/>
                            <w:jc w:val="end"/>
                            <w:rPr>
                              <w:u w:val="none"/>
                            </w:rPr>
                          </w:pPr>
                          <w:r>
                            <w:rPr>
                              <w:u w:val="none"/>
                            </w:rPr>
                            <w:t>19</w:t>
                          </w:r>
                        </w:p>
                        <w:p>
                          <w:pPr>
                            <w:pStyle w:val="Header"/>
                            <w:spacing w:lineRule="atLeast" w:line="480" w:before="0" w:after="0"/>
                            <w:ind w:end="245"/>
                            <w:jc w:val="end"/>
                            <w:rPr>
                              <w:u w:val="none"/>
                            </w:rPr>
                          </w:pPr>
                          <w:r>
                            <w:rPr>
                              <w:u w:val="none"/>
                            </w:rPr>
                            <w:t>20</w:t>
                          </w:r>
                        </w:p>
                        <w:p>
                          <w:pPr>
                            <w:pStyle w:val="Header"/>
                            <w:spacing w:lineRule="atLeast" w:line="480" w:before="0" w:after="0"/>
                            <w:ind w:end="245"/>
                            <w:jc w:val="end"/>
                            <w:rPr>
                              <w:u w:val="none"/>
                            </w:rPr>
                          </w:pPr>
                          <w:r>
                            <w:rPr>
                              <w:u w:val="none"/>
                            </w:rPr>
                            <w:t>21</w:t>
                          </w:r>
                        </w:p>
                        <w:p>
                          <w:pPr>
                            <w:pStyle w:val="Header"/>
                            <w:spacing w:lineRule="atLeast" w:line="480" w:before="0" w:after="0"/>
                            <w:ind w:end="245"/>
                            <w:jc w:val="end"/>
                            <w:rPr>
                              <w:u w:val="none"/>
                            </w:rPr>
                          </w:pPr>
                          <w:r>
                            <w:rPr>
                              <w:u w:val="none"/>
                            </w:rPr>
                            <w:t>22</w:t>
                          </w:r>
                        </w:p>
                        <w:p>
                          <w:pPr>
                            <w:pStyle w:val="Header"/>
                            <w:spacing w:lineRule="atLeast" w:line="480" w:before="0" w:after="0"/>
                            <w:ind w:end="245"/>
                            <w:jc w:val="end"/>
                            <w:rPr>
                              <w:u w:val="none"/>
                            </w:rPr>
                          </w:pPr>
                          <w:r>
                            <w:rPr>
                              <w:u w:val="none"/>
                            </w:rPr>
                            <w:t>23</w:t>
                          </w:r>
                        </w:p>
                        <w:p>
                          <w:pPr>
                            <w:pStyle w:val="Header"/>
                            <w:spacing w:lineRule="atLeast" w:line="480" w:before="0" w:after="0"/>
                            <w:ind w:end="245"/>
                            <w:jc w:val="end"/>
                            <w:rPr>
                              <w:u w:val="none"/>
                            </w:rPr>
                          </w:pPr>
                          <w:r>
                            <w:rPr>
                              <w:u w:val="none"/>
                            </w:rPr>
                            <w:t>24</w:t>
                          </w:r>
                        </w:p>
                        <w:p>
                          <w:pPr>
                            <w:pStyle w:val="Header"/>
                            <w:spacing w:lineRule="atLeast" w:line="480" w:before="0" w:after="0"/>
                            <w:ind w:end="245"/>
                            <w:jc w:val="end"/>
                            <w:rPr>
                              <w:u w:val="none"/>
                            </w:rPr>
                          </w:pPr>
                          <w:r>
                            <w:rPr>
                              <w:u w:val="none"/>
                            </w:rPr>
                            <w:t>25</w:t>
                          </w:r>
                        </w:p>
                        <w:p>
                          <w:pPr>
                            <w:pStyle w:val="Header"/>
                            <w:spacing w:lineRule="atLeast" w:line="480" w:before="0" w:after="0"/>
                            <w:ind w:end="245"/>
                            <w:jc w:val="end"/>
                            <w:rPr>
                              <w:u w:val="none"/>
                            </w:rPr>
                          </w:pPr>
                          <w:r>
                            <w:rPr>
                              <w:u w:val="none"/>
                            </w:rPr>
                            <w:t>26</w:t>
                          </w:r>
                        </w:p>
                        <w:p>
                          <w:pPr>
                            <w:pStyle w:val="Header"/>
                            <w:spacing w:lineRule="atLeast" w:line="480" w:before="0" w:after="0"/>
                            <w:ind w:end="245"/>
                            <w:jc w:val="end"/>
                            <w:rPr>
                              <w:u w:val="none"/>
                            </w:rPr>
                          </w:pPr>
                          <w:r>
                            <w:rPr>
                              <w:u w:val="none"/>
                            </w:rPr>
                            <w:t>27</w:t>
                          </w:r>
                        </w:p>
                        <w:p>
                          <w:pPr>
                            <w:pStyle w:val="Header"/>
                            <w:spacing w:lineRule="atLeast" w:line="480" w:before="0" w:after="0"/>
                            <w:ind w:end="245"/>
                            <w:jc w:val="end"/>
                            <w:rPr>
                              <w:u w:val="none"/>
                            </w:rPr>
                          </w:pPr>
                          <w:r>
                            <w:rPr>
                              <w:u w:val="none"/>
                            </w:rPr>
                            <w:t>28</w:t>
                          </w:r>
                        </w:p>
                      </w:tc>
                      <w:tc>
                        <w:tcPr>
                          <w:tcW w:w="9720" w:type="dxa"/>
                          <w:tcBorders/>
                        </w:tcPr>
                        <w:p>
                          <w:pPr>
                            <w:pStyle w:val="Normal"/>
                            <w:snapToGrid w:val="false"/>
                            <w:rPr/>
                          </w:pPr>
                          <w:r>
                            <w:rPr/>
                          </w:r>
                        </w:p>
                      </w:tc>
                    </w:tr>
                  </w:tbl>
                  <w:p>
                    <w:pPr>
                      <w:pStyle w:val="Header"/>
                      <w:rPr/>
                    </w:pPr>
                    <w:r>
                      <w:rPr/>
                    </w:r>
                  </w:p>
                  <w:p>
                    <w:pPr>
                      <w:pStyle w:val="Header"/>
                      <w:spacing w:before="0" w:after="720"/>
                      <w:jc w:val="center"/>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jc w:val="center"/>
      <w:rPr/>
    </w:pPr>
    <w:r>
      <w:rPr/>
    </w:r>
    <w:r>
      <mc:AlternateContent>
        <mc:Choice Requires="wps">
          <w:drawing>
            <wp:anchor behindDoc="1" distT="0" distB="0" distL="0" distR="0" simplePos="0" locked="0" layoutInCell="0" allowOverlap="1" relativeHeight="12">
              <wp:simplePos x="0" y="0"/>
              <wp:positionH relativeFrom="column">
                <wp:align>left</wp:align>
              </wp:positionH>
              <wp:positionV relativeFrom="line">
                <wp:align>top</wp:align>
              </wp:positionV>
              <wp:extent cx="5943600" cy="10058400"/>
              <wp:effectExtent l="0" t="0" r="0" b="0"/>
              <wp:wrapNone/>
              <wp:docPr id="2" name="Frame1"/>
              <a:graphic xmlns:a="http://schemas.openxmlformats.org/drawingml/2006/main">
                <a:graphicData uri="http://schemas.microsoft.com/office/word/2010/wordprocessingShape">
                  <wps:wsp>
                    <wps:cNvSpPr txBox="1"/>
                    <wps:spPr>
                      <a:xfrm>
                        <a:off x="0" y="0"/>
                        <a:ext cx="5943600" cy="10058400"/>
                      </a:xfrm>
                      <a:prstGeom prst="rect"/>
                      <a:solidFill>
                        <a:srgbClr val="FFFFFF"/>
                      </a:solidFill>
                    </wps:spPr>
                    <wps:txbx>
                      <w:txbxContent>
                        <w:tbl>
                          <w:tblPr>
                            <w:tblW w:w="10354" w:type="dxa"/>
                            <w:jc w:val="start"/>
                            <w:tblInd w:w="-720" w:type="dxa"/>
                            <w:tblLayout w:type="fixed"/>
                            <w:tblCellMar>
                              <w:top w:w="0" w:type="dxa"/>
                              <w:start w:w="0" w:type="dxa"/>
                              <w:bottom w:w="0" w:type="dxa"/>
                              <w:end w:w="0" w:type="dxa"/>
                            </w:tblCellMar>
                          </w:tblPr>
                          <w:tblGrid>
                            <w:gridCol w:w="634"/>
                            <w:gridCol w:w="9720"/>
                          </w:tblGrid>
                          <w:tr>
                            <w:trPr>
                              <w:trHeight w:val="14880" w:hRule="exact"/>
                            </w:trPr>
                            <w:tc>
                              <w:tcPr>
                                <w:tcW w:w="634" w:type="dxa"/>
                                <w:tcBorders/>
                              </w:tcPr>
                              <w:p>
                                <w:pPr>
                                  <w:pStyle w:val="Header"/>
                                  <w:spacing w:lineRule="atLeast" w:line="480" w:before="480" w:after="0"/>
                                  <w:ind w:end="245"/>
                                  <w:jc w:val="end"/>
                                  <w:rPr>
                                    <w:u w:val="none"/>
                                  </w:rPr>
                                </w:pPr>
                                <w:r>
                                  <w:rPr>
                                    <w:u w:val="none"/>
                                  </w:rPr>
                                  <w:t>1</w:t>
                                </w:r>
                              </w:p>
                              <w:p>
                                <w:pPr>
                                  <w:pStyle w:val="Header"/>
                                  <w:spacing w:lineRule="atLeast" w:line="480" w:before="0" w:after="0"/>
                                  <w:ind w:end="245"/>
                                  <w:jc w:val="end"/>
                                  <w:rPr>
                                    <w:u w:val="none"/>
                                  </w:rPr>
                                </w:pPr>
                                <w:r>
                                  <w:rPr>
                                    <w:u w:val="none"/>
                                  </w:rPr>
                                  <w:t>2</w:t>
                                </w:r>
                              </w:p>
                              <w:p>
                                <w:pPr>
                                  <w:pStyle w:val="Header"/>
                                  <w:spacing w:lineRule="atLeast" w:line="480" w:before="0" w:after="0"/>
                                  <w:ind w:end="245"/>
                                  <w:jc w:val="end"/>
                                  <w:rPr>
                                    <w:u w:val="none"/>
                                  </w:rPr>
                                </w:pPr>
                                <w:r>
                                  <w:rPr>
                                    <w:u w:val="none"/>
                                  </w:rPr>
                                  <w:t>3</w:t>
                                </w:r>
                              </w:p>
                              <w:p>
                                <w:pPr>
                                  <w:pStyle w:val="Header"/>
                                  <w:spacing w:lineRule="atLeast" w:line="480" w:before="0" w:after="0"/>
                                  <w:ind w:end="245"/>
                                  <w:jc w:val="end"/>
                                  <w:rPr>
                                    <w:u w:val="none"/>
                                  </w:rPr>
                                </w:pPr>
                                <w:r>
                                  <w:rPr>
                                    <w:u w:val="none"/>
                                  </w:rPr>
                                  <w:t>4</w:t>
                                </w:r>
                              </w:p>
                              <w:p>
                                <w:pPr>
                                  <w:pStyle w:val="Header"/>
                                  <w:spacing w:lineRule="atLeast" w:line="480" w:before="0" w:after="0"/>
                                  <w:ind w:end="245"/>
                                  <w:jc w:val="end"/>
                                  <w:rPr>
                                    <w:u w:val="none"/>
                                  </w:rPr>
                                </w:pPr>
                                <w:r>
                                  <w:rPr>
                                    <w:u w:val="none"/>
                                  </w:rPr>
                                  <w:t>5</w:t>
                                </w:r>
                              </w:p>
                              <w:p>
                                <w:pPr>
                                  <w:pStyle w:val="Header"/>
                                  <w:spacing w:lineRule="atLeast" w:line="480" w:before="0" w:after="0"/>
                                  <w:ind w:end="245"/>
                                  <w:jc w:val="end"/>
                                  <w:rPr>
                                    <w:u w:val="none"/>
                                  </w:rPr>
                                </w:pPr>
                                <w:r>
                                  <w:rPr>
                                    <w:u w:val="none"/>
                                  </w:rPr>
                                  <w:t>6</w:t>
                                </w:r>
                              </w:p>
                              <w:p>
                                <w:pPr>
                                  <w:pStyle w:val="Header"/>
                                  <w:spacing w:lineRule="atLeast" w:line="480" w:before="0" w:after="0"/>
                                  <w:ind w:end="245"/>
                                  <w:jc w:val="end"/>
                                  <w:rPr>
                                    <w:u w:val="none"/>
                                  </w:rPr>
                                </w:pPr>
                                <w:r>
                                  <w:rPr>
                                    <w:u w:val="none"/>
                                  </w:rPr>
                                  <w:t>7</w:t>
                                </w:r>
                              </w:p>
                              <w:p>
                                <w:pPr>
                                  <w:pStyle w:val="Header"/>
                                  <w:spacing w:lineRule="atLeast" w:line="480" w:before="0" w:after="0"/>
                                  <w:ind w:end="245"/>
                                  <w:jc w:val="end"/>
                                  <w:rPr>
                                    <w:u w:val="none"/>
                                  </w:rPr>
                                </w:pPr>
                                <w:r>
                                  <w:rPr>
                                    <w:u w:val="none"/>
                                  </w:rPr>
                                  <w:t>8</w:t>
                                </w:r>
                              </w:p>
                              <w:p>
                                <w:pPr>
                                  <w:pStyle w:val="Header"/>
                                  <w:spacing w:lineRule="atLeast" w:line="480" w:before="0" w:after="0"/>
                                  <w:ind w:end="245"/>
                                  <w:jc w:val="end"/>
                                  <w:rPr>
                                    <w:u w:val="none"/>
                                  </w:rPr>
                                </w:pPr>
                                <w:r>
                                  <w:rPr>
                                    <w:u w:val="none"/>
                                  </w:rPr>
                                  <w:t>9</w:t>
                                </w:r>
                              </w:p>
                              <w:p>
                                <w:pPr>
                                  <w:pStyle w:val="Header"/>
                                  <w:spacing w:lineRule="atLeast" w:line="480" w:before="0" w:after="0"/>
                                  <w:ind w:end="245"/>
                                  <w:jc w:val="end"/>
                                  <w:rPr>
                                    <w:u w:val="none"/>
                                  </w:rPr>
                                </w:pPr>
                                <w:r>
                                  <w:rPr>
                                    <w:u w:val="none"/>
                                  </w:rPr>
                                  <w:t>10</w:t>
                                </w:r>
                              </w:p>
                              <w:p>
                                <w:pPr>
                                  <w:pStyle w:val="Header"/>
                                  <w:spacing w:lineRule="atLeast" w:line="480" w:before="0" w:after="0"/>
                                  <w:ind w:end="245"/>
                                  <w:jc w:val="end"/>
                                  <w:rPr>
                                    <w:u w:val="none"/>
                                  </w:rPr>
                                </w:pPr>
                                <w:r>
                                  <w:rPr>
                                    <w:u w:val="none"/>
                                  </w:rPr>
                                  <w:t>11</w:t>
                                </w:r>
                              </w:p>
                              <w:p>
                                <w:pPr>
                                  <w:pStyle w:val="Header"/>
                                  <w:spacing w:lineRule="atLeast" w:line="480" w:before="0" w:after="0"/>
                                  <w:ind w:end="245"/>
                                  <w:jc w:val="end"/>
                                  <w:rPr>
                                    <w:u w:val="none"/>
                                  </w:rPr>
                                </w:pPr>
                                <w:r>
                                  <w:rPr>
                                    <w:u w:val="none"/>
                                  </w:rPr>
                                  <w:t>12</w:t>
                                </w:r>
                              </w:p>
                              <w:p>
                                <w:pPr>
                                  <w:pStyle w:val="Header"/>
                                  <w:spacing w:lineRule="atLeast" w:line="480" w:before="0" w:after="0"/>
                                  <w:ind w:end="245"/>
                                  <w:jc w:val="end"/>
                                  <w:rPr>
                                    <w:u w:val="none"/>
                                  </w:rPr>
                                </w:pPr>
                                <w:r>
                                  <w:rPr>
                                    <w:u w:val="none"/>
                                  </w:rPr>
                                  <w:t>13</w:t>
                                </w:r>
                              </w:p>
                              <w:p>
                                <w:pPr>
                                  <w:pStyle w:val="Header"/>
                                  <w:spacing w:lineRule="atLeast" w:line="480" w:before="0" w:after="0"/>
                                  <w:ind w:end="245"/>
                                  <w:jc w:val="end"/>
                                  <w:rPr>
                                    <w:u w:val="none"/>
                                  </w:rPr>
                                </w:pPr>
                                <w:r>
                                  <w:rPr>
                                    <w:u w:val="none"/>
                                  </w:rPr>
                                  <w:t>14</w:t>
                                </w:r>
                              </w:p>
                              <w:p>
                                <w:pPr>
                                  <w:pStyle w:val="Header"/>
                                  <w:spacing w:lineRule="atLeast" w:line="480" w:before="0" w:after="0"/>
                                  <w:ind w:end="245"/>
                                  <w:jc w:val="end"/>
                                  <w:rPr>
                                    <w:u w:val="none"/>
                                  </w:rPr>
                                </w:pPr>
                                <w:r>
                                  <w:rPr>
                                    <w:u w:val="none"/>
                                  </w:rPr>
                                  <w:t>15</w:t>
                                </w:r>
                              </w:p>
                              <w:p>
                                <w:pPr>
                                  <w:pStyle w:val="Header"/>
                                  <w:spacing w:lineRule="atLeast" w:line="480" w:before="0" w:after="0"/>
                                  <w:ind w:end="245"/>
                                  <w:jc w:val="end"/>
                                  <w:rPr>
                                    <w:u w:val="none"/>
                                  </w:rPr>
                                </w:pPr>
                                <w:r>
                                  <w:rPr>
                                    <w:u w:val="none"/>
                                  </w:rPr>
                                  <w:t>16</w:t>
                                </w:r>
                              </w:p>
                              <w:p>
                                <w:pPr>
                                  <w:pStyle w:val="Header"/>
                                  <w:spacing w:lineRule="atLeast" w:line="480" w:before="0" w:after="0"/>
                                  <w:ind w:end="245"/>
                                  <w:jc w:val="end"/>
                                  <w:rPr>
                                    <w:u w:val="none"/>
                                  </w:rPr>
                                </w:pPr>
                                <w:r>
                                  <w:rPr>
                                    <w:u w:val="none"/>
                                  </w:rPr>
                                  <w:t>17</w:t>
                                </w:r>
                              </w:p>
                              <w:p>
                                <w:pPr>
                                  <w:pStyle w:val="Header"/>
                                  <w:spacing w:lineRule="atLeast" w:line="480" w:before="0" w:after="0"/>
                                  <w:ind w:end="245"/>
                                  <w:jc w:val="end"/>
                                  <w:rPr>
                                    <w:u w:val="none"/>
                                  </w:rPr>
                                </w:pPr>
                                <w:r>
                                  <w:rPr>
                                    <w:u w:val="none"/>
                                  </w:rPr>
                                  <w:t>18</w:t>
                                </w:r>
                              </w:p>
                              <w:p>
                                <w:pPr>
                                  <w:pStyle w:val="Header"/>
                                  <w:spacing w:lineRule="atLeast" w:line="480" w:before="0" w:after="0"/>
                                  <w:ind w:end="245"/>
                                  <w:jc w:val="end"/>
                                  <w:rPr>
                                    <w:u w:val="none"/>
                                  </w:rPr>
                                </w:pPr>
                                <w:r>
                                  <w:rPr>
                                    <w:u w:val="none"/>
                                  </w:rPr>
                                  <w:t>19</w:t>
                                </w:r>
                              </w:p>
                              <w:p>
                                <w:pPr>
                                  <w:pStyle w:val="Header"/>
                                  <w:spacing w:lineRule="atLeast" w:line="480" w:before="0" w:after="0"/>
                                  <w:ind w:end="245"/>
                                  <w:jc w:val="end"/>
                                  <w:rPr>
                                    <w:u w:val="none"/>
                                  </w:rPr>
                                </w:pPr>
                                <w:r>
                                  <w:rPr>
                                    <w:u w:val="none"/>
                                  </w:rPr>
                                  <w:t>20</w:t>
                                </w:r>
                              </w:p>
                              <w:p>
                                <w:pPr>
                                  <w:pStyle w:val="Header"/>
                                  <w:spacing w:lineRule="atLeast" w:line="480" w:before="0" w:after="0"/>
                                  <w:ind w:end="245"/>
                                  <w:jc w:val="end"/>
                                  <w:rPr>
                                    <w:u w:val="none"/>
                                  </w:rPr>
                                </w:pPr>
                                <w:r>
                                  <w:rPr>
                                    <w:u w:val="none"/>
                                  </w:rPr>
                                  <w:t>21</w:t>
                                </w:r>
                              </w:p>
                              <w:p>
                                <w:pPr>
                                  <w:pStyle w:val="Header"/>
                                  <w:spacing w:lineRule="atLeast" w:line="480" w:before="0" w:after="0"/>
                                  <w:ind w:end="245"/>
                                  <w:jc w:val="end"/>
                                  <w:rPr>
                                    <w:u w:val="none"/>
                                  </w:rPr>
                                </w:pPr>
                                <w:r>
                                  <w:rPr>
                                    <w:u w:val="none"/>
                                  </w:rPr>
                                  <w:t>22</w:t>
                                </w:r>
                              </w:p>
                              <w:p>
                                <w:pPr>
                                  <w:pStyle w:val="Header"/>
                                  <w:spacing w:lineRule="atLeast" w:line="480" w:before="0" w:after="0"/>
                                  <w:ind w:end="245"/>
                                  <w:jc w:val="end"/>
                                  <w:rPr>
                                    <w:u w:val="none"/>
                                  </w:rPr>
                                </w:pPr>
                                <w:r>
                                  <w:rPr>
                                    <w:u w:val="none"/>
                                  </w:rPr>
                                  <w:t>23</w:t>
                                </w:r>
                              </w:p>
                              <w:p>
                                <w:pPr>
                                  <w:pStyle w:val="Header"/>
                                  <w:spacing w:lineRule="atLeast" w:line="480" w:before="0" w:after="0"/>
                                  <w:ind w:end="245"/>
                                  <w:jc w:val="end"/>
                                  <w:rPr>
                                    <w:u w:val="none"/>
                                  </w:rPr>
                                </w:pPr>
                                <w:r>
                                  <w:rPr>
                                    <w:u w:val="none"/>
                                  </w:rPr>
                                  <w:t>24</w:t>
                                </w:r>
                              </w:p>
                              <w:p>
                                <w:pPr>
                                  <w:pStyle w:val="Header"/>
                                  <w:spacing w:lineRule="atLeast" w:line="480" w:before="0" w:after="0"/>
                                  <w:ind w:end="245"/>
                                  <w:jc w:val="end"/>
                                  <w:rPr>
                                    <w:u w:val="none"/>
                                  </w:rPr>
                                </w:pPr>
                                <w:r>
                                  <w:rPr>
                                    <w:u w:val="none"/>
                                  </w:rPr>
                                  <w:t>25</w:t>
                                </w:r>
                              </w:p>
                              <w:p>
                                <w:pPr>
                                  <w:pStyle w:val="Header"/>
                                  <w:spacing w:lineRule="atLeast" w:line="480" w:before="0" w:after="0"/>
                                  <w:ind w:end="245"/>
                                  <w:jc w:val="end"/>
                                  <w:rPr>
                                    <w:u w:val="none"/>
                                  </w:rPr>
                                </w:pPr>
                                <w:r>
                                  <w:rPr>
                                    <w:u w:val="none"/>
                                  </w:rPr>
                                  <w:t>26</w:t>
                                </w:r>
                              </w:p>
                              <w:p>
                                <w:pPr>
                                  <w:pStyle w:val="Header"/>
                                  <w:spacing w:lineRule="atLeast" w:line="480" w:before="0" w:after="0"/>
                                  <w:ind w:end="245"/>
                                  <w:jc w:val="end"/>
                                  <w:rPr>
                                    <w:u w:val="none"/>
                                  </w:rPr>
                                </w:pPr>
                                <w:r>
                                  <w:rPr>
                                    <w:u w:val="none"/>
                                  </w:rPr>
                                  <w:t>27</w:t>
                                </w:r>
                              </w:p>
                              <w:p>
                                <w:pPr>
                                  <w:pStyle w:val="Header"/>
                                  <w:spacing w:lineRule="atLeast" w:line="480" w:before="0" w:after="0"/>
                                  <w:ind w:end="245"/>
                                  <w:jc w:val="end"/>
                                  <w:rPr>
                                    <w:u w:val="none"/>
                                  </w:rPr>
                                </w:pPr>
                                <w:r>
                                  <w:rPr>
                                    <w:u w:val="none"/>
                                  </w:rPr>
                                  <w:t>28</w:t>
                                </w:r>
                              </w:p>
                            </w:tc>
                            <w:tc>
                              <w:tcPr>
                                <w:tcW w:w="9720" w:type="dxa"/>
                                <w:tcBorders/>
                              </w:tcPr>
                              <w:p>
                                <w:pPr>
                                  <w:pStyle w:val="Normal"/>
                                  <w:snapToGrid w:val="false"/>
                                  <w:rPr/>
                                </w:pPr>
                                <w:r>
                                  <w:rPr/>
                                </w:r>
                              </w:p>
                            </w:tc>
                          </w:tr>
                        </w:tbl>
                        <w:p>
                          <w:pPr>
                            <w:pStyle w:val="Header"/>
                            <w:rPr/>
                          </w:pPr>
                          <w:r>
                            <w:rPr/>
                          </w:r>
                        </w:p>
                        <w:p>
                          <w:pPr>
                            <w:pStyle w:val="Header"/>
                            <w:spacing w:before="0" w:after="720"/>
                            <w:jc w:val="center"/>
                            <w:rPr/>
                          </w:pPr>
                          <w:r>
                            <w:rPr/>
                          </w:r>
                        </w:p>
                      </w:txbxContent>
                    </wps:txbx>
                    <wps:bodyPr anchor="t" lIns="0" tIns="0" rIns="0" bIns="0">
                      <a:noAutofit/>
                    </wps:bodyPr>
                  </wps:wsp>
                </a:graphicData>
              </a:graphic>
            </wp:anchor>
          </w:drawing>
        </mc:Choice>
        <mc:Fallback>
          <w:pict>
            <v:rect style="position:absolute;rotation:-0;width:468pt;height:792pt;mso-wrap-distance-left:0pt;mso-wrap-distance-right:0pt;mso-wrap-distance-top:0pt;mso-wrap-distance-bottom:0pt;margin-top:-36pt;mso-position-vertical:top;mso-position-vertical-relative:text;margin-left:0pt;mso-position-horizontal:left;mso-position-horizontal-relative:text">
              <v:textbox inset="0in,0in,0in,0in">
                <w:txbxContent>
                  <w:tbl>
                    <w:tblPr>
                      <w:tblW w:w="10354" w:type="dxa"/>
                      <w:jc w:val="start"/>
                      <w:tblInd w:w="-720" w:type="dxa"/>
                      <w:tblLayout w:type="fixed"/>
                      <w:tblCellMar>
                        <w:top w:w="0" w:type="dxa"/>
                        <w:start w:w="0" w:type="dxa"/>
                        <w:bottom w:w="0" w:type="dxa"/>
                        <w:end w:w="0" w:type="dxa"/>
                      </w:tblCellMar>
                    </w:tblPr>
                    <w:tblGrid>
                      <w:gridCol w:w="634"/>
                      <w:gridCol w:w="9720"/>
                    </w:tblGrid>
                    <w:tr>
                      <w:trPr>
                        <w:trHeight w:val="14880" w:hRule="exact"/>
                      </w:trPr>
                      <w:tc>
                        <w:tcPr>
                          <w:tcW w:w="634" w:type="dxa"/>
                          <w:tcBorders/>
                        </w:tcPr>
                        <w:p>
                          <w:pPr>
                            <w:pStyle w:val="Header"/>
                            <w:spacing w:lineRule="atLeast" w:line="480" w:before="480" w:after="0"/>
                            <w:ind w:end="245"/>
                            <w:jc w:val="end"/>
                            <w:rPr>
                              <w:u w:val="none"/>
                            </w:rPr>
                          </w:pPr>
                          <w:r>
                            <w:rPr>
                              <w:u w:val="none"/>
                            </w:rPr>
                            <w:t>1</w:t>
                          </w:r>
                        </w:p>
                        <w:p>
                          <w:pPr>
                            <w:pStyle w:val="Header"/>
                            <w:spacing w:lineRule="atLeast" w:line="480" w:before="0" w:after="0"/>
                            <w:ind w:end="245"/>
                            <w:jc w:val="end"/>
                            <w:rPr>
                              <w:u w:val="none"/>
                            </w:rPr>
                          </w:pPr>
                          <w:r>
                            <w:rPr>
                              <w:u w:val="none"/>
                            </w:rPr>
                            <w:t>2</w:t>
                          </w:r>
                        </w:p>
                        <w:p>
                          <w:pPr>
                            <w:pStyle w:val="Header"/>
                            <w:spacing w:lineRule="atLeast" w:line="480" w:before="0" w:after="0"/>
                            <w:ind w:end="245"/>
                            <w:jc w:val="end"/>
                            <w:rPr>
                              <w:u w:val="none"/>
                            </w:rPr>
                          </w:pPr>
                          <w:r>
                            <w:rPr>
                              <w:u w:val="none"/>
                            </w:rPr>
                            <w:t>3</w:t>
                          </w:r>
                        </w:p>
                        <w:p>
                          <w:pPr>
                            <w:pStyle w:val="Header"/>
                            <w:spacing w:lineRule="atLeast" w:line="480" w:before="0" w:after="0"/>
                            <w:ind w:end="245"/>
                            <w:jc w:val="end"/>
                            <w:rPr>
                              <w:u w:val="none"/>
                            </w:rPr>
                          </w:pPr>
                          <w:r>
                            <w:rPr>
                              <w:u w:val="none"/>
                            </w:rPr>
                            <w:t>4</w:t>
                          </w:r>
                        </w:p>
                        <w:p>
                          <w:pPr>
                            <w:pStyle w:val="Header"/>
                            <w:spacing w:lineRule="atLeast" w:line="480" w:before="0" w:after="0"/>
                            <w:ind w:end="245"/>
                            <w:jc w:val="end"/>
                            <w:rPr>
                              <w:u w:val="none"/>
                            </w:rPr>
                          </w:pPr>
                          <w:r>
                            <w:rPr>
                              <w:u w:val="none"/>
                            </w:rPr>
                            <w:t>5</w:t>
                          </w:r>
                        </w:p>
                        <w:p>
                          <w:pPr>
                            <w:pStyle w:val="Header"/>
                            <w:spacing w:lineRule="atLeast" w:line="480" w:before="0" w:after="0"/>
                            <w:ind w:end="245"/>
                            <w:jc w:val="end"/>
                            <w:rPr>
                              <w:u w:val="none"/>
                            </w:rPr>
                          </w:pPr>
                          <w:r>
                            <w:rPr>
                              <w:u w:val="none"/>
                            </w:rPr>
                            <w:t>6</w:t>
                          </w:r>
                        </w:p>
                        <w:p>
                          <w:pPr>
                            <w:pStyle w:val="Header"/>
                            <w:spacing w:lineRule="atLeast" w:line="480" w:before="0" w:after="0"/>
                            <w:ind w:end="245"/>
                            <w:jc w:val="end"/>
                            <w:rPr>
                              <w:u w:val="none"/>
                            </w:rPr>
                          </w:pPr>
                          <w:r>
                            <w:rPr>
                              <w:u w:val="none"/>
                            </w:rPr>
                            <w:t>7</w:t>
                          </w:r>
                        </w:p>
                        <w:p>
                          <w:pPr>
                            <w:pStyle w:val="Header"/>
                            <w:spacing w:lineRule="atLeast" w:line="480" w:before="0" w:after="0"/>
                            <w:ind w:end="245"/>
                            <w:jc w:val="end"/>
                            <w:rPr>
                              <w:u w:val="none"/>
                            </w:rPr>
                          </w:pPr>
                          <w:r>
                            <w:rPr>
                              <w:u w:val="none"/>
                            </w:rPr>
                            <w:t>8</w:t>
                          </w:r>
                        </w:p>
                        <w:p>
                          <w:pPr>
                            <w:pStyle w:val="Header"/>
                            <w:spacing w:lineRule="atLeast" w:line="480" w:before="0" w:after="0"/>
                            <w:ind w:end="245"/>
                            <w:jc w:val="end"/>
                            <w:rPr>
                              <w:u w:val="none"/>
                            </w:rPr>
                          </w:pPr>
                          <w:r>
                            <w:rPr>
                              <w:u w:val="none"/>
                            </w:rPr>
                            <w:t>9</w:t>
                          </w:r>
                        </w:p>
                        <w:p>
                          <w:pPr>
                            <w:pStyle w:val="Header"/>
                            <w:spacing w:lineRule="atLeast" w:line="480" w:before="0" w:after="0"/>
                            <w:ind w:end="245"/>
                            <w:jc w:val="end"/>
                            <w:rPr>
                              <w:u w:val="none"/>
                            </w:rPr>
                          </w:pPr>
                          <w:r>
                            <w:rPr>
                              <w:u w:val="none"/>
                            </w:rPr>
                            <w:t>10</w:t>
                          </w:r>
                        </w:p>
                        <w:p>
                          <w:pPr>
                            <w:pStyle w:val="Header"/>
                            <w:spacing w:lineRule="atLeast" w:line="480" w:before="0" w:after="0"/>
                            <w:ind w:end="245"/>
                            <w:jc w:val="end"/>
                            <w:rPr>
                              <w:u w:val="none"/>
                            </w:rPr>
                          </w:pPr>
                          <w:r>
                            <w:rPr>
                              <w:u w:val="none"/>
                            </w:rPr>
                            <w:t>11</w:t>
                          </w:r>
                        </w:p>
                        <w:p>
                          <w:pPr>
                            <w:pStyle w:val="Header"/>
                            <w:spacing w:lineRule="atLeast" w:line="480" w:before="0" w:after="0"/>
                            <w:ind w:end="245"/>
                            <w:jc w:val="end"/>
                            <w:rPr>
                              <w:u w:val="none"/>
                            </w:rPr>
                          </w:pPr>
                          <w:r>
                            <w:rPr>
                              <w:u w:val="none"/>
                            </w:rPr>
                            <w:t>12</w:t>
                          </w:r>
                        </w:p>
                        <w:p>
                          <w:pPr>
                            <w:pStyle w:val="Header"/>
                            <w:spacing w:lineRule="atLeast" w:line="480" w:before="0" w:after="0"/>
                            <w:ind w:end="245"/>
                            <w:jc w:val="end"/>
                            <w:rPr>
                              <w:u w:val="none"/>
                            </w:rPr>
                          </w:pPr>
                          <w:r>
                            <w:rPr>
                              <w:u w:val="none"/>
                            </w:rPr>
                            <w:t>13</w:t>
                          </w:r>
                        </w:p>
                        <w:p>
                          <w:pPr>
                            <w:pStyle w:val="Header"/>
                            <w:spacing w:lineRule="atLeast" w:line="480" w:before="0" w:after="0"/>
                            <w:ind w:end="245"/>
                            <w:jc w:val="end"/>
                            <w:rPr>
                              <w:u w:val="none"/>
                            </w:rPr>
                          </w:pPr>
                          <w:r>
                            <w:rPr>
                              <w:u w:val="none"/>
                            </w:rPr>
                            <w:t>14</w:t>
                          </w:r>
                        </w:p>
                        <w:p>
                          <w:pPr>
                            <w:pStyle w:val="Header"/>
                            <w:spacing w:lineRule="atLeast" w:line="480" w:before="0" w:after="0"/>
                            <w:ind w:end="245"/>
                            <w:jc w:val="end"/>
                            <w:rPr>
                              <w:u w:val="none"/>
                            </w:rPr>
                          </w:pPr>
                          <w:r>
                            <w:rPr>
                              <w:u w:val="none"/>
                            </w:rPr>
                            <w:t>15</w:t>
                          </w:r>
                        </w:p>
                        <w:p>
                          <w:pPr>
                            <w:pStyle w:val="Header"/>
                            <w:spacing w:lineRule="atLeast" w:line="480" w:before="0" w:after="0"/>
                            <w:ind w:end="245"/>
                            <w:jc w:val="end"/>
                            <w:rPr>
                              <w:u w:val="none"/>
                            </w:rPr>
                          </w:pPr>
                          <w:r>
                            <w:rPr>
                              <w:u w:val="none"/>
                            </w:rPr>
                            <w:t>16</w:t>
                          </w:r>
                        </w:p>
                        <w:p>
                          <w:pPr>
                            <w:pStyle w:val="Header"/>
                            <w:spacing w:lineRule="atLeast" w:line="480" w:before="0" w:after="0"/>
                            <w:ind w:end="245"/>
                            <w:jc w:val="end"/>
                            <w:rPr>
                              <w:u w:val="none"/>
                            </w:rPr>
                          </w:pPr>
                          <w:r>
                            <w:rPr>
                              <w:u w:val="none"/>
                            </w:rPr>
                            <w:t>17</w:t>
                          </w:r>
                        </w:p>
                        <w:p>
                          <w:pPr>
                            <w:pStyle w:val="Header"/>
                            <w:spacing w:lineRule="atLeast" w:line="480" w:before="0" w:after="0"/>
                            <w:ind w:end="245"/>
                            <w:jc w:val="end"/>
                            <w:rPr>
                              <w:u w:val="none"/>
                            </w:rPr>
                          </w:pPr>
                          <w:r>
                            <w:rPr>
                              <w:u w:val="none"/>
                            </w:rPr>
                            <w:t>18</w:t>
                          </w:r>
                        </w:p>
                        <w:p>
                          <w:pPr>
                            <w:pStyle w:val="Header"/>
                            <w:spacing w:lineRule="atLeast" w:line="480" w:before="0" w:after="0"/>
                            <w:ind w:end="245"/>
                            <w:jc w:val="end"/>
                            <w:rPr>
                              <w:u w:val="none"/>
                            </w:rPr>
                          </w:pPr>
                          <w:r>
                            <w:rPr>
                              <w:u w:val="none"/>
                            </w:rPr>
                            <w:t>19</w:t>
                          </w:r>
                        </w:p>
                        <w:p>
                          <w:pPr>
                            <w:pStyle w:val="Header"/>
                            <w:spacing w:lineRule="atLeast" w:line="480" w:before="0" w:after="0"/>
                            <w:ind w:end="245"/>
                            <w:jc w:val="end"/>
                            <w:rPr>
                              <w:u w:val="none"/>
                            </w:rPr>
                          </w:pPr>
                          <w:r>
                            <w:rPr>
                              <w:u w:val="none"/>
                            </w:rPr>
                            <w:t>20</w:t>
                          </w:r>
                        </w:p>
                        <w:p>
                          <w:pPr>
                            <w:pStyle w:val="Header"/>
                            <w:spacing w:lineRule="atLeast" w:line="480" w:before="0" w:after="0"/>
                            <w:ind w:end="245"/>
                            <w:jc w:val="end"/>
                            <w:rPr>
                              <w:u w:val="none"/>
                            </w:rPr>
                          </w:pPr>
                          <w:r>
                            <w:rPr>
                              <w:u w:val="none"/>
                            </w:rPr>
                            <w:t>21</w:t>
                          </w:r>
                        </w:p>
                        <w:p>
                          <w:pPr>
                            <w:pStyle w:val="Header"/>
                            <w:spacing w:lineRule="atLeast" w:line="480" w:before="0" w:after="0"/>
                            <w:ind w:end="245"/>
                            <w:jc w:val="end"/>
                            <w:rPr>
                              <w:u w:val="none"/>
                            </w:rPr>
                          </w:pPr>
                          <w:r>
                            <w:rPr>
                              <w:u w:val="none"/>
                            </w:rPr>
                            <w:t>22</w:t>
                          </w:r>
                        </w:p>
                        <w:p>
                          <w:pPr>
                            <w:pStyle w:val="Header"/>
                            <w:spacing w:lineRule="atLeast" w:line="480" w:before="0" w:after="0"/>
                            <w:ind w:end="245"/>
                            <w:jc w:val="end"/>
                            <w:rPr>
                              <w:u w:val="none"/>
                            </w:rPr>
                          </w:pPr>
                          <w:r>
                            <w:rPr>
                              <w:u w:val="none"/>
                            </w:rPr>
                            <w:t>23</w:t>
                          </w:r>
                        </w:p>
                        <w:p>
                          <w:pPr>
                            <w:pStyle w:val="Header"/>
                            <w:spacing w:lineRule="atLeast" w:line="480" w:before="0" w:after="0"/>
                            <w:ind w:end="245"/>
                            <w:jc w:val="end"/>
                            <w:rPr>
                              <w:u w:val="none"/>
                            </w:rPr>
                          </w:pPr>
                          <w:r>
                            <w:rPr>
                              <w:u w:val="none"/>
                            </w:rPr>
                            <w:t>24</w:t>
                          </w:r>
                        </w:p>
                        <w:p>
                          <w:pPr>
                            <w:pStyle w:val="Header"/>
                            <w:spacing w:lineRule="atLeast" w:line="480" w:before="0" w:after="0"/>
                            <w:ind w:end="245"/>
                            <w:jc w:val="end"/>
                            <w:rPr>
                              <w:u w:val="none"/>
                            </w:rPr>
                          </w:pPr>
                          <w:r>
                            <w:rPr>
                              <w:u w:val="none"/>
                            </w:rPr>
                            <w:t>25</w:t>
                          </w:r>
                        </w:p>
                        <w:p>
                          <w:pPr>
                            <w:pStyle w:val="Header"/>
                            <w:spacing w:lineRule="atLeast" w:line="480" w:before="0" w:after="0"/>
                            <w:ind w:end="245"/>
                            <w:jc w:val="end"/>
                            <w:rPr>
                              <w:u w:val="none"/>
                            </w:rPr>
                          </w:pPr>
                          <w:r>
                            <w:rPr>
                              <w:u w:val="none"/>
                            </w:rPr>
                            <w:t>26</w:t>
                          </w:r>
                        </w:p>
                        <w:p>
                          <w:pPr>
                            <w:pStyle w:val="Header"/>
                            <w:spacing w:lineRule="atLeast" w:line="480" w:before="0" w:after="0"/>
                            <w:ind w:end="245"/>
                            <w:jc w:val="end"/>
                            <w:rPr>
                              <w:u w:val="none"/>
                            </w:rPr>
                          </w:pPr>
                          <w:r>
                            <w:rPr>
                              <w:u w:val="none"/>
                            </w:rPr>
                            <w:t>27</w:t>
                          </w:r>
                        </w:p>
                        <w:p>
                          <w:pPr>
                            <w:pStyle w:val="Header"/>
                            <w:spacing w:lineRule="atLeast" w:line="480" w:before="0" w:after="0"/>
                            <w:ind w:end="245"/>
                            <w:jc w:val="end"/>
                            <w:rPr>
                              <w:u w:val="none"/>
                            </w:rPr>
                          </w:pPr>
                          <w:r>
                            <w:rPr>
                              <w:u w:val="none"/>
                            </w:rPr>
                            <w:t>28</w:t>
                          </w:r>
                        </w:p>
                      </w:tc>
                      <w:tc>
                        <w:tcPr>
                          <w:tcW w:w="9720" w:type="dxa"/>
                          <w:tcBorders/>
                        </w:tcPr>
                        <w:p>
                          <w:pPr>
                            <w:pStyle w:val="Normal"/>
                            <w:snapToGrid w:val="false"/>
                            <w:rPr/>
                          </w:pPr>
                          <w:r>
                            <w:rPr/>
                          </w:r>
                        </w:p>
                      </w:tc>
                    </w:tr>
                  </w:tbl>
                  <w:p>
                    <w:pPr>
                      <w:pStyle w:val="Header"/>
                      <w:rPr/>
                    </w:pPr>
                    <w:r>
                      <w:rPr/>
                    </w:r>
                  </w:p>
                  <w:p>
                    <w:pPr>
                      <w:pStyle w:val="Header"/>
                      <w:spacing w:before="0" w:after="720"/>
                      <w:jc w:val="center"/>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0"/>
        </w:tabs>
        <w:ind w:start="3600" w:hanging="21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zzmpLTFontsClean" w:val="True"/>
    <w:docVar w:name="zzmpnSession" w:val="0.613048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1"/>
    <w:qFormat/>
    <w:pPr>
      <w:keepNext w:val="true"/>
      <w:keepLines/>
      <w:numPr>
        <w:ilvl w:val="0"/>
        <w:numId w:val="1"/>
      </w:numPr>
      <w:spacing w:before="240" w:after="0"/>
      <w:ind w:hanging="720" w:start="720" w:end="0"/>
      <w:jc w:val="center"/>
      <w:outlineLvl w:val="0"/>
    </w:pPr>
    <w:rPr>
      <w:rFonts w:ascii="Times New Roman Bold;Times New Roman" w:hAnsi="Times New Roman Bold;Times New Roman" w:cs="Times New Roman Bold;Times New Roman"/>
      <w:b/>
      <w:caps/>
      <w:color w:val="000080"/>
    </w:rPr>
  </w:style>
  <w:style w:type="paragraph" w:styleId="Heading2">
    <w:name w:val="heading 2"/>
    <w:basedOn w:val="Heading1"/>
    <w:next w:val="bodytext1"/>
    <w:qFormat/>
    <w:pPr>
      <w:numPr>
        <w:ilvl w:val="1"/>
        <w:numId w:val="1"/>
      </w:numPr>
      <w:ind w:hanging="720" w:start="1440" w:end="0"/>
      <w:outlineLvl w:val="1"/>
    </w:pPr>
    <w:rPr>
      <w:caps w:val="false"/>
      <w:smallCaps w:val="false"/>
      <w:color w:val="800080"/>
    </w:rPr>
  </w:style>
  <w:style w:type="paragraph" w:styleId="Heading3">
    <w:name w:val="heading 3"/>
    <w:basedOn w:val="Heading2"/>
    <w:next w:val="bodytext1"/>
    <w:qFormat/>
    <w:pPr>
      <w:numPr>
        <w:ilvl w:val="2"/>
        <w:numId w:val="1"/>
      </w:numPr>
      <w:ind w:hanging="720" w:start="2160" w:end="0"/>
      <w:outlineLvl w:val="2"/>
    </w:pPr>
    <w:rPr>
      <w:color w:val="008000"/>
    </w:rPr>
  </w:style>
  <w:style w:type="paragraph" w:styleId="Heading4">
    <w:name w:val="heading 4"/>
    <w:basedOn w:val="Heading3"/>
    <w:next w:val="bodytext1"/>
    <w:qFormat/>
    <w:pPr>
      <w:numPr>
        <w:ilvl w:val="3"/>
        <w:numId w:val="1"/>
      </w:numPr>
      <w:ind w:hanging="720" w:start="2880" w:end="0"/>
      <w:outlineLvl w:val="3"/>
    </w:pPr>
    <w:rPr>
      <w:color w:val="808080"/>
    </w:rPr>
  </w:style>
  <w:style w:type="paragraph" w:styleId="Heading5">
    <w:name w:val="heading 5"/>
    <w:basedOn w:val="Heading4"/>
    <w:next w:val="bodytext1"/>
    <w:qFormat/>
    <w:pPr>
      <w:numPr>
        <w:ilvl w:val="4"/>
        <w:numId w:val="1"/>
      </w:numPr>
      <w:ind w:hanging="720" w:start="3600" w:end="0"/>
      <w:outlineLvl w:val="4"/>
    </w:pPr>
    <w:rPr>
      <w:color w:val="auto"/>
    </w:rPr>
  </w:style>
  <w:style w:type="paragraph" w:styleId="Heading6">
    <w:name w:val="heading 6"/>
    <w:basedOn w:val="Heading5"/>
    <w:next w:val="bodytext1"/>
    <w:qFormat/>
    <w:pPr>
      <w:numPr>
        <w:ilvl w:val="5"/>
        <w:numId w:val="1"/>
      </w:numPr>
      <w:ind w:hanging="720" w:start="4320" w:end="0"/>
      <w:outlineLvl w:val="5"/>
    </w:pPr>
    <w:rPr/>
  </w:style>
  <w:style w:type="paragraph" w:styleId="Heading7">
    <w:name w:val="heading 7"/>
    <w:basedOn w:val="Normal"/>
    <w:next w:val="Normal"/>
    <w:qFormat/>
    <w:pPr>
      <w:keepNext w:val="true"/>
      <w:numPr>
        <w:ilvl w:val="6"/>
        <w:numId w:val="1"/>
      </w:numPr>
      <w:spacing w:before="240" w:after="0"/>
      <w:ind w:hanging="720" w:start="5040" w:end="1440"/>
      <w:outlineLvl w:val="6"/>
    </w:pPr>
    <w:rPr/>
  </w:style>
  <w:style w:type="paragraph" w:styleId="Heading8">
    <w:name w:val="heading 8"/>
    <w:basedOn w:val="Heading7"/>
    <w:next w:val="Normal"/>
    <w:qFormat/>
    <w:pPr>
      <w:numPr>
        <w:ilvl w:val="7"/>
        <w:numId w:val="1"/>
      </w:numPr>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raNum">
    <w:name w:val="ParaNum"/>
    <w:basedOn w:val="DefaultParagraphFont"/>
    <w:qFormat/>
    <w:rPr>
      <w:rFonts w:ascii="Times New Roman" w:hAnsi="Times New Roman" w:cs="Times New Roman"/>
      <w:b w:val="false"/>
      <w:i w:val="false"/>
      <w:vanish w:val="false"/>
      <w:u w:val="none"/>
    </w:rPr>
  </w:style>
  <w:style w:type="character" w:styleId="CommentReference">
    <w:name w:val="Comment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color w:val="FF0000"/>
      <w:sz w:val="16"/>
      <w:vertAlign w:val="superscript"/>
    </w:rPr>
  </w:style>
  <w:style w:type="character" w:styleId="PageNumber">
    <w:name w:val="page number"/>
    <w:rPr>
      <w:rFonts w:ascii="Courier (W1)" w:hAnsi="Courier (W1)" w:cs="Courier (W1)"/>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exact"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exact" w:line="480"/>
      <w:ind w:firstLine="1440" w:start="0" w:end="0"/>
    </w:pPr>
    <w:rPr/>
  </w:style>
  <w:style w:type="paragraph" w:styleId="NormalIndent">
    <w:name w:val="Normal Indent"/>
    <w:basedOn w:val="Normal"/>
    <w:qFormat/>
    <w:pPr>
      <w:ind w:hanging="0" w:start="720" w:end="0"/>
    </w:pPr>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1">
    <w:name w:val="toc 1"/>
    <w:basedOn w:val="Normal"/>
    <w:next w:val="Normal"/>
    <w:pPr>
      <w:tabs>
        <w:tab w:val="clear" w:pos="720"/>
        <w:tab w:val="right" w:pos="9360" w:leader="dot"/>
      </w:tabs>
      <w:spacing w:before="0" w:after="240"/>
      <w:ind w:hanging="720" w:start="720" w:end="1440"/>
    </w:pPr>
    <w:rPr>
      <w:caps/>
      <w:color w:val="0000FF"/>
    </w:rPr>
  </w:style>
  <w:style w:type="paragraph" w:styleId="TOC2">
    <w:name w:val="toc 2"/>
    <w:basedOn w:val="TOC1"/>
    <w:next w:val="Normal"/>
    <w:pPr>
      <w:ind w:hanging="720" w:start="1440" w:end="1440"/>
    </w:pPr>
    <w:rPr>
      <w:caps w:val="false"/>
      <w:smallCaps w:val="false"/>
    </w:rPr>
  </w:style>
  <w:style w:type="paragraph" w:styleId="TOC3">
    <w:name w:val="toc 3"/>
    <w:basedOn w:val="TOC2"/>
    <w:next w:val="Normal"/>
    <w:pPr>
      <w:ind w:hanging="720" w:start="2160" w:end="1440"/>
    </w:pPr>
    <w:rPr/>
  </w:style>
  <w:style w:type="paragraph" w:styleId="TOC4">
    <w:name w:val="toc 4"/>
    <w:basedOn w:val="TOC3"/>
    <w:next w:val="Normal"/>
    <w:pPr>
      <w:ind w:hanging="720" w:start="2880" w:end="1440"/>
    </w:pPr>
    <w:rPr/>
  </w:style>
  <w:style w:type="paragraph" w:styleId="TOC5">
    <w:name w:val="toc 5"/>
    <w:basedOn w:val="TOC4"/>
    <w:next w:val="Normal"/>
    <w:pPr>
      <w:tabs>
        <w:tab w:val="left" w:pos="3960" w:leader="none"/>
        <w:tab w:val="right" w:pos="9360" w:leader="dot"/>
      </w:tabs>
      <w:ind w:hanging="720" w:start="3600" w:end="1440"/>
    </w:pPr>
    <w:rPr/>
  </w:style>
  <w:style w:type="paragraph" w:styleId="TOC6">
    <w:name w:val="toc 6"/>
    <w:basedOn w:val="TOC5"/>
    <w:next w:val="Normal"/>
    <w:pPr>
      <w:keepLines/>
      <w:spacing w:lineRule="atLeast" w:line="240"/>
      <w:ind w:hanging="720" w:start="4320" w:end="1440"/>
    </w:pPr>
    <w:rPr/>
  </w:style>
  <w:style w:type="paragraph" w:styleId="TOC7">
    <w:name w:val="toc 7"/>
    <w:basedOn w:val="TOC6"/>
    <w:next w:val="Normal"/>
    <w:pPr>
      <w:ind w:hanging="720" w:start="5040" w:end="1440"/>
    </w:pPr>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tabs>
        <w:tab w:val="left" w:pos="720" w:leader="none"/>
        <w:tab w:val="right" w:pos="8640" w:leader="dot"/>
      </w:tabs>
      <w:ind w:hanging="0" w:start="360" w:end="1440"/>
    </w:pPr>
    <w:rPr/>
  </w:style>
  <w:style w:type="paragraph" w:styleId="Index2">
    <w:name w:val="index 2"/>
    <w:basedOn w:val="Normal"/>
    <w:next w:val="Normal"/>
    <w:pPr>
      <w:keepLines/>
      <w:tabs>
        <w:tab w:val="clear" w:pos="720"/>
        <w:tab w:val="right" w:pos="9360" w:leader="dot"/>
      </w:tabs>
      <w:spacing w:before="240" w:after="0"/>
      <w:ind w:hanging="360" w:start="360" w:end="2160"/>
    </w:pPr>
    <w:rPr>
      <w:color w:val="0000FF"/>
    </w:rPr>
  </w:style>
  <w:style w:type="paragraph" w:styleId="Index1">
    <w:name w:val="index 1"/>
    <w:basedOn w:val="Normal"/>
    <w:next w:val="Normal"/>
    <w:pPr>
      <w:keepNext w:val="true"/>
      <w:spacing w:before="240" w:after="0"/>
      <w:jc w:val="center"/>
    </w:pPr>
    <w:rPr>
      <w:color w:val="0000FF"/>
      <w:u w:val="single"/>
    </w:rPr>
  </w:style>
  <w:style w:type="paragraph" w:styleId="IndexHeading">
    <w:name w:val="index heading"/>
    <w:basedOn w:val="Normal"/>
    <w:next w:val="Index1"/>
    <w:pPr>
      <w:spacing w:lineRule="atLeast" w:line="240" w:before="24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9360" w:leader="none"/>
      </w:tabs>
      <w:spacing w:lineRule="auto" w:line="240"/>
      <w:ind w:hanging="0" w:start="-547" w:end="0"/>
    </w:pPr>
    <w:rPr>
      <w:rFonts w:ascii="Arial" w:hAnsi="Arial" w:cs="Arial"/>
      <w:color w:val="0000FF"/>
      <w:sz w:val="14"/>
      <w:lang w:val="en-CA" w:eastAsia="en-CA"/>
    </w:rPr>
  </w:style>
  <w:style w:type="paragraph" w:styleId="Header">
    <w:name w:val="header"/>
    <w:basedOn w:val="Normal"/>
    <w:pPr>
      <w:tabs>
        <w:tab w:val="clear" w:pos="720"/>
        <w:tab w:val="center" w:pos="4320" w:leader="none"/>
        <w:tab w:val="right" w:pos="8640" w:leader="none"/>
      </w:tabs>
      <w:spacing w:before="0" w:after="720"/>
      <w:jc w:val="center"/>
    </w:pPr>
    <w:rPr>
      <w:b/>
      <w:u w:val="single"/>
    </w:rPr>
  </w:style>
  <w:style w:type="paragraph" w:styleId="FootnoteText">
    <w:name w:val="footnote text"/>
    <w:basedOn w:val="Normal"/>
    <w:pPr>
      <w:spacing w:lineRule="atLeast" w:line="240" w:before="240" w:after="0"/>
    </w:pPr>
    <w:rPr/>
  </w:style>
  <w:style w:type="paragraph" w:styleId="zSignatureBlock">
    <w:name w:val="zSignatureBlock"/>
    <w:basedOn w:val="Normal"/>
    <w:qFormat/>
    <w:pPr>
      <w:keepNext w:val="true"/>
      <w:spacing w:lineRule="atLeast" w:line="240" w:before="480" w:after="0"/>
      <w:ind w:hanging="0" w:start="4320" w:end="0"/>
    </w:pPr>
    <w:rPr/>
  </w:style>
  <w:style w:type="paragraph" w:styleId="zByLine">
    <w:name w:val="zByLine"/>
    <w:basedOn w:val="Normal"/>
    <w:qFormat/>
    <w:pPr>
      <w:tabs>
        <w:tab w:val="clear" w:pos="720"/>
        <w:tab w:val="left" w:pos="4770" w:leader="none"/>
        <w:tab w:val="right" w:pos="9360" w:leader="none"/>
      </w:tabs>
      <w:spacing w:lineRule="exact" w:line="480" w:before="720" w:after="0"/>
      <w:ind w:hanging="0" w:start="4320" w:end="0"/>
    </w:pPr>
    <w:rPr/>
  </w:style>
  <w:style w:type="paragraph" w:styleId="zTitle">
    <w:name w:val="zTitle"/>
    <w:basedOn w:val="Normal"/>
    <w:qFormat/>
    <w:pPr>
      <w:spacing w:before="720" w:after="720"/>
      <w:ind w:hanging="0" w:start="720" w:end="720"/>
      <w:jc w:val="center"/>
    </w:pPr>
    <w:rPr>
      <w:color w:val="FF0000"/>
    </w:rPr>
  </w:style>
  <w:style w:type="paragraph" w:styleId="zDated">
    <w:name w:val="zDated"/>
    <w:basedOn w:val="Normal"/>
    <w:qFormat/>
    <w:pPr>
      <w:keepNext w:val="true"/>
      <w:spacing w:before="240" w:after="0"/>
    </w:pPr>
    <w:rPr/>
  </w:style>
  <w:style w:type="paragraph" w:styleId="pleading-linenums">
    <w:name w:val="pleading-line nums"/>
    <w:qFormat/>
    <w:pPr>
      <w:widowControl/>
      <w:bidi w:val="0"/>
      <w:spacing w:lineRule="atLeast" w:line="480"/>
      <w:jc w:val="end"/>
    </w:pPr>
    <w:rPr>
      <w:rFonts w:ascii="Times New Roman" w:hAnsi="Times New Roman" w:eastAsia="Times New Roman" w:cs="Times New Roman"/>
      <w:b/>
      <w:color w:val="auto"/>
      <w:sz w:val="24"/>
      <w:szCs w:val="20"/>
      <w:lang w:val="en-US" w:bidi="ar-SA" w:eastAsia="zh-CN"/>
    </w:rPr>
  </w:style>
  <w:style w:type="paragraph" w:styleId="pleading-leftbar">
    <w:name w:val="pleading-left bar"/>
    <w:qFormat/>
    <w:pPr>
      <w:widowControl/>
      <w:bidi w:val="0"/>
    </w:pPr>
    <w:rPr>
      <w:rFonts w:ascii="Times New Roman" w:hAnsi="Times New Roman" w:eastAsia="Times New Roman" w:cs="Times New Roman"/>
      <w:b/>
      <w:color w:val="auto"/>
      <w:sz w:val="24"/>
      <w:szCs w:val="20"/>
      <w:lang w:val="en-US" w:bidi="ar-SA" w:eastAsia="zh-CN"/>
    </w:rPr>
  </w:style>
  <w:style w:type="paragraph" w:styleId="pleading-rightbar">
    <w:name w:val="pleading-right bar"/>
    <w:basedOn w:val="pleading-leftbar"/>
    <w:qFormat/>
    <w:pPr>
      <w:spacing w:lineRule="atLeast" w:line="480"/>
    </w:pPr>
    <w:rPr/>
  </w:style>
  <w:style w:type="paragraph" w:styleId="pleading-firmname">
    <w:name w:val="pleading-firm name"/>
    <w:qFormat/>
    <w:pPr>
      <w:widowControl/>
      <w:bidi w:val="0"/>
      <w:spacing w:before="0" w:after="360"/>
      <w:jc w:val="center"/>
    </w:pPr>
    <w:rPr>
      <w:rFonts w:ascii="Times New Roman" w:hAnsi="Times New Roman" w:eastAsia="Times New Roman" w:cs="Times New Roman"/>
      <w:color w:val="000000"/>
      <w:sz w:val="16"/>
      <w:szCs w:val="20"/>
      <w:lang w:val="en-US" w:bidi="ar-SA" w:eastAsia="zh-CN"/>
    </w:rPr>
  </w:style>
  <w:style w:type="paragraph" w:styleId="quote">
    <w:name w:val="quote"/>
    <w:basedOn w:val="Normal"/>
    <w:qFormat/>
    <w:pPr>
      <w:spacing w:before="240" w:after="0"/>
      <w:ind w:hanging="0" w:start="1440" w:end="1440"/>
    </w:pPr>
    <w:rPr/>
  </w:style>
  <w:style w:type="paragraph" w:styleId="Plain">
    <w:name w:val="Plain"/>
    <w:basedOn w:val="Normal"/>
    <w:qFormat/>
    <w:pPr/>
    <w:rPr/>
  </w:style>
  <w:style w:type="paragraph" w:styleId="quote1">
    <w:name w:val="quote 1"/>
    <w:basedOn w:val="zTitle"/>
    <w:qFormat/>
    <w:pPr>
      <w:spacing w:lineRule="exact" w:line="480"/>
    </w:pPr>
    <w:rPr/>
  </w:style>
  <w:style w:type="paragraph" w:styleId="CommentText">
    <w:name w:val="Comment Text"/>
    <w:basedOn w:val="Normal"/>
    <w:qFormat/>
    <w:pPr/>
    <w:rPr>
      <w:sz w:val="20"/>
    </w:rPr>
  </w:style>
  <w:style w:type="paragraph" w:styleId="zPleadingTitle">
    <w:name w:val="zPleadingTitle"/>
    <w:basedOn w:val="Normal"/>
    <w:qFormat/>
    <w:pPr/>
    <w:rPr>
      <w:color w:val="0000FF"/>
    </w:rPr>
  </w:style>
  <w:style w:type="paragraph" w:styleId="zFirstFooter">
    <w:name w:val="zFirstFooter"/>
    <w:basedOn w:val="Footer"/>
    <w:qFormat/>
    <w:pPr>
      <w:tabs>
        <w:tab w:val="clear" w:pos="9360"/>
        <w:tab w:val="right" w:pos="9990" w:leader="none"/>
      </w:tabs>
      <w:ind w:hanging="0" w:start="-547" w:end="-547"/>
    </w:pPr>
    <w:rPr/>
  </w:style>
  <w:style w:type="paragraph" w:styleId="bodytextblock">
    <w:name w:val="body text block"/>
    <w:basedOn w:val="bodytext1"/>
    <w:qFormat/>
    <w:pPr>
      <w:ind w:hanging="0" w:start="0" w:end="0"/>
    </w:pPr>
    <w:rPr/>
  </w:style>
  <w:style w:type="paragraph" w:styleId="ListBullet">
    <w:name w:val="List Bullet"/>
    <w:basedOn w:val="Normal"/>
    <w:pPr>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Interrogatory">
    <w:name w:val="Interrogatory"/>
    <w:basedOn w:val="Normal"/>
    <w:next w:val="bodytext1"/>
    <w:qFormat/>
    <w:pPr>
      <w:keepNext w:val="true"/>
      <w:spacing w:before="240" w:after="0"/>
    </w:pPr>
    <w:rPr>
      <w:u w:val="single"/>
    </w:rPr>
  </w:style>
  <w:style w:type="paragraph" w:styleId="List6">
    <w:name w:val="List 6"/>
    <w:basedOn w:val="ListBullet5"/>
    <w:qFormat/>
    <w:pPr>
      <w:ind w:hanging="720" w:start="4320" w:end="0"/>
    </w:pPr>
    <w:rPr/>
  </w:style>
  <w:style w:type="paragraph" w:styleId="TOAHeading">
    <w:name w:val="TOA Heading"/>
    <w:basedOn w:val="Normal"/>
    <w:next w:val="Normal"/>
    <w:qFormat/>
    <w:pPr>
      <w:spacing w:before="0" w:after="240"/>
      <w:jc w:val="center"/>
    </w:pPr>
    <w:rPr>
      <w:u w:val="single"/>
    </w:rPr>
  </w:style>
  <w:style w:type="paragraph" w:styleId="TableofAuthorities">
    <w:name w:val="Table of Authorities"/>
    <w:basedOn w:val="Normal"/>
    <w:next w:val="Normal"/>
    <w:qFormat/>
    <w:pPr>
      <w:keepLines/>
      <w:tabs>
        <w:tab w:val="clear" w:pos="720"/>
        <w:tab w:val="right" w:pos="9360" w:leader="dot"/>
      </w:tabs>
      <w:spacing w:before="0" w:after="240"/>
      <w:ind w:hanging="360" w:start="360" w:end="216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eastAsia="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2001-04-01T18:29:00Z</dcterms:created>
  <dc:creator>Hixson, Thomas S.</dc:creator>
  <dc:description/>
  <cp:keywords>23130-0001</cp:keywords>
  <dc:language>en-CA</dc:language>
  <cp:lastModifiedBy>nk2</cp:lastModifiedBy>
  <cp:lastPrinted>2001-04-01T13:56:00Z</cp:lastPrinted>
  <dcterms:modified xsi:type="dcterms:W3CDTF">2001-04-01T18:29:00Z</dcterms:modified>
  <cp:revision>2</cp:revision>
  <dc:subject/>
  <dc:title>McCUTCHEN, DOYLE, BROWN &amp; ENERSEN, LLP</dc:title>
</cp:coreProperties>
</file>