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Deliver"/>
        <w:spacing w:lineRule="exact" w:line="14" w:before="0" w:after="0"/>
        <w:rPr/>
      </w:pPr>
      <w:r>
        <w:rPr/>
      </w:r>
      <w:r>
        <mc:AlternateContent>
          <mc:Choice Requires="wps">
            <w:drawing>
              <wp:anchor behindDoc="0" distT="0" distB="0" distL="118745" distR="118745" simplePos="0" locked="0" layoutInCell="0" allowOverlap="1" relativeHeight="2">
                <wp:simplePos x="0" y="0"/>
                <wp:positionH relativeFrom="page">
                  <wp:posOffset>5487035</wp:posOffset>
                </wp:positionH>
                <wp:positionV relativeFrom="page">
                  <wp:posOffset>274955</wp:posOffset>
                </wp:positionV>
                <wp:extent cx="1943100" cy="1137285"/>
                <wp:effectExtent l="0" t="0" r="0" b="0"/>
                <wp:wrapTopAndBottom/>
                <wp:docPr id="1" name="Frame1"/>
                <a:graphic xmlns:a="http://schemas.openxmlformats.org/drawingml/2006/main">
                  <a:graphicData uri="http://schemas.microsoft.com/office/word/2010/wordprocessingShape">
                    <wps:wsp>
                      <wps:cNvSpPr txBox="1"/>
                      <wps:spPr>
                        <a:xfrm>
                          <a:off x="0" y="0"/>
                          <a:ext cx="1943100" cy="1137285"/>
                        </a:xfrm>
                        <a:prstGeom prst="rect"/>
                        <a:solidFill>
                          <a:srgbClr val="FFFFFF">
                            <a:alpha val="0"/>
                          </a:srgbClr>
                        </a:solidFill>
                      </wps:spPr>
                      <wps:txbx>
                        <w:txbxContent>
                          <w:tbl>
                            <w:tblPr>
                              <w:tblW w:w="5000" w:type="pct"/>
                              <w:jc w:val="start"/>
                              <w:tblInd w:w="0" w:type="dxa"/>
                              <w:tblLayout w:type="fixed"/>
                              <w:tblCellMar>
                                <w:top w:w="0" w:type="dxa"/>
                                <w:start w:w="0" w:type="dxa"/>
                                <w:bottom w:w="0" w:type="dxa"/>
                                <w:end w:w="0" w:type="dxa"/>
                              </w:tblCellMar>
                            </w:tblPr>
                            <w:tblGrid>
                              <w:gridCol w:w="3060"/>
                            </w:tblGrid>
                            <w:tr>
                              <w:trPr/>
                              <w:tc>
                                <w:tcPr>
                                  <w:tcW w:w="3060" w:type="dxa"/>
                                  <w:tcBorders/>
                                </w:tcPr>
                                <w:p>
                                  <w:pPr>
                                    <w:pStyle w:val="Plain"/>
                                    <w:shd w:fill="000000" w:val="clear"/>
                                    <w:spacing w:before="240" w:after="0"/>
                                    <w:jc w:val="center"/>
                                    <w:rPr>
                                      <w:b/>
                                      <w:bCs/>
                                      <w:spacing w:val="80"/>
                                      <w:kern w:val="2"/>
                                      <w:sz w:val="46"/>
                                      <w:szCs w:val="46"/>
                                    </w:rPr>
                                  </w:pPr>
                                  <w:r>
                                    <w:rPr>
                                      <w:smallCaps/>
                                      <w:spacing w:val="60"/>
                                      <w:sz w:val="46"/>
                                      <w:szCs w:val="46"/>
                                    </w:rPr>
                                    <w:t>McCutchen</w:t>
                                  </w:r>
                                </w:p>
                              </w:tc>
                            </w:tr>
                            <w:tr>
                              <w:trPr/>
                              <w:tc>
                                <w:tcPr>
                                  <w:tcW w:w="3060" w:type="dxa"/>
                                  <w:tcBorders/>
                                </w:tcPr>
                                <w:p>
                                  <w:pPr>
                                    <w:pStyle w:val="Plain"/>
                                    <w:spacing w:before="240" w:after="0"/>
                                    <w:jc w:val="center"/>
                                    <w:rPr>
                                      <w:b/>
                                      <w:bCs/>
                                      <w:smallCaps/>
                                      <w:sz w:val="18"/>
                                      <w:szCs w:val="18"/>
                                    </w:rPr>
                                  </w:pPr>
                                  <w:r>
                                    <w:rPr>
                                      <w:rFonts w:eastAsia="Arial" w:cs="Arial" w:ascii="Arial" w:hAnsi="Arial"/>
                                      <w:b/>
                                      <w:bCs/>
                                      <w:spacing w:val="60"/>
                                      <w:sz w:val="34"/>
                                      <w:szCs w:val="34"/>
                                    </w:rPr>
                                    <w:t>DRAFT</w:t>
                                  </w:r>
                                  <w:r>
                                    <w:rPr>
                                      <w:rFonts w:eastAsia="Arial" w:cs="Arial" w:ascii="Arial" w:hAnsi="Arial"/>
                                      <w:b/>
                                      <w:bCs/>
                                      <w:sz w:val="34"/>
                                      <w:szCs w:val="34"/>
                                    </w:rPr>
                                    <w:t xml:space="preserve">  </w:t>
                                  </w:r>
                                  <w:r>
                                    <w:rPr>
                                      <w:rFonts w:eastAsia="Arial" w:cs="Arial" w:ascii="Arial" w:hAnsi="Arial"/>
                                      <w:b/>
                                      <w:bCs/>
                                      <w:sz w:val="34"/>
                                      <w:szCs w:val="34"/>
                                    </w:rPr>
                                    <w:fldChar w:fldCharType="begin"/>
                                  </w:r>
                                  <w:r>
                                    <w:rPr>
                                      <w:sz w:val="34"/>
                                      <w:b/>
                                      <w:szCs w:val="34"/>
                                      <w:bCs/>
                                      <w:rFonts w:eastAsia="Arial" w:cs="Arial" w:ascii="Arial" w:hAnsi="Arial"/>
                                    </w:rPr>
                                    <w:instrText xml:space="preserve"> DATE \@"M/d/yyyy" </w:instrText>
                                  </w:r>
                                  <w:r>
                                    <w:rPr>
                                      <w:sz w:val="34"/>
                                      <w:b/>
                                      <w:szCs w:val="34"/>
                                      <w:bCs/>
                                      <w:rFonts w:eastAsia="Arial" w:cs="Arial" w:ascii="Arial" w:hAnsi="Arial"/>
                                    </w:rPr>
                                    <w:fldChar w:fldCharType="separate"/>
                                  </w:r>
                                  <w:r>
                                    <w:rPr>
                                      <w:sz w:val="34"/>
                                      <w:b/>
                                      <w:szCs w:val="34"/>
                                      <w:bCs/>
                                      <w:rFonts w:eastAsia="Arial" w:cs="Arial" w:ascii="Arial" w:hAnsi="Arial"/>
                                    </w:rPr>
                                    <w:t>9/28/2025</w:t>
                                  </w:r>
                                  <w:r>
                                    <w:rPr>
                                      <w:sz w:val="34"/>
                                      <w:b/>
                                      <w:szCs w:val="34"/>
                                      <w:bCs/>
                                      <w:rFonts w:eastAsia="Arial" w:cs="Arial" w:ascii="Arial" w:hAnsi="Arial"/>
                                    </w:rPr>
                                    <w:fldChar w:fldCharType="end"/>
                                  </w:r>
                                  <w:bookmarkStart w:id="0" w:name="zDraftStamp2"/>
                                  <w:bookmarkEnd w:id="0"/>
                                </w:p>
                              </w:tc>
                            </w:tr>
                          </w:tbl>
                        </w:txbxContent>
                      </wps:txbx>
                      <wps:bodyPr anchor="t" lIns="0" tIns="0" rIns="0" bIns="0">
                        <a:noAutofit/>
                      </wps:bodyPr>
                    </wps:wsp>
                  </a:graphicData>
                </a:graphic>
              </wp:anchor>
            </w:drawing>
          </mc:Choice>
          <mc:Fallback>
            <w:pict>
              <v:rect fillcolor="#FFFFFF" style="position:absolute;rotation:-0;width:153pt;height:89.55pt;mso-wrap-distance-left:9.35pt;mso-wrap-distance-right:9.35pt;mso-wrap-distance-top:0pt;mso-wrap-distance-bottom:0pt;margin-top:21.65pt;mso-position-vertical-relative:page;margin-left:432.05pt;mso-position-horizontal-relative:page">
                <v:fill opacity="0f"/>
                <v:textbox inset="0in,0in,0in,0in">
                  <w:txbxContent>
                    <w:tbl>
                      <w:tblPr>
                        <w:tblW w:w="5000" w:type="pct"/>
                        <w:jc w:val="start"/>
                        <w:tblInd w:w="0" w:type="dxa"/>
                        <w:tblLayout w:type="fixed"/>
                        <w:tblCellMar>
                          <w:top w:w="0" w:type="dxa"/>
                          <w:start w:w="0" w:type="dxa"/>
                          <w:bottom w:w="0" w:type="dxa"/>
                          <w:end w:w="0" w:type="dxa"/>
                        </w:tblCellMar>
                      </w:tblPr>
                      <w:tblGrid>
                        <w:gridCol w:w="3060"/>
                      </w:tblGrid>
                      <w:tr>
                        <w:trPr/>
                        <w:tc>
                          <w:tcPr>
                            <w:tcW w:w="3060" w:type="dxa"/>
                            <w:tcBorders/>
                          </w:tcPr>
                          <w:p>
                            <w:pPr>
                              <w:pStyle w:val="Plain"/>
                              <w:shd w:fill="000000" w:val="clear"/>
                              <w:spacing w:before="240" w:after="0"/>
                              <w:jc w:val="center"/>
                              <w:rPr>
                                <w:b/>
                                <w:bCs/>
                                <w:spacing w:val="80"/>
                                <w:kern w:val="2"/>
                                <w:sz w:val="46"/>
                                <w:szCs w:val="46"/>
                              </w:rPr>
                            </w:pPr>
                            <w:r>
                              <w:rPr>
                                <w:smallCaps/>
                                <w:spacing w:val="60"/>
                                <w:sz w:val="46"/>
                                <w:szCs w:val="46"/>
                              </w:rPr>
                              <w:t>McCutchen</w:t>
                            </w:r>
                          </w:p>
                        </w:tc>
                      </w:tr>
                      <w:tr>
                        <w:trPr/>
                        <w:tc>
                          <w:tcPr>
                            <w:tcW w:w="3060" w:type="dxa"/>
                            <w:tcBorders/>
                          </w:tcPr>
                          <w:p>
                            <w:pPr>
                              <w:pStyle w:val="Plain"/>
                              <w:spacing w:before="240" w:after="0"/>
                              <w:jc w:val="center"/>
                              <w:rPr>
                                <w:b/>
                                <w:bCs/>
                                <w:smallCaps/>
                                <w:sz w:val="18"/>
                                <w:szCs w:val="18"/>
                              </w:rPr>
                            </w:pPr>
                            <w:r>
                              <w:rPr>
                                <w:rFonts w:eastAsia="Arial" w:cs="Arial" w:ascii="Arial" w:hAnsi="Arial"/>
                                <w:b/>
                                <w:bCs/>
                                <w:spacing w:val="60"/>
                                <w:sz w:val="34"/>
                                <w:szCs w:val="34"/>
                              </w:rPr>
                              <w:t>DRAFT</w:t>
                            </w:r>
                            <w:r>
                              <w:rPr>
                                <w:rFonts w:eastAsia="Arial" w:cs="Arial" w:ascii="Arial" w:hAnsi="Arial"/>
                                <w:b/>
                                <w:bCs/>
                                <w:sz w:val="34"/>
                                <w:szCs w:val="34"/>
                              </w:rPr>
                              <w:t xml:space="preserve">  </w:t>
                            </w:r>
                            <w:r>
                              <w:rPr>
                                <w:rFonts w:eastAsia="Arial" w:cs="Arial" w:ascii="Arial" w:hAnsi="Arial"/>
                                <w:b/>
                                <w:bCs/>
                                <w:sz w:val="34"/>
                                <w:szCs w:val="34"/>
                              </w:rPr>
                              <w:fldChar w:fldCharType="begin"/>
                            </w:r>
                            <w:r>
                              <w:rPr>
                                <w:sz w:val="34"/>
                                <w:b/>
                                <w:szCs w:val="34"/>
                                <w:bCs/>
                                <w:rFonts w:eastAsia="Arial" w:cs="Arial" w:ascii="Arial" w:hAnsi="Arial"/>
                              </w:rPr>
                              <w:instrText xml:space="preserve"> DATE \@"M/d/yyyy" </w:instrText>
                            </w:r>
                            <w:r>
                              <w:rPr>
                                <w:sz w:val="34"/>
                                <w:b/>
                                <w:szCs w:val="34"/>
                                <w:bCs/>
                                <w:rFonts w:eastAsia="Arial" w:cs="Arial" w:ascii="Arial" w:hAnsi="Arial"/>
                              </w:rPr>
                              <w:fldChar w:fldCharType="separate"/>
                            </w:r>
                            <w:r>
                              <w:rPr>
                                <w:sz w:val="34"/>
                                <w:b/>
                                <w:szCs w:val="34"/>
                                <w:bCs/>
                                <w:rFonts w:eastAsia="Arial" w:cs="Arial" w:ascii="Arial" w:hAnsi="Arial"/>
                              </w:rPr>
                              <w:t>9/28/2025</w:t>
                            </w:r>
                            <w:r>
                              <w:rPr>
                                <w:sz w:val="34"/>
                                <w:b/>
                                <w:szCs w:val="34"/>
                                <w:bCs/>
                                <w:rFonts w:eastAsia="Arial" w:cs="Arial" w:ascii="Arial" w:hAnsi="Arial"/>
                              </w:rPr>
                              <w:fldChar w:fldCharType="end"/>
                            </w:r>
                            <w:bookmarkStart w:id="1" w:name="zDraftStamp2"/>
                            <w:bookmarkEnd w:id="1"/>
                          </w:p>
                        </w:tc>
                      </w:tr>
                    </w:tbl>
                  </w:txbxContent>
                </v:textbox>
                <w10:wrap type="topAndBottom"/>
              </v:rect>
            </w:pict>
          </mc:Fallback>
        </mc:AlternateContent>
      </w:r>
    </w:p>
    <w:p>
      <w:pPr>
        <w:pStyle w:val="zDeliver"/>
        <w:rPr/>
      </w:pPr>
      <w:r>
        <w:rPr/>
        <w:t>Privileged and Confidential:</w:t>
        <w:br/>
        <w:t>Attorney/Client Communication</w:t>
        <w:br/>
        <w:br/>
        <w:t>VIA FACSIMILE</w:t>
      </w:r>
    </w:p>
    <w:tbl>
      <w:tblPr>
        <w:tblW w:w="9360" w:type="dxa"/>
        <w:jc w:val="start"/>
        <w:tblInd w:w="0" w:type="dxa"/>
        <w:tblLayout w:type="fixed"/>
        <w:tblCellMar>
          <w:top w:w="0" w:type="dxa"/>
          <w:start w:w="108" w:type="dxa"/>
          <w:bottom w:w="0" w:type="dxa"/>
          <w:end w:w="108" w:type="dxa"/>
        </w:tblCellMar>
      </w:tblPr>
      <w:tblGrid>
        <w:gridCol w:w="1440"/>
        <w:gridCol w:w="3960"/>
        <w:gridCol w:w="3960"/>
      </w:tblGrid>
      <w:tr>
        <w:trPr/>
        <w:tc>
          <w:tcPr>
            <w:tcW w:w="1440" w:type="dxa"/>
            <w:tcBorders/>
          </w:tcPr>
          <w:p>
            <w:pPr>
              <w:pStyle w:val="Normal"/>
              <w:spacing w:before="240" w:after="0"/>
              <w:rPr>
                <w:b/>
                <w:bCs/>
              </w:rPr>
            </w:pPr>
            <w:bookmarkStart w:id="2" w:name="zBody"/>
            <w:bookmarkEnd w:id="2"/>
            <w:r>
              <w:rPr>
                <w:b/>
                <w:bCs/>
              </w:rPr>
              <w:t>Date</w:t>
            </w:r>
            <w:bookmarkStart w:id="3" w:name="zAutoNum"/>
            <w:bookmarkEnd w:id="3"/>
            <w:r>
              <w:rPr>
                <w:b/>
                <w:bCs/>
              </w:rPr>
              <w:t>:</w:t>
            </w:r>
          </w:p>
        </w:tc>
        <w:tc>
          <w:tcPr>
            <w:tcW w:w="3960" w:type="dxa"/>
            <w:tcBorders/>
          </w:tcPr>
          <w:p>
            <w:pPr>
              <w:pStyle w:val="zDate"/>
              <w:spacing w:before="240" w:after="0"/>
              <w:rPr/>
            </w:pPr>
            <w:r>
              <w:rPr/>
              <w:t>June 29, 2000</w:t>
            </w:r>
          </w:p>
        </w:tc>
        <w:tc>
          <w:tcPr>
            <w:tcW w:w="3960" w:type="dxa"/>
            <w:tcBorders/>
          </w:tcPr>
          <w:p>
            <w:pPr>
              <w:pStyle w:val="Plain"/>
              <w:spacing w:before="240" w:after="0"/>
              <w:jc w:val="end"/>
              <w:rPr>
                <w:sz w:val="20"/>
                <w:szCs w:val="20"/>
              </w:rPr>
            </w:pPr>
            <w:bookmarkStart w:id="4" w:name="zDirectDial"/>
            <w:bookmarkEnd w:id="4"/>
            <w:r>
              <w:rPr>
                <w:sz w:val="20"/>
                <w:szCs w:val="20"/>
              </w:rPr>
              <w:t>Direct: (415) 393-2000</w:t>
              <w:br/>
              <w:t>rmastroianni@mdbe.com</w:t>
            </w:r>
          </w:p>
        </w:tc>
      </w:tr>
      <w:tr>
        <w:trPr/>
        <w:tc>
          <w:tcPr>
            <w:tcW w:w="1440" w:type="dxa"/>
            <w:tcBorders/>
          </w:tcPr>
          <w:p>
            <w:pPr>
              <w:pStyle w:val="Normal"/>
              <w:spacing w:before="240" w:after="0"/>
              <w:rPr>
                <w:b/>
                <w:bCs/>
              </w:rPr>
            </w:pPr>
            <w:r>
              <w:rPr>
                <w:b/>
                <w:bCs/>
              </w:rPr>
              <w:t>To:</w:t>
            </w:r>
          </w:p>
        </w:tc>
        <w:tc>
          <w:tcPr>
            <w:tcW w:w="7920" w:type="dxa"/>
            <w:gridSpan w:val="2"/>
            <w:tcBorders/>
          </w:tcPr>
          <w:p>
            <w:pPr>
              <w:pStyle w:val="zName"/>
              <w:spacing w:before="240" w:after="0"/>
              <w:rPr/>
            </w:pPr>
            <w:bookmarkStart w:id="5" w:name="StartClumpHere"/>
            <w:bookmarkStart w:id="6" w:name="zAddressee"/>
            <w:bookmarkStart w:id="7" w:name="zLOOKUP"/>
            <w:bookmarkEnd w:id="5"/>
            <w:bookmarkEnd w:id="6"/>
            <w:bookmarkEnd w:id="7"/>
            <w:r>
              <w:rPr/>
              <w:t>Barton Clark, Enron North America</w:t>
            </w:r>
          </w:p>
          <w:p>
            <w:pPr>
              <w:pStyle w:val="zAddress"/>
              <w:rPr/>
            </w:pPr>
            <w:r>
              <w:rPr/>
            </w:r>
          </w:p>
        </w:tc>
      </w:tr>
      <w:tr>
        <w:trPr/>
        <w:tc>
          <w:tcPr>
            <w:tcW w:w="1440" w:type="dxa"/>
            <w:tcBorders/>
          </w:tcPr>
          <w:p>
            <w:pPr>
              <w:pStyle w:val="Normal"/>
              <w:spacing w:before="240" w:after="0"/>
              <w:rPr>
                <w:b/>
                <w:bCs/>
              </w:rPr>
            </w:pPr>
            <w:r>
              <w:rPr>
                <w:b/>
                <w:bCs/>
              </w:rPr>
              <w:t>From:</w:t>
            </w:r>
          </w:p>
        </w:tc>
        <w:tc>
          <w:tcPr>
            <w:tcW w:w="7920" w:type="dxa"/>
            <w:gridSpan w:val="2"/>
            <w:tcBorders/>
          </w:tcPr>
          <w:p>
            <w:pPr>
              <w:pStyle w:val="Plain"/>
              <w:spacing w:before="240" w:after="0"/>
              <w:rPr/>
            </w:pPr>
            <w:bookmarkStart w:id="8" w:name="zTitle"/>
            <w:bookmarkStart w:id="9" w:name="zA_CorrespondName"/>
            <w:bookmarkEnd w:id="8"/>
            <w:bookmarkEnd w:id="9"/>
            <w:r>
              <w:rPr/>
              <w:t>Ron Mastroianni</w:t>
            </w:r>
          </w:p>
        </w:tc>
      </w:tr>
      <w:tr>
        <w:trPr/>
        <w:tc>
          <w:tcPr>
            <w:tcW w:w="1440" w:type="dxa"/>
            <w:tcBorders/>
          </w:tcPr>
          <w:p>
            <w:pPr>
              <w:pStyle w:val="Normal"/>
              <w:spacing w:before="240" w:after="240"/>
              <w:rPr>
                <w:b/>
                <w:bCs/>
              </w:rPr>
            </w:pPr>
            <w:r>
              <w:rPr>
                <w:b/>
                <w:bCs/>
              </w:rPr>
              <w:t>Re:</w:t>
            </w:r>
          </w:p>
        </w:tc>
        <w:tc>
          <w:tcPr>
            <w:tcW w:w="7920" w:type="dxa"/>
            <w:gridSpan w:val="2"/>
            <w:tcBorders/>
          </w:tcPr>
          <w:p>
            <w:pPr>
              <w:pStyle w:val="Plain"/>
              <w:spacing w:before="240" w:after="0"/>
              <w:rPr/>
            </w:pPr>
            <w:bookmarkStart w:id="10" w:name="zSubject"/>
            <w:bookmarkEnd w:id="10"/>
            <w:r>
              <w:rPr/>
              <w:t>Enron/NOxTech: Review of Bankruptcy Code Section 365(n)</w:t>
            </w:r>
          </w:p>
        </w:tc>
      </w:tr>
    </w:tbl>
    <w:p>
      <w:pPr>
        <w:pStyle w:val="bodytext1"/>
        <w:rPr>
          <w:b/>
          <w:bCs/>
        </w:rPr>
      </w:pPr>
      <w:bookmarkStart w:id="11" w:name="zZ_Start"/>
      <w:bookmarkEnd w:id="11"/>
      <w:r>
        <w:rPr>
          <w:b/>
          <w:bCs/>
        </w:rPr>
        <w:t>I.</w:t>
        <w:tab/>
        <w:t>Facts</w:t>
      </w:r>
    </w:p>
    <w:p>
      <w:pPr>
        <w:pStyle w:val="bodytext1"/>
        <w:rPr/>
      </w:pPr>
      <w:r>
        <w:rPr/>
        <w:t>NOxTech licenses a patent to Enron concerning a method for burning fuel resulting in less pollution than conventional methods.</w:t>
      </w:r>
    </w:p>
    <w:p>
      <w:pPr>
        <w:pStyle w:val="bodytext1"/>
        <w:rPr>
          <w:b/>
          <w:bCs/>
        </w:rPr>
      </w:pPr>
      <w:r>
        <w:rPr>
          <w:b/>
          <w:bCs/>
        </w:rPr>
        <w:t>II.</w:t>
        <w:tab/>
        <w:t>Question Presented</w:t>
      </w:r>
    </w:p>
    <w:p>
      <w:pPr>
        <w:pStyle w:val="bodytext1"/>
        <w:rPr/>
      </w:pPr>
      <w:r>
        <w:rPr/>
        <w:t>What would happen to the license if NOxTech filed for bankruptcy?</w:t>
      </w:r>
    </w:p>
    <w:p>
      <w:pPr>
        <w:pStyle w:val="bodytext1"/>
        <w:rPr>
          <w:b/>
          <w:bCs/>
        </w:rPr>
      </w:pPr>
      <w:r>
        <w:rPr>
          <w:b/>
          <w:bCs/>
        </w:rPr>
        <w:t>III.</w:t>
        <w:tab/>
        <w:t>Section 365</w:t>
      </w:r>
    </w:p>
    <w:p>
      <w:pPr>
        <w:pStyle w:val="bodytext1"/>
        <w:rPr/>
      </w:pPr>
      <w:r>
        <w:rPr/>
        <w:t>Section 365 of the Bankruptcy Code allows a debtor to assume or reject an executory contract, such as a patent license.  Depending on whether the debtor assumes or rejects the license, § 365 provides for certain rights and obligations to a licensee from a debtor of a right to intellectual property.</w:t>
      </w:r>
    </w:p>
    <w:p>
      <w:pPr>
        <w:pStyle w:val="bodytext1"/>
        <w:rPr>
          <w:b/>
          <w:bCs/>
        </w:rPr>
      </w:pPr>
      <w:r>
        <w:rPr>
          <w:b/>
          <w:bCs/>
        </w:rPr>
        <w:tab/>
        <w:t>A.  Prior to NOxTech Rejecting the License</w:t>
      </w:r>
    </w:p>
    <w:p>
      <w:pPr>
        <w:pStyle w:val="bodytext1"/>
        <w:rPr/>
      </w:pPr>
      <w:r>
        <w:rPr/>
        <w:t xml:space="preserve">If NOxTech were to file for bankruptcy, unless and until it rejects the license it must, on Enron’s written request, </w:t>
      </w:r>
      <w:r>
        <w:rPr>
          <w:color w:val="000000"/>
        </w:rPr>
        <w:t>(1) perform under the license; (2) provide Enron with the intellectual property included under the license; and (3) not interfere with Enron’s rights under the license.  § 365(n)(4).</w:t>
      </w:r>
    </w:p>
    <w:p>
      <w:pPr>
        <w:pStyle w:val="bodytext1"/>
        <w:rPr>
          <w:b/>
          <w:bCs/>
        </w:rPr>
      </w:pPr>
      <w:r>
        <w:rPr>
          <w:b/>
          <w:bCs/>
        </w:rPr>
        <w:tab/>
      </w:r>
      <w:r>
        <w:br w:type="page"/>
      </w:r>
    </w:p>
    <w:p>
      <w:pPr>
        <w:pStyle w:val="bodytext1"/>
        <w:rPr>
          <w:b/>
          <w:bCs/>
        </w:rPr>
      </w:pPr>
      <w:r>
        <w:rPr>
          <w:b/>
          <w:bCs/>
        </w:rPr>
        <w:tab/>
        <w:tab/>
        <w:tab/>
        <w:t>B.  NOxTech Rejects The License</w:t>
      </w:r>
    </w:p>
    <w:p>
      <w:pPr>
        <w:pStyle w:val="bodytext1"/>
        <w:rPr/>
      </w:pPr>
      <w:r>
        <w:rPr/>
        <w:t>If NOxTech rejected the license, Enron, as the licensee, would have two options:  (1) treat the license as terminated by reason of the rejection, and pursue damages for breach of contract; or (2) elect to retain its rights to the intellectual property for the duration of the license and for any period for which the license might be extended by Enron.  § 365(n)(1)(A)-(B).</w:t>
      </w:r>
    </w:p>
    <w:p>
      <w:pPr>
        <w:pStyle w:val="bodytext1"/>
        <w:rPr/>
      </w:pPr>
      <w:r>
        <w:rPr/>
        <w:t xml:space="preserve">If </w:t>
      </w:r>
      <w:r>
        <w:rPr>
          <w:color w:val="000000"/>
        </w:rPr>
        <w:t xml:space="preserve">Enron elected to retain its rights, there are five main consequences.  First, Enron could enforce any exclusivity provision of the license.  It would, however, lose any right it otherwise may have to compel specific performance by NOxTech under the license.  As such, NOxTech could not be compelled to make Bruce Sudduth available to Enron.  § 365(n)(1)(B).  </w:t>
      </w:r>
    </w:p>
    <w:p>
      <w:pPr>
        <w:pStyle w:val="bodytext1"/>
        <w:rPr/>
      </w:pPr>
      <w:r>
        <w:rPr>
          <w:color w:val="000000"/>
        </w:rPr>
        <w:t xml:space="preserve">Second, Enron would be obligated to make all royalty payments due under the license.  Even if NOxTech owes Enron money under the license, or otherwise, Enron would still need to pay any royalties.  Third, it also would be deemed to waive any right of setoff it may have.  § 365(n)(2).  Under 9th Circuit law, whether the payments from Enron for the licensed intellectual property are termed license payments, license fees, or something similar, they would be considered royalties under § 365(n) and would need to be paid.  </w:t>
      </w:r>
      <w:r>
        <w:rPr>
          <w:i/>
          <w:iCs/>
          <w:color w:val="000000"/>
        </w:rPr>
        <w:t>See, Encino Business Management, Inc. v. Prize Frize, Inc. (In re Prize Frize, Inc.),</w:t>
      </w:r>
      <w:r>
        <w:rPr>
          <w:color w:val="000000"/>
        </w:rPr>
        <w:t xml:space="preserve"> 32 F.3d 426, 428-29 (9th Cir. 1994).</w:t>
      </w:r>
    </w:p>
    <w:p>
      <w:pPr>
        <w:pStyle w:val="bodytext1"/>
        <w:rPr>
          <w:color w:val="000000"/>
        </w:rPr>
      </w:pPr>
      <w:r>
        <w:rPr>
          <w:color w:val="000000"/>
        </w:rPr>
        <w:t xml:space="preserve">Fourth, Enron would also be deemed to have waived any administrative claim it might have against NOxTech with respect to the license.  § 365(n)(2).  Generally, an administrative claim is one for goods or services which benefit NOxTech during the pendency of its bankruptcy case.  11 U.S.C § 503(b).  Administrative claims are accorded a high priority for payment. </w:t>
      </w:r>
    </w:p>
    <w:p>
      <w:pPr>
        <w:pStyle w:val="bodytext1"/>
        <w:rPr>
          <w:color w:val="000000"/>
        </w:rPr>
      </w:pPr>
      <w:r>
        <w:rPr>
          <w:color w:val="000000"/>
        </w:rPr>
        <w:t>Fifth, upon written request from Enron, and in accordance with the license, NOxTech would be obligated to provide Enron with any intellectual property included under the license (including, for example a prototype, or source code).  Furthermore, NOxTech would be prohibited from interfering with Enron’s rights under the license.  § 365(n)(3).</w:t>
      </w:r>
    </w:p>
    <w:p>
      <w:pPr>
        <w:pStyle w:val="bodytext1"/>
        <w:rPr>
          <w:color w:val="000000"/>
        </w:rPr>
      </w:pPr>
      <w:r>
        <w:rPr>
          <w:b/>
          <w:bCs/>
          <w:color w:val="000000"/>
        </w:rPr>
        <w:t>C.  NOxTech Assumes The License</w:t>
      </w:r>
    </w:p>
    <w:p>
      <w:pPr>
        <w:pStyle w:val="bodytext1"/>
        <w:rPr>
          <w:color w:val="000000"/>
        </w:rPr>
      </w:pPr>
      <w:r>
        <w:rPr>
          <w:color w:val="000000"/>
        </w:rPr>
        <w:t xml:space="preserve">If NOxTech assumed the license, it would need to cure existing defaults and provide adequate assurance of future performance.  The parties’ rights and obligations under the license would continue, unaffected by the bankruptcy.  § 365(b)(1).   </w:t>
      </w:r>
    </w:p>
    <w:p>
      <w:pPr>
        <w:pStyle w:val="bodytext1"/>
        <w:rPr>
          <w:b/>
          <w:bCs/>
        </w:rPr>
      </w:pPr>
      <w:r>
        <w:rPr>
          <w:b/>
          <w:bCs/>
        </w:rPr>
        <w:t>IV.</w:t>
        <w:tab/>
        <w:t>Conclusion</w:t>
      </w:r>
    </w:p>
    <w:p>
      <w:pPr>
        <w:pStyle w:val="bodytext1"/>
        <w:rPr/>
      </w:pPr>
      <w:r>
        <w:rPr/>
        <w:t>If NOxTech filed for bankruptcy, it would need to perform under the license, provide Enron with the licensed intellectual property, and not interfere with Enron’s rights under the license, until any rejection of the license.  If NOxTech assumed the license, it must cure any defaults and provide adequate assurance of its future performance.</w:t>
      </w:r>
    </w:p>
    <w:p>
      <w:pPr>
        <w:pStyle w:val="bodytext1"/>
        <w:rPr/>
      </w:pPr>
      <w:r>
        <w:rPr/>
        <w:t xml:space="preserve">If NOxTech rejected the license, the Bankruptcy Code allows Enron to retain its rights under the license, but it must continue to pay all royalties.  NOxTech is required to provide Enron with the agreed intellectual property, and may not interfere with Enron’s rights under the license.  Certain of NOxTech’s obligations would be forgiven and any setoff or administrative claims of Enron would be waived.  </w:t>
      </w:r>
    </w:p>
    <w:sectPr>
      <w:headerReference w:type="default" r:id="rId2"/>
      <w:headerReference w:type="first" r:id="rId3"/>
      <w:footerReference w:type="default" r:id="rId4"/>
      <w:footerReference w:type="first" r:id="rId5"/>
      <w:type w:val="nextPage"/>
      <w:pgSz w:w="12240" w:h="15840"/>
      <w:pgMar w:left="1440" w:right="1440" w:gutter="0" w:header="360" w:top="2160" w:footer="360" w:bottom="20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Univers Condensed">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
      <w:jc w:val="center"/>
      <w:rPr>
        <w:rFonts w:ascii="Arial" w:hAnsi="Arial" w:eastAsia="Arial" w:cs="Arial"/>
      </w:rPr>
    </w:pPr>
    <w:r>
      <w:rPr>
        <w:rFonts w:eastAsia="Arial" w:cs="Arial" w:ascii="Arial" w:hAnsi="Arial"/>
      </w:rPr>
    </w:r>
  </w:p>
  <w:p>
    <w:pPr>
      <w:pStyle w:val="Footer"/>
      <w:rPr/>
    </w:pPr>
    <w:r>
      <w:rPr/>
      <w:fldChar w:fldCharType="begin"/>
    </w:r>
    <w:r>
      <w:rPr/>
      <w:instrText xml:space="preserve"> FILENAME </w:instrText>
    </w:r>
    <w:r>
      <w:rPr/>
      <w:fldChar w:fldCharType="separate"/>
    </w:r>
    <w:r>
      <w:rPr/>
      <w:t>21255682.DOC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FirstFooter"/>
      <w:ind w:start="-547" w:end="-547"/>
      <w:rPr/>
    </w:pPr>
    <w:r>
      <w:rPr>
        <w:lang w:val="en-CA"/>
      </w:rPr>
      <w:fldChar w:fldCharType="begin"/>
    </w:r>
    <w:r>
      <w:rPr>
        <w:lang w:val="en-CA"/>
      </w:rPr>
      <w:instrText xml:space="preserve"> FILENAME </w:instrText>
    </w:r>
    <w:r>
      <w:rPr>
        <w:lang w:val="en-CA"/>
      </w:rPr>
      <w:fldChar w:fldCharType="separate"/>
    </w:r>
    <w:r>
      <w:rPr>
        <w:lang w:val="en-CA"/>
      </w:rPr>
      <w:t>21255682.DOC</w:t>
    </w:r>
    <w:r>
      <w:rPr>
        <w:lang w:val="en-CA"/>
      </w:rPr>
      <w:fldChar w:fldCharType="end"/>
    </w:r>
    <w:r>
      <w:rPr>
        <w:lang w:val="en-CA"/>
      </w:rPr>
      <w:t>/</w:t>
    </w:r>
    <w:r>
      <w:rPr>
        <w:lang w:val="en-CA"/>
      </w:rPr>
      <w:fldChar w:fldCharType="begin"/>
    </w:r>
    <w:r>
      <w:rPr>
        <w:lang w:val="en-CA"/>
      </w:rPr>
      <w:instrText xml:space="preserve"> KEYWORDS </w:instrText>
    </w:r>
    <w:r>
      <w:rPr>
        <w:lang w:val="en-CA"/>
      </w:rPr>
      <w:fldChar w:fldCharType="separate"/>
    </w:r>
    <w:r>
      <w:rPr>
        <w:lang w:val="en-CA"/>
      </w:rPr>
      <w:t>20578-0040</w:t>
    </w:r>
    <w:r>
      <w:rPr>
        <w:lang w:val="en-CA"/>
      </w:rPr>
      <w:fldChar w:fldCharType="end"/>
    </w:r>
    <w:r>
      <w:rPr>
        <w:lang w:val="en-CA"/>
      </w:rPr>
      <w:tab/>
    </w:r>
    <w:r>
      <w:rPr>
        <w:lang w:val="en-CA"/>
      </w:rPr>
      <w:fldChar w:fldCharType="begin"/>
    </w:r>
    <w:r>
      <w:rPr>
        <w:lang w:val="en-CA"/>
      </w:rPr>
      <w:instrText xml:space="preserve"> DATE \@"MM\/dd\/yy" </w:instrText>
    </w:r>
    <w:r>
      <w:rPr>
        <w:lang w:val="en-CA"/>
      </w:rPr>
      <w:fldChar w:fldCharType="separate"/>
    </w:r>
    <w:r>
      <w:rPr>
        <w:lang w:val="en-CA"/>
      </w:rPr>
      <w:t>09/28/25</w:t>
    </w:r>
    <w:r>
      <w:rPr>
        <w:lang w:val="en-CA"/>
      </w:rPr>
      <w:fldChar w:fldCharType="end"/>
    </w:r>
    <w:r>
      <w:rPr>
        <w:lang w:val="en-CA"/>
      </w:rPr>
      <w:t xml:space="preserve">  </w:t>
    </w:r>
    <w:r>
      <w:rPr>
        <w:lang w:val="en-CA"/>
      </w:rPr>
      <w:fldChar w:fldCharType="begin"/>
    </w:r>
    <w:r>
      <w:rPr>
        <w:lang w:val="en-CA"/>
      </w:rPr>
      <w:instrText xml:space="preserve"> TIME \@"HH:mm\ AM/PM" </w:instrText>
    </w:r>
    <w:r>
      <w:rPr>
        <w:lang w:val="en-CA"/>
      </w:rPr>
      <w:fldChar w:fldCharType="separate"/>
    </w:r>
    <w:r>
      <w:rPr>
        <w:lang w:val="en-CA"/>
      </w:rPr>
      <w:t>07:50 AM</w:t>
    </w:r>
    <w:r>
      <w:rPr>
        <w:lang w:val="en-CA"/>
      </w:rPr>
      <w:fldChar w:fldCharType="end"/>
    </w:r>
    <w:r>
      <mc:AlternateContent>
        <mc:Choice Requires="wps">
          <w:drawing>
            <wp:anchor behindDoc="0" distT="0" distB="0" distL="0" distR="0" simplePos="0" locked="0" layoutInCell="0" allowOverlap="1" relativeHeight="3">
              <wp:simplePos x="0" y="0"/>
              <wp:positionH relativeFrom="page">
                <wp:posOffset>366395</wp:posOffset>
              </wp:positionH>
              <wp:positionV relativeFrom="page">
                <wp:posOffset>8961755</wp:posOffset>
              </wp:positionV>
              <wp:extent cx="7178040" cy="657225"/>
              <wp:effectExtent l="0" t="0" r="0" b="0"/>
              <wp:wrapTopAndBottom/>
              <wp:docPr id="3" name="Frame2"/>
              <a:graphic xmlns:a="http://schemas.openxmlformats.org/drawingml/2006/main">
                <a:graphicData uri="http://schemas.microsoft.com/office/word/2010/wordprocessingShape">
                  <wps:wsp>
                    <wps:cNvSpPr txBox="1"/>
                    <wps:spPr>
                      <a:xfrm>
                        <a:off x="0" y="0"/>
                        <a:ext cx="7178040" cy="657225"/>
                      </a:xfrm>
                      <a:prstGeom prst="rect"/>
                      <a:solidFill>
                        <a:srgbClr val="FFFFFF">
                          <a:alpha val="0"/>
                        </a:srgbClr>
                      </a:solidFill>
                    </wps:spPr>
                    <wps:txbx>
                      <w:txbxContent>
                        <w:tbl>
                          <w:tblPr>
                            <w:tblW w:w="5000" w:type="pct"/>
                            <w:jc w:val="start"/>
                            <w:tblInd w:w="0" w:type="dxa"/>
                            <w:tblLayout w:type="fixed"/>
                            <w:tblCellMar>
                              <w:top w:w="0" w:type="dxa"/>
                              <w:start w:w="0" w:type="dxa"/>
                              <w:bottom w:w="0" w:type="dxa"/>
                              <w:end w:w="0" w:type="dxa"/>
                            </w:tblCellMar>
                          </w:tblPr>
                          <w:tblGrid>
                            <w:gridCol w:w="4050"/>
                            <w:gridCol w:w="3870"/>
                            <w:gridCol w:w="1620"/>
                            <w:gridCol w:w="1764"/>
                          </w:tblGrid>
                          <w:tr>
                            <w:trPr/>
                            <w:tc>
                              <w:tcPr>
                                <w:tcW w:w="4050" w:type="dxa"/>
                                <w:tcBorders/>
                              </w:tcPr>
                              <w:p>
                                <w:pPr>
                                  <w:pStyle w:val="Normal"/>
                                  <w:rPr>
                                    <w:b/>
                                    <w:bCs/>
                                    <w:smallCaps/>
                                    <w:spacing w:val="70"/>
                                    <w:sz w:val="26"/>
                                    <w:szCs w:val="26"/>
                                  </w:rPr>
                                </w:pPr>
                                <w:r>
                                  <w:rPr>
                                    <w:b/>
                                    <w:bCs/>
                                    <w:smallCaps/>
                                    <w:spacing w:val="70"/>
                                    <w:sz w:val="26"/>
                                    <w:szCs w:val="26"/>
                                  </w:rPr>
                                  <w:t>Attorneys  At  Law</w:t>
                                </w:r>
                              </w:p>
                            </w:tc>
                            <w:tc>
                              <w:tcPr>
                                <w:tcW w:w="3870" w:type="dxa"/>
                                <w:tcBorders/>
                              </w:tcPr>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Three Embarcadero Center</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San Francisco, California 94111-4067</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Tel. (415) 393-2000 Fax (415) 393-2286</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www.mccutchen.com</w:t>
                                </w:r>
                              </w:p>
                            </w:tc>
                            <w:tc>
                              <w:tcPr>
                                <w:tcW w:w="1620" w:type="dxa"/>
                                <w:tcBorders/>
                              </w:tcPr>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San Francisco</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Los Angeles</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8"/>
                                    <w:sz w:val="18"/>
                                    <w:szCs w:val="18"/>
                                  </w:rPr>
                                  <w:t>Walnut Creek</w:t>
                                </w:r>
                              </w:p>
                            </w:tc>
                            <w:tc>
                              <w:tcPr>
                                <w:tcW w:w="1764" w:type="dxa"/>
                                <w:tcBorders/>
                              </w:tcPr>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Palo Alto</w:t>
                                </w:r>
                              </w:p>
                              <w:p>
                                <w:pPr>
                                  <w:pStyle w:val="Normal"/>
                                  <w:rPr>
                                    <w:rFonts w:ascii="Univers Condensed" w:hAnsi="Univers Condensed" w:eastAsia="Univers Condensed" w:cs="Univers Condensed"/>
                                    <w:spacing w:val="28"/>
                                    <w:sz w:val="18"/>
                                    <w:szCs w:val="18"/>
                                  </w:rPr>
                                </w:pPr>
                                <w:r>
                                  <w:rPr>
                                    <w:rFonts w:eastAsia="Univers Condensed" w:cs="Univers Condensed" w:ascii="Univers Condensed" w:hAnsi="Univers Condensed"/>
                                    <w:spacing w:val="28"/>
                                    <w:sz w:val="18"/>
                                    <w:szCs w:val="18"/>
                                  </w:rPr>
                                  <w:t>Taipei</w:t>
                                </w:r>
                              </w:p>
                            </w:tc>
                          </w:tr>
                        </w:tbl>
                      </w:txbxContent>
                    </wps:txbx>
                    <wps:bodyPr anchor="t" lIns="0" tIns="0" rIns="0" bIns="0">
                      <a:noAutofit/>
                    </wps:bodyPr>
                  </wps:wsp>
                </a:graphicData>
              </a:graphic>
            </wp:anchor>
          </w:drawing>
        </mc:Choice>
        <mc:Fallback>
          <w:pict>
            <v:rect fillcolor="#FFFFFF" style="position:absolute;rotation:-0;width:565.2pt;height:51.75pt;mso-wrap-distance-left:0pt;mso-wrap-distance-right:0pt;mso-wrap-distance-top:0pt;mso-wrap-distance-bottom:0pt;margin-top:705.65pt;mso-position-vertical-relative:page;margin-left:28.85pt;mso-position-horizontal-relative:page">
              <v:fill opacity="0f"/>
              <v:textbox inset="0in,0in,0in,0in">
                <w:txbxContent>
                  <w:tbl>
                    <w:tblPr>
                      <w:tblW w:w="5000" w:type="pct"/>
                      <w:jc w:val="start"/>
                      <w:tblInd w:w="0" w:type="dxa"/>
                      <w:tblLayout w:type="fixed"/>
                      <w:tblCellMar>
                        <w:top w:w="0" w:type="dxa"/>
                        <w:start w:w="0" w:type="dxa"/>
                        <w:bottom w:w="0" w:type="dxa"/>
                        <w:end w:w="0" w:type="dxa"/>
                      </w:tblCellMar>
                    </w:tblPr>
                    <w:tblGrid>
                      <w:gridCol w:w="4050"/>
                      <w:gridCol w:w="3870"/>
                      <w:gridCol w:w="1620"/>
                      <w:gridCol w:w="1764"/>
                    </w:tblGrid>
                    <w:tr>
                      <w:trPr/>
                      <w:tc>
                        <w:tcPr>
                          <w:tcW w:w="4050" w:type="dxa"/>
                          <w:tcBorders/>
                        </w:tcPr>
                        <w:p>
                          <w:pPr>
                            <w:pStyle w:val="Normal"/>
                            <w:rPr>
                              <w:b/>
                              <w:bCs/>
                              <w:smallCaps/>
                              <w:spacing w:val="70"/>
                              <w:sz w:val="26"/>
                              <w:szCs w:val="26"/>
                            </w:rPr>
                          </w:pPr>
                          <w:r>
                            <w:rPr>
                              <w:b/>
                              <w:bCs/>
                              <w:smallCaps/>
                              <w:spacing w:val="70"/>
                              <w:sz w:val="26"/>
                              <w:szCs w:val="26"/>
                            </w:rPr>
                            <w:t>Attorneys  At  Law</w:t>
                          </w:r>
                        </w:p>
                      </w:tc>
                      <w:tc>
                        <w:tcPr>
                          <w:tcW w:w="3870" w:type="dxa"/>
                          <w:tcBorders/>
                        </w:tcPr>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Three Embarcadero Center</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San Francisco, California 94111-4067</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Tel. (415) 393-2000 Fax (415) 393-2286</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www.mccutchen.com</w:t>
                          </w:r>
                        </w:p>
                      </w:tc>
                      <w:tc>
                        <w:tcPr>
                          <w:tcW w:w="1620" w:type="dxa"/>
                          <w:tcBorders/>
                        </w:tcPr>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San Francisco</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Los Angeles</w:t>
                          </w:r>
                        </w:p>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8"/>
                              <w:sz w:val="18"/>
                              <w:szCs w:val="18"/>
                            </w:rPr>
                            <w:t>Walnut Creek</w:t>
                          </w:r>
                        </w:p>
                      </w:tc>
                      <w:tc>
                        <w:tcPr>
                          <w:tcW w:w="1764" w:type="dxa"/>
                          <w:tcBorders/>
                        </w:tcPr>
                        <w:p>
                          <w:pPr>
                            <w:pStyle w:val="Normal"/>
                            <w:rPr>
                              <w:rFonts w:ascii="Univers Condensed" w:hAnsi="Univers Condensed" w:eastAsia="Univers Condensed" w:cs="Univers Condensed"/>
                              <w:spacing w:val="20"/>
                              <w:sz w:val="18"/>
                              <w:szCs w:val="18"/>
                            </w:rPr>
                          </w:pPr>
                          <w:r>
                            <w:rPr>
                              <w:rFonts w:eastAsia="Univers Condensed" w:cs="Univers Condensed" w:ascii="Univers Condensed" w:hAnsi="Univers Condensed"/>
                              <w:spacing w:val="20"/>
                              <w:sz w:val="18"/>
                              <w:szCs w:val="18"/>
                            </w:rPr>
                            <w:t>Palo Alto</w:t>
                          </w:r>
                        </w:p>
                        <w:p>
                          <w:pPr>
                            <w:pStyle w:val="Normal"/>
                            <w:rPr>
                              <w:rFonts w:ascii="Univers Condensed" w:hAnsi="Univers Condensed" w:eastAsia="Univers Condensed" w:cs="Univers Condensed"/>
                              <w:spacing w:val="28"/>
                              <w:sz w:val="18"/>
                              <w:szCs w:val="18"/>
                            </w:rPr>
                          </w:pPr>
                          <w:r>
                            <w:rPr>
                              <w:rFonts w:eastAsia="Univers Condensed" w:cs="Univers Condensed" w:ascii="Univers Condensed" w:hAnsi="Univers Condensed"/>
                              <w:spacing w:val="28"/>
                              <w:sz w:val="18"/>
                              <w:szCs w:val="18"/>
                            </w:rPr>
                            <w:t>Taipei</w:t>
                          </w:r>
                        </w:p>
                      </w:tc>
                    </w:tr>
                  </w:tbl>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0000FF"/>
      </w:rPr>
    </w:pPr>
    <w:r>
      <w:rPr>
        <w:color w:val="0000FF"/>
      </w:rPr>
      <w:t>Enron</w:t>
    </w:r>
  </w:p>
  <w:p>
    <w:pPr>
      <w:pStyle w:val="Header"/>
      <w:rPr>
        <w:color w:val="0000FF"/>
      </w:rPr>
    </w:pPr>
    <w:r>
      <w:rPr>
        <w:color w:val="0000FF"/>
      </w:rPr>
    </w:r>
  </w:p>
  <w:p>
    <w:pPr>
      <w:pStyle w:val="Header"/>
      <w:spacing w:before="0" w:after="480"/>
      <w:rPr/>
    </w:pPr>
    <w:r>
      <w:rPr/>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rPr/>
    </w:pPr>
    <w:r>
      <w:rPr/>
    </w:r>
    <w:r>
      <mc:AlternateContent>
        <mc:Choice Requires="wps">
          <w:drawing>
            <wp:anchor behindDoc="0" distT="0" distB="0" distL="118745" distR="118745" simplePos="0" locked="0" layoutInCell="0" allowOverlap="1" relativeHeight="4">
              <wp:simplePos x="0" y="0"/>
              <wp:positionH relativeFrom="page">
                <wp:posOffset>365125</wp:posOffset>
              </wp:positionH>
              <wp:positionV relativeFrom="page">
                <wp:posOffset>549275</wp:posOffset>
              </wp:positionV>
              <wp:extent cx="2377440" cy="624840"/>
              <wp:effectExtent l="0" t="0" r="0" b="0"/>
              <wp:wrapTopAndBottom/>
              <wp:docPr id="2" name="Frame3"/>
              <a:graphic xmlns:a="http://schemas.openxmlformats.org/drawingml/2006/main">
                <a:graphicData uri="http://schemas.microsoft.com/office/word/2010/wordprocessingShape">
                  <wps:wsp>
                    <wps:cNvSpPr txBox="1"/>
                    <wps:spPr>
                      <a:xfrm>
                        <a:off x="0" y="0"/>
                        <a:ext cx="2377440" cy="624840"/>
                      </a:xfrm>
                      <a:prstGeom prst="rect"/>
                      <a:solidFill>
                        <a:srgbClr val="FFFFFF">
                          <a:alpha val="0"/>
                        </a:srgbClr>
                      </a:solidFill>
                    </wps:spPr>
                    <wps:txbx>
                      <w:txbxContent>
                        <w:tbl>
                          <w:tblPr>
                            <w:tblW w:w="5000" w:type="pct"/>
                            <w:jc w:val="start"/>
                            <w:tblInd w:w="0" w:type="dxa"/>
                            <w:tblLayout w:type="fixed"/>
                            <w:tblCellMar>
                              <w:top w:w="0" w:type="dxa"/>
                              <w:start w:w="0" w:type="dxa"/>
                              <w:bottom w:w="0" w:type="dxa"/>
                              <w:end w:w="0" w:type="dxa"/>
                            </w:tblCellMar>
                          </w:tblPr>
                          <w:tblGrid>
                            <w:gridCol w:w="3744"/>
                          </w:tblGrid>
                          <w:tr>
                            <w:trPr>
                              <w:trHeight w:val="560" w:hRule="exact"/>
                            </w:trPr>
                            <w:tc>
                              <w:tcPr>
                                <w:tcW w:w="3744" w:type="dxa"/>
                                <w:tcBorders/>
                              </w:tcPr>
                              <w:p>
                                <w:pPr>
                                  <w:pStyle w:val="Plain"/>
                                  <w:shd w:fill="000000" w:val="clear"/>
                                  <w:spacing w:before="0" w:after="0"/>
                                  <w:jc w:val="center"/>
                                  <w:rPr>
                                    <w:b/>
                                    <w:bCs/>
                                    <w:spacing w:val="80"/>
                                    <w:kern w:val="2"/>
                                    <w:position w:val="6"/>
                                    <w:sz w:val="52"/>
                                    <w:szCs w:val="52"/>
                                  </w:rPr>
                                </w:pPr>
                                <w:r>
                                  <w:rPr>
                                    <w:smallCaps/>
                                    <w:position w:val="4"/>
                                    <w:sz w:val="20"/>
                                    <w:szCs w:val="20"/>
                                  </w:rPr>
                                  <w:t xml:space="preserve"> </w:t>
                                </w:r>
                                <w:r>
                                  <w:rPr>
                                    <w:smallCaps/>
                                    <w:spacing w:val="90"/>
                                    <w:position w:val="3"/>
                                    <w:sz w:val="54"/>
                                    <w:szCs w:val="54"/>
                                  </w:rPr>
                                  <w:t>McCutchen</w:t>
                                </w:r>
                              </w:p>
                            </w:tc>
                          </w:tr>
                          <w:tr>
                            <w:trPr/>
                            <w:tc>
                              <w:tcPr>
                                <w:tcW w:w="3744" w:type="dxa"/>
                                <w:tcBorders/>
                              </w:tcPr>
                              <w:p>
                                <w:pPr>
                                  <w:pStyle w:val="Plain"/>
                                  <w:spacing w:before="0" w:after="0"/>
                                  <w:jc w:val="center"/>
                                  <w:rPr>
                                    <w:b/>
                                    <w:bCs/>
                                    <w:smallCaps/>
                                    <w:sz w:val="18"/>
                                    <w:szCs w:val="18"/>
                                  </w:rPr>
                                </w:pPr>
                                <w:r>
                                  <w:rPr>
                                    <w:b/>
                                    <w:bCs/>
                                    <w:smallCaps/>
                                    <w:sz w:val="18"/>
                                    <w:szCs w:val="18"/>
                                  </w:rPr>
                                  <w:t>McCutchen,  Doyle,  Brown  &amp; Enersen,  llp</w:t>
                                </w:r>
                              </w:p>
                            </w:tc>
                          </w:tr>
                        </w:tbl>
                      </w:txbxContent>
                    </wps:txbx>
                    <wps:bodyPr anchor="t" lIns="0" tIns="0" rIns="0" bIns="0">
                      <a:noAutofit/>
                    </wps:bodyPr>
                  </wps:wsp>
                </a:graphicData>
              </a:graphic>
            </wp:anchor>
          </w:drawing>
        </mc:Choice>
        <mc:Fallback>
          <w:pict>
            <v:rect fillcolor="#FFFFFF" style="position:absolute;rotation:-0;width:187.2pt;height:49.2pt;mso-wrap-distance-left:9.35pt;mso-wrap-distance-right:9.35pt;mso-wrap-distance-top:0pt;mso-wrap-distance-bottom:0pt;margin-top:43.25pt;mso-position-vertical-relative:page;margin-left:28.75pt;mso-position-horizontal-relative:page">
              <v:fill opacity="0f"/>
              <v:textbox inset="0in,0in,0in,0in">
                <w:txbxContent>
                  <w:tbl>
                    <w:tblPr>
                      <w:tblW w:w="5000" w:type="pct"/>
                      <w:jc w:val="start"/>
                      <w:tblInd w:w="0" w:type="dxa"/>
                      <w:tblLayout w:type="fixed"/>
                      <w:tblCellMar>
                        <w:top w:w="0" w:type="dxa"/>
                        <w:start w:w="0" w:type="dxa"/>
                        <w:bottom w:w="0" w:type="dxa"/>
                        <w:end w:w="0" w:type="dxa"/>
                      </w:tblCellMar>
                    </w:tblPr>
                    <w:tblGrid>
                      <w:gridCol w:w="3744"/>
                    </w:tblGrid>
                    <w:tr>
                      <w:trPr>
                        <w:trHeight w:val="560" w:hRule="exact"/>
                      </w:trPr>
                      <w:tc>
                        <w:tcPr>
                          <w:tcW w:w="3744" w:type="dxa"/>
                          <w:tcBorders/>
                        </w:tcPr>
                        <w:p>
                          <w:pPr>
                            <w:pStyle w:val="Plain"/>
                            <w:shd w:fill="000000" w:val="clear"/>
                            <w:spacing w:before="0" w:after="0"/>
                            <w:jc w:val="center"/>
                            <w:rPr>
                              <w:b/>
                              <w:bCs/>
                              <w:spacing w:val="80"/>
                              <w:kern w:val="2"/>
                              <w:position w:val="6"/>
                              <w:sz w:val="52"/>
                              <w:szCs w:val="52"/>
                            </w:rPr>
                          </w:pPr>
                          <w:r>
                            <w:rPr>
                              <w:smallCaps/>
                              <w:position w:val="4"/>
                              <w:sz w:val="20"/>
                              <w:szCs w:val="20"/>
                            </w:rPr>
                            <w:t xml:space="preserve"> </w:t>
                          </w:r>
                          <w:r>
                            <w:rPr>
                              <w:smallCaps/>
                              <w:spacing w:val="90"/>
                              <w:position w:val="3"/>
                              <w:sz w:val="54"/>
                              <w:szCs w:val="54"/>
                            </w:rPr>
                            <w:t>McCutchen</w:t>
                          </w:r>
                        </w:p>
                      </w:tc>
                    </w:tr>
                    <w:tr>
                      <w:trPr/>
                      <w:tc>
                        <w:tcPr>
                          <w:tcW w:w="3744" w:type="dxa"/>
                          <w:tcBorders/>
                        </w:tcPr>
                        <w:p>
                          <w:pPr>
                            <w:pStyle w:val="Plain"/>
                            <w:spacing w:before="0" w:after="0"/>
                            <w:jc w:val="center"/>
                            <w:rPr>
                              <w:b/>
                              <w:bCs/>
                              <w:smallCaps/>
                              <w:sz w:val="18"/>
                              <w:szCs w:val="18"/>
                            </w:rPr>
                          </w:pPr>
                          <w:r>
                            <w:rPr>
                              <w:b/>
                              <w:bCs/>
                              <w:smallCaps/>
                              <w:sz w:val="18"/>
                              <w:szCs w:val="18"/>
                            </w:rPr>
                            <w:t>McCutchen,  Doyle,  Brown  &amp; Enersen,  llp</w:t>
                          </w:r>
                        </w:p>
                      </w:tc>
                    </w:tr>
                  </w:tbl>
                </w:txbxContent>
              </v:textbox>
              <w10:wrap type="topAndBottom"/>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next w:val="bodytext1"/>
    <w:qFormat/>
    <w:pPr>
      <w:keepNext w:val="true"/>
      <w:keepLines/>
      <w:widowControl/>
      <w:numPr>
        <w:ilvl w:val="0"/>
        <w:numId w:val="1"/>
      </w:numPr>
      <w:bidi w:val="0"/>
      <w:spacing w:before="240" w:after="0"/>
      <w:ind w:hanging="720" w:start="720" w:end="1440"/>
      <w:outlineLvl w:val="0"/>
    </w:pPr>
    <w:rPr>
      <w:rFonts w:ascii="Times New Roman" w:hAnsi="Times New Roman" w:eastAsia="Times New Roman" w:cs="Times New Roman"/>
      <w:caps/>
      <w:color w:val="000080"/>
      <w:sz w:val="24"/>
      <w:szCs w:val="24"/>
      <w:lang w:val="en-US" w:eastAsia="zh-CN" w:bidi="hi-IN"/>
    </w:rPr>
  </w:style>
  <w:style w:type="paragraph" w:styleId="Heading2">
    <w:name w:val="heading 2"/>
    <w:basedOn w:val="Heading1"/>
    <w:next w:val="bodytext1"/>
    <w:qFormat/>
    <w:pPr>
      <w:numPr>
        <w:ilvl w:val="1"/>
        <w:numId w:val="1"/>
      </w:numPr>
      <w:ind w:hanging="720" w:start="1440" w:end="1440"/>
      <w:outlineLvl w:val="1"/>
    </w:pPr>
    <w:rPr>
      <w:caps w:val="false"/>
      <w:smallCaps w:val="false"/>
      <w:color w:val="800080"/>
    </w:rPr>
  </w:style>
  <w:style w:type="paragraph" w:styleId="Heading3">
    <w:name w:val="heading 3"/>
    <w:basedOn w:val="Heading2"/>
    <w:next w:val="bodytext1"/>
    <w:qFormat/>
    <w:pPr>
      <w:numPr>
        <w:ilvl w:val="2"/>
        <w:numId w:val="1"/>
      </w:numPr>
      <w:ind w:hanging="720" w:start="2160" w:end="1440"/>
      <w:outlineLvl w:val="2"/>
    </w:pPr>
    <w:rPr>
      <w:color w:val="008000"/>
    </w:rPr>
  </w:style>
  <w:style w:type="paragraph" w:styleId="Heading4">
    <w:name w:val="heading 4"/>
    <w:basedOn w:val="Heading3"/>
    <w:next w:val="bodytext1"/>
    <w:qFormat/>
    <w:pPr>
      <w:numPr>
        <w:ilvl w:val="3"/>
        <w:numId w:val="1"/>
      </w:numPr>
      <w:ind w:hanging="720" w:start="2880" w:end="1440"/>
      <w:outlineLvl w:val="3"/>
    </w:pPr>
    <w:rPr>
      <w:color w:val="808080"/>
    </w:rPr>
  </w:style>
  <w:style w:type="paragraph" w:styleId="Heading5">
    <w:name w:val="heading 5"/>
    <w:basedOn w:val="Heading4"/>
    <w:next w:val="bodytext1"/>
    <w:qFormat/>
    <w:pPr>
      <w:numPr>
        <w:ilvl w:val="4"/>
        <w:numId w:val="1"/>
      </w:numPr>
      <w:ind w:hanging="720" w:start="3600" w:end="1440"/>
      <w:outlineLvl w:val="4"/>
    </w:pPr>
    <w:rPr>
      <w:color w:val="auto"/>
    </w:rPr>
  </w:style>
  <w:style w:type="paragraph" w:styleId="Heading6">
    <w:name w:val="heading 6"/>
    <w:basedOn w:val="Normal"/>
    <w:next w:val="NormalIndent"/>
    <w:qFormat/>
    <w:pPr>
      <w:numPr>
        <w:ilvl w:val="5"/>
        <w:numId w:val="1"/>
      </w:numPr>
      <w:spacing w:before="240" w:after="0"/>
      <w:ind w:hanging="720" w:start="4320" w:end="1440"/>
      <w:outlineLvl w:val="5"/>
    </w:pPr>
    <w:rPr/>
  </w:style>
  <w:style w:type="paragraph" w:styleId="Heading7">
    <w:name w:val="heading 7"/>
    <w:basedOn w:val="Normal"/>
    <w:next w:val="NormalIndent"/>
    <w:qFormat/>
    <w:pPr>
      <w:numPr>
        <w:ilvl w:val="6"/>
        <w:numId w:val="1"/>
      </w:numPr>
      <w:spacing w:before="240" w:after="0"/>
      <w:ind w:hanging="720" w:start="5040" w:end="1440"/>
      <w:outlineLvl w:val="6"/>
    </w:pPr>
    <w:rPr/>
  </w:style>
  <w:style w:type="paragraph" w:styleId="Heading8">
    <w:name w:val="heading 8"/>
    <w:basedOn w:val="Normal"/>
    <w:next w:val="NormalIndent"/>
    <w:qFormat/>
    <w:pPr>
      <w:numPr>
        <w:ilvl w:val="7"/>
        <w:numId w:val="1"/>
      </w:numPr>
      <w:spacing w:before="240" w:after="0"/>
      <w:ind w:hanging="720" w:start="5760" w:end="1440"/>
      <w:outlineLvl w:val="7"/>
    </w:pPr>
    <w:rPr/>
  </w:style>
  <w:style w:type="paragraph" w:styleId="Heading9">
    <w:name w:val="heading 9"/>
    <w:basedOn w:val="Normal"/>
    <w:next w:val="NormalIndent"/>
    <w:qFormat/>
    <w:pPr>
      <w:numPr>
        <w:ilvl w:val="8"/>
        <w:numId w:val="1"/>
      </w:numPr>
      <w:spacing w:before="240" w:after="0"/>
      <w:ind w:hanging="720" w:start="6480" w:end="1440"/>
      <w:outlineLvl w:val="8"/>
    </w:pPr>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FootnoteCharacters">
    <w:name w:val="Footnote Characters"/>
    <w:basedOn w:val="DefaultParagraphFont"/>
    <w:qFormat/>
    <w:rPr>
      <w:color w:val="FF0000"/>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1">
    <w:name w:val="body text1"/>
    <w:basedOn w:val="Normal"/>
    <w:qFormat/>
    <w:pPr>
      <w:spacing w:lineRule="atLeast" w:line="240" w:before="240" w:after="0"/>
      <w:ind w:firstLine="1440" w:start="0" w:end="0"/>
    </w:pPr>
    <w:rPr/>
  </w:style>
  <w:style w:type="paragraph" w:styleId="NormalIndent">
    <w:name w:val="Normal Indent"/>
    <w:basedOn w:val="Normal"/>
    <w:qFormat/>
    <w:pPr>
      <w:spacing w:before="240" w:after="0"/>
      <w:ind w:hanging="0" w:start="720" w:end="0"/>
    </w:pPr>
    <w:rPr/>
  </w:style>
  <w:style w:type="paragraph" w:styleId="AnnotationText">
    <w:name w:val="Annotation Text"/>
    <w:basedOn w:val="Normal"/>
    <w:qFormat/>
    <w:pPr/>
    <w:rPr>
      <w:sz w:val="20"/>
      <w:szCs w:val="20"/>
    </w:rPr>
  </w:style>
  <w:style w:type="paragraph" w:styleId="zName">
    <w:name w:val="zName"/>
    <w:basedOn w:val="Normal"/>
    <w:next w:val="zAddress"/>
    <w:qFormat/>
    <w:pPr>
      <w:spacing w:before="240" w:after="0"/>
    </w:pPr>
    <w:rPr/>
  </w:style>
  <w:style w:type="paragraph" w:styleId="zCompanyName">
    <w:name w:val="zCompanyName"/>
    <w:basedOn w:val="zName"/>
    <w:qFormat/>
    <w:pPr>
      <w:spacing w:before="0" w:after="0"/>
    </w:pPr>
    <w:rPr/>
  </w:style>
  <w:style w:type="paragraph" w:styleId="zAddress">
    <w:name w:val="zAddress"/>
    <w:basedOn w:val="zCompanyName"/>
    <w:qFormat/>
    <w:pPr/>
    <w:rPr/>
  </w:style>
  <w:style w:type="paragraph" w:styleId="TOC1">
    <w:name w:val="toc 1"/>
    <w:basedOn w:val="Normal"/>
    <w:pPr>
      <w:tabs>
        <w:tab w:val="clear" w:pos="720"/>
        <w:tab w:val="decimal" w:pos="8280" w:leader="dot"/>
      </w:tabs>
      <w:spacing w:before="240" w:after="0"/>
      <w:ind w:hanging="360" w:start="360" w:end="0"/>
    </w:pPr>
    <w:rPr/>
  </w:style>
  <w:style w:type="paragraph" w:styleId="TOC2">
    <w:name w:val="toc 2"/>
    <w:basedOn w:val="TOC1"/>
    <w:pPr>
      <w:spacing w:before="120" w:after="0"/>
      <w:ind w:hanging="360" w:start="720" w:end="720"/>
    </w:pPr>
    <w:rPr/>
  </w:style>
  <w:style w:type="paragraph" w:styleId="TOC3">
    <w:name w:val="toc 3"/>
    <w:basedOn w:val="TOC2"/>
    <w:pPr>
      <w:ind w:hanging="360" w:start="1080" w:end="720"/>
    </w:pPr>
    <w:rPr/>
  </w:style>
  <w:style w:type="paragraph" w:styleId="TOC4">
    <w:name w:val="toc 4"/>
    <w:basedOn w:val="TOC3"/>
    <w:next w:val="Normal"/>
    <w:pPr>
      <w:ind w:hanging="360" w:start="1440" w:end="720"/>
    </w:pPr>
    <w:rPr/>
  </w:style>
  <w:style w:type="paragraph" w:styleId="TOC5">
    <w:name w:val="toc 5"/>
    <w:basedOn w:val="TOC4"/>
    <w:next w:val="Normal"/>
    <w:pPr>
      <w:ind w:hanging="360" w:start="180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40" w:leader="none"/>
        <w:tab w:val="right" w:pos="8280" w:leader="none"/>
      </w:tabs>
      <w:ind w:hanging="0" w:start="-180" w:end="0"/>
    </w:pPr>
    <w:rPr>
      <w:rFonts w:ascii="Arial" w:hAnsi="Arial" w:eastAsia="Arial" w:cs="Arial"/>
      <w:color w:val="0000FF"/>
      <w:sz w:val="14"/>
      <w:szCs w:val="14"/>
      <w:lang w:val="en-CA"/>
    </w:rPr>
  </w:style>
  <w:style w:type="paragraph" w:styleId="Header">
    <w:name w:val="header"/>
    <w:basedOn w:val="Normal"/>
    <w:pPr/>
    <w:rPr/>
  </w:style>
  <w:style w:type="paragraph" w:styleId="FootnoteText">
    <w:name w:val="footnote text"/>
    <w:basedOn w:val="Normal"/>
    <w:pPr>
      <w:spacing w:before="240" w:after="0"/>
    </w:pPr>
    <w:rPr/>
  </w:style>
  <w:style w:type="paragraph" w:styleId="Plain">
    <w:name w:val="Plain"/>
    <w:basedOn w:val="Normal"/>
    <w:qFormat/>
    <w:pPr>
      <w:spacing w:before="240" w:after="0"/>
    </w:pPr>
    <w:rPr/>
  </w:style>
  <w:style w:type="paragraph" w:styleId="EnvelopeReturn">
    <w:name w:val="envelope return"/>
    <w:basedOn w:val="Normal"/>
    <w:qFormat/>
    <w:pPr/>
    <w:rPr>
      <w:sz w:val="20"/>
      <w:szCs w:val="20"/>
    </w:rPr>
  </w:style>
  <w:style w:type="paragraph" w:styleId="EnvelopeAddress">
    <w:name w:val="envelope address"/>
    <w:basedOn w:val="Normal"/>
    <w:qFormat/>
    <w:pPr>
      <w:ind w:hanging="0" w:start="2880" w:end="0"/>
    </w:pPr>
    <w:rPr/>
  </w:style>
  <w:style w:type="paragraph" w:styleId="ListBullet">
    <w:name w:val="List Bullet"/>
    <w:basedOn w:val="Normal"/>
    <w:pPr>
      <w:spacing w:before="240" w:after="0"/>
      <w:ind w:hanging="720" w:start="720" w:end="0"/>
    </w:pPr>
    <w:rPr/>
  </w:style>
  <w:style w:type="paragraph" w:styleId="ListBullet2">
    <w:name w:val="List Bullet 2"/>
    <w:basedOn w:val="ListBullet"/>
    <w:pPr>
      <w:ind w:hanging="720" w:start="1440" w:end="0"/>
    </w:pPr>
    <w:rPr/>
  </w:style>
  <w:style w:type="paragraph" w:styleId="ListBullet3">
    <w:name w:val="List Bullet 3"/>
    <w:basedOn w:val="ListBullet2"/>
    <w:pPr>
      <w:ind w:hanging="720" w:start="2160" w:end="0"/>
    </w:pPr>
    <w:rPr/>
  </w:style>
  <w:style w:type="paragraph" w:styleId="ListBullet4">
    <w:name w:val="List Bullet 4"/>
    <w:basedOn w:val="ListBullet3"/>
    <w:pPr>
      <w:ind w:hanging="720" w:start="2880" w:end="0"/>
    </w:pPr>
    <w:rPr/>
  </w:style>
  <w:style w:type="paragraph" w:styleId="ListBullet5">
    <w:name w:val="List Bullet 5"/>
    <w:basedOn w:val="ListBullet4"/>
    <w:pPr>
      <w:ind w:hanging="720" w:start="3600" w:end="0"/>
    </w:pPr>
    <w:rPr/>
  </w:style>
  <w:style w:type="paragraph" w:styleId="zDate">
    <w:name w:val="zDate"/>
    <w:basedOn w:val="Plain"/>
    <w:qFormat/>
    <w:pPr/>
    <w:rPr/>
  </w:style>
  <w:style w:type="paragraph" w:styleId="zFirstFooter">
    <w:name w:val="zFirstFooter"/>
    <w:basedOn w:val="Normal"/>
    <w:qFormat/>
    <w:pPr>
      <w:tabs>
        <w:tab w:val="clear" w:pos="720"/>
        <w:tab w:val="right" w:pos="10260" w:leader="none"/>
      </w:tabs>
      <w:ind w:hanging="0" w:start="-900" w:end="-900"/>
    </w:pPr>
    <w:rPr>
      <w:rFonts w:ascii="Arial" w:hAnsi="Arial" w:eastAsia="Arial" w:cs="Arial"/>
      <w:color w:val="0000FF"/>
      <w:sz w:val="14"/>
      <w:szCs w:val="14"/>
    </w:rPr>
  </w:style>
  <w:style w:type="paragraph" w:styleId="List1d">
    <w:name w:val="List 1.d"/>
    <w:basedOn w:val="ListBullet"/>
    <w:qFormat/>
    <w:pPr>
      <w:tabs>
        <w:tab w:val="clear" w:pos="720"/>
        <w:tab w:val="decimal" w:pos="504" w:leader="none"/>
      </w:tabs>
      <w:ind w:hanging="720" w:start="720" w:end="0"/>
    </w:pPr>
    <w:rPr/>
  </w:style>
  <w:style w:type="paragraph" w:styleId="List2d">
    <w:name w:val="List 2.d"/>
    <w:basedOn w:val="ListBullet2"/>
    <w:qFormat/>
    <w:pPr>
      <w:tabs>
        <w:tab w:val="clear" w:pos="720"/>
        <w:tab w:val="decimal" w:pos="1224" w:leader="none"/>
      </w:tabs>
      <w:ind w:hanging="720" w:start="1440" w:end="0"/>
    </w:pPr>
    <w:rPr/>
  </w:style>
  <w:style w:type="paragraph" w:styleId="List3d">
    <w:name w:val="List 3.d"/>
    <w:basedOn w:val="ListBullet3"/>
    <w:qFormat/>
    <w:pPr>
      <w:tabs>
        <w:tab w:val="clear" w:pos="720"/>
        <w:tab w:val="decimal" w:pos="1944" w:leader="none"/>
      </w:tabs>
      <w:ind w:hanging="720" w:start="2160" w:end="0"/>
    </w:pPr>
    <w:rPr/>
  </w:style>
  <w:style w:type="paragraph" w:styleId="List4d">
    <w:name w:val="List 4.d"/>
    <w:basedOn w:val="ListBullet4"/>
    <w:qFormat/>
    <w:pPr>
      <w:tabs>
        <w:tab w:val="clear" w:pos="720"/>
        <w:tab w:val="decimal" w:pos="2664" w:leader="none"/>
      </w:tabs>
      <w:ind w:hanging="720" w:start="2880" w:end="0"/>
    </w:pPr>
    <w:rPr/>
  </w:style>
  <w:style w:type="paragraph" w:styleId="List5d">
    <w:name w:val="List 5.d"/>
    <w:basedOn w:val="ListBullet5"/>
    <w:qFormat/>
    <w:pPr>
      <w:tabs>
        <w:tab w:val="clear" w:pos="720"/>
        <w:tab w:val="decimal" w:pos="3384" w:leader="none"/>
      </w:tabs>
      <w:ind w:hanging="720" w:start="3600" w:end="0"/>
    </w:pPr>
    <w:rPr/>
  </w:style>
  <w:style w:type="paragraph" w:styleId="Quote">
    <w:name w:val="Quote"/>
    <w:basedOn w:val="Normal"/>
    <w:qFormat/>
    <w:pPr>
      <w:spacing w:before="240" w:after="0"/>
      <w:ind w:hanging="0" w:start="1440" w:end="1440"/>
    </w:pPr>
    <w:rPr/>
  </w:style>
  <w:style w:type="paragraph" w:styleId="zFootName">
    <w:name w:val="zFootName"/>
    <w:basedOn w:val="Normal"/>
    <w:qFormat/>
    <w:pPr/>
    <w:rPr/>
  </w:style>
  <w:style w:type="paragraph" w:styleId="zMemoHeading">
    <w:name w:val="zMemoHeading"/>
    <w:basedOn w:val="Normal"/>
    <w:next w:val="Normal"/>
    <w:qFormat/>
    <w:pPr>
      <w:keepLines/>
      <w:spacing w:lineRule="atLeast" w:line="240" w:before="480" w:after="480"/>
      <w:jc w:val="center"/>
    </w:pPr>
    <w:rPr>
      <w:b/>
      <w:bCs/>
      <w:u w:val="single"/>
    </w:rPr>
  </w:style>
  <w:style w:type="paragraph" w:styleId="zAuthorInitials">
    <w:name w:val="zAuthorInitials"/>
    <w:basedOn w:val="Normal"/>
    <w:qFormat/>
    <w:pPr>
      <w:spacing w:lineRule="atLeast" w:line="480"/>
      <w:ind w:hanging="0" w:start="4766" w:end="0"/>
    </w:pPr>
    <w:rPr/>
  </w:style>
  <w:style w:type="paragraph" w:styleId="zHiddenHeader">
    <w:name w:val="zHiddenHeader"/>
    <w:basedOn w:val="Header"/>
    <w:qFormat/>
    <w:pPr>
      <w:tabs>
        <w:tab w:val="clear" w:pos="720"/>
        <w:tab w:val="left" w:pos="1440" w:leader="none"/>
        <w:tab w:val="center" w:pos="4680" w:leader="none"/>
        <w:tab w:val="right" w:pos="9360" w:leader="none"/>
      </w:tabs>
      <w:spacing w:lineRule="atLeast" w:line="240"/>
    </w:pPr>
    <w:rPr>
      <w:vanish/>
      <w:color w:val="FF0000"/>
      <w:sz w:val="16"/>
      <w:szCs w:val="16"/>
    </w:rPr>
  </w:style>
  <w:style w:type="paragraph" w:styleId="Interrogatory">
    <w:name w:val="Interrogatory"/>
    <w:basedOn w:val="Normal"/>
    <w:next w:val="bodytext1"/>
    <w:qFormat/>
    <w:pPr>
      <w:keepNext w:val="true"/>
      <w:spacing w:lineRule="exact" w:line="240" w:before="240" w:after="0"/>
    </w:pPr>
    <w:rPr>
      <w:u w:val="single"/>
    </w:rPr>
  </w:style>
  <w:style w:type="paragraph" w:styleId="zTitle">
    <w:name w:val="zTitle"/>
    <w:basedOn w:val="zName"/>
    <w:qFormat/>
    <w:pPr>
      <w:spacing w:before="0" w:after="0"/>
    </w:pPr>
    <w:rPr/>
  </w:style>
  <w:style w:type="paragraph" w:styleId="bodytextblock">
    <w:name w:val="body text block"/>
    <w:basedOn w:val="bodytext1"/>
    <w:next w:val="bodytext1"/>
    <w:qFormat/>
    <w:pPr>
      <w:ind w:hanging="0" w:start="0" w:end="0"/>
    </w:pPr>
    <w:rPr/>
  </w:style>
  <w:style w:type="paragraph" w:styleId="zSignature">
    <w:name w:val="zSignature"/>
    <w:basedOn w:val="Normal"/>
    <w:next w:val="Normal"/>
    <w:qFormat/>
    <w:pPr>
      <w:keepLines/>
      <w:spacing w:before="720" w:after="240"/>
      <w:ind w:hanging="0" w:start="5040" w:end="0"/>
    </w:pPr>
    <w:rPr/>
  </w:style>
  <w:style w:type="paragraph" w:styleId="zSignature2">
    <w:name w:val="zSignature2"/>
    <w:basedOn w:val="Normal"/>
    <w:next w:val="Normal"/>
    <w:qFormat/>
    <w:pPr>
      <w:ind w:hanging="0" w:start="5040" w:end="0"/>
    </w:pPr>
    <w:rPr>
      <w:sz w:val="20"/>
      <w:szCs w:val="20"/>
    </w:rPr>
  </w:style>
  <w:style w:type="paragraph" w:styleId="zDeliver">
    <w:name w:val="zDeliver"/>
    <w:basedOn w:val="bodytext1"/>
    <w:qFormat/>
    <w:pPr>
      <w:spacing w:lineRule="auto" w:line="240"/>
      <w:ind w:hanging="0" w:start="0" w:end="0"/>
    </w:pPr>
    <w:rPr>
      <w:b/>
      <w:bC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I:\IMANAGE\WORD6\TEMPLATE.IA\MDMEMO02.DOT</Template>
  <TotalTime>199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2000-06-26T10:01:00Z</dcterms:created>
  <dc:creator>Hyde, Earl</dc:creator>
  <dc:description/>
  <cp:keywords>20578-0040</cp:keywords>
  <dc:language>en-CA</dc:language>
  <cp:lastModifiedBy>Miller, Gilman</cp:lastModifiedBy>
  <cp:lastPrinted>2000-06-29T17:33:00Z</cp:lastPrinted>
  <dcterms:modified xsi:type="dcterms:W3CDTF">2000-06-29T16:17:00Z</dcterms:modified>
  <cp:revision>10</cp:revision>
  <dc:subject/>
  <dc:title>Letter, Enron
</dc:title>
</cp:coreProperties>
</file>