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t>May 29, 2001</w:t>
      </w:r>
    </w:p>
    <w:p>
      <w:pPr>
        <w:pStyle w:val="Header"/>
        <w:widowControl/>
        <w:tabs>
          <w:tab w:val="clear" w:pos="4320"/>
          <w:tab w:val="clear" w:pos="8640"/>
        </w:tabs>
        <w:jc w:val="both"/>
        <w:rPr>
          <w:color w:val="000000"/>
        </w:rPr>
      </w:pPr>
      <w:r>
        <w:rPr>
          <w:color w:val="000000"/>
        </w:rPr>
      </w:r>
    </w:p>
    <w:p>
      <w:pPr>
        <w:pStyle w:val="Normal"/>
        <w:widowControl/>
        <w:jc w:val="both"/>
        <w:rPr/>
      </w:pPr>
      <w:r>
        <w:rPr/>
      </w:r>
    </w:p>
    <w:p>
      <w:pPr>
        <w:pStyle w:val="Normal"/>
        <w:widowControl/>
        <w:jc w:val="both"/>
        <w:rPr/>
      </w:pPr>
      <w:r>
        <w:rPr>
          <w:b/>
          <w:bCs/>
        </w:rPr>
        <w:t>Advice</w:t>
      </w:r>
      <w:r>
        <w:rPr>
          <w:b/>
          <w:bCs/>
          <w:color w:val="000000"/>
        </w:rPr>
        <w:t xml:space="preserve"> 2121-</w:t>
      </w:r>
      <w:r>
        <w:rPr>
          <w:b/>
          <w:bCs/>
        </w:rPr>
        <w:t>E</w:t>
      </w:r>
    </w:p>
    <w:p>
      <w:pPr>
        <w:pStyle w:val="Normal"/>
        <w:widowControl/>
        <w:tabs>
          <w:tab w:val="clear" w:pos="720"/>
          <w:tab w:val="left" w:pos="4410" w:leader="none"/>
        </w:tabs>
        <w:jc w:val="both"/>
        <w:rPr/>
      </w:pPr>
      <w:r>
        <w:rPr/>
        <w:t>(Pacific Gas and Electric Company ID U 39 E</w:t>
      </w:r>
    </w:p>
    <w:p>
      <w:pPr>
        <w:pStyle w:val="Normal"/>
        <w:widowControl/>
        <w:jc w:val="both"/>
        <w:rPr/>
      </w:pPr>
      <w:r>
        <w:rPr/>
      </w:r>
    </w:p>
    <w:p>
      <w:pPr>
        <w:pStyle w:val="Normal"/>
        <w:widowControl/>
        <w:jc w:val="both"/>
        <w:rPr/>
      </w:pPr>
      <w:r>
        <w:rPr/>
      </w:r>
    </w:p>
    <w:p>
      <w:pPr>
        <w:pStyle w:val="Normal"/>
        <w:widowControl/>
        <w:jc w:val="both"/>
        <w:rPr/>
      </w:pPr>
      <w:r>
        <w:rPr/>
        <w:t>Public Utilities Commission of the State of California</w:t>
      </w:r>
    </w:p>
    <w:p>
      <w:pPr>
        <w:pStyle w:val="Normal"/>
        <w:widowControl/>
        <w:jc w:val="both"/>
        <w:rPr/>
      </w:pPr>
      <w:r>
        <w:rPr/>
      </w:r>
    </w:p>
    <w:p>
      <w:pPr>
        <w:pStyle w:val="Normal"/>
        <w:widowControl/>
        <w:jc w:val="both"/>
        <w:rPr/>
      </w:pPr>
      <w:r>
        <w:rPr>
          <w:b/>
          <w:bCs/>
          <w:u w:val="single"/>
        </w:rPr>
        <w:t>Subject:</w:t>
      </w:r>
      <w:r>
        <w:rPr>
          <w:b/>
          <w:bCs/>
        </w:rPr>
        <w:t xml:space="preserve">  Revisions to Electric Rate Schedule E-OBMC</w:t>
      </w:r>
    </w:p>
    <w:p>
      <w:pPr>
        <w:pStyle w:val="Normal"/>
        <w:widowControl/>
        <w:jc w:val="both"/>
        <w:rPr>
          <w:b/>
          <w:bCs/>
        </w:rPr>
      </w:pPr>
      <w:r>
        <w:rPr>
          <w:b/>
          <w:bCs/>
        </w:rPr>
      </w:r>
    </w:p>
    <w:p>
      <w:pPr>
        <w:pStyle w:val="Normal"/>
        <w:widowControl/>
        <w:jc w:val="both"/>
        <w:rPr/>
      </w:pPr>
      <w:r>
        <w:rPr/>
        <w:t>Pacific Gas and Electric Company (PG&amp;E) hereby submits for filing revisions to its electric tariffs.  The affected tariff sheets are listed in Attachment I, which is enclosed.</w:t>
      </w:r>
    </w:p>
    <w:p>
      <w:pPr>
        <w:pStyle w:val="Normal"/>
        <w:widowControl/>
        <w:jc w:val="both"/>
        <w:rPr/>
      </w:pPr>
      <w:r>
        <w:rPr/>
      </w:r>
    </w:p>
    <w:p>
      <w:pPr>
        <w:pStyle w:val="Normal"/>
        <w:widowControl/>
        <w:jc w:val="both"/>
        <w:rPr>
          <w:color w:val="000000"/>
        </w:rPr>
      </w:pPr>
      <w:r>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p>
      <w:pPr>
        <w:pStyle w:val="Normal"/>
        <w:widowControl/>
        <w:jc w:val="both"/>
        <w:rPr>
          <w:color w:val="000000"/>
        </w:rPr>
      </w:pPr>
      <w:r>
        <w:rPr>
          <w:color w:val="000000"/>
        </w:rPr>
      </w:r>
    </w:p>
    <w:p>
      <w:pPr>
        <w:pStyle w:val="Heading1"/>
        <w:widowControl/>
        <w:ind w:hanging="0" w:start="0"/>
        <w:jc w:val="both"/>
        <w:rPr/>
      </w:pPr>
      <w:r>
        <w:rPr/>
        <w:t>Purpose</w:t>
      </w:r>
    </w:p>
    <w:p>
      <w:pPr>
        <w:pStyle w:val="Normal"/>
        <w:widowControl/>
        <w:jc w:val="both"/>
        <w:rPr/>
      </w:pPr>
      <w:r>
        <w:rPr/>
      </w:r>
    </w:p>
    <w:p>
      <w:pPr>
        <w:pStyle w:val="Normal"/>
        <w:widowControl/>
        <w:jc w:val="both"/>
        <w:rPr/>
      </w:pPr>
      <w:r>
        <w:rPr/>
        <w:t>The purpose of this filing is to submit revised Schedule E-OBMC—</w:t>
      </w:r>
      <w:r>
        <w:rPr>
          <w:i/>
          <w:iCs/>
        </w:rPr>
        <w:t>Optional</w:t>
      </w:r>
      <w:r>
        <w:rPr/>
        <w:t xml:space="preserve"> </w:t>
      </w:r>
      <w:r>
        <w:rPr>
          <w:i/>
          <w:iCs/>
        </w:rPr>
        <w:t>Binding Mandatory Curtailment</w:t>
      </w:r>
      <w:r>
        <w:rPr/>
        <w:t xml:space="preserve"> (OBMC) and the “</w:t>
      </w:r>
      <w:r>
        <w:rPr>
          <w:i/>
          <w:iCs/>
        </w:rPr>
        <w:t xml:space="preserve">Agreement for Schedule E-OBMC” </w:t>
      </w:r>
      <w:r>
        <w:rPr/>
        <w:t>(Form 79-966).  This filing is made in compliance with Decision (D.) 01-05-090 issued May 24, 2001.  Effective May 24, 2001, D. 01-05-090 modifies D.01-04-006 by permitting customers on Schedule E-OBMC to participate in other utility-operated capacity interruptible programs as long as those programs require the reduction of the customer’s load to a pre-established firm service level (FSL).</w:t>
      </w:r>
    </w:p>
    <w:p>
      <w:pPr>
        <w:pStyle w:val="Normal"/>
        <w:widowControl/>
        <w:jc w:val="both"/>
        <w:rPr/>
      </w:pPr>
      <w:r>
        <w:rPr/>
      </w:r>
    </w:p>
    <w:p>
      <w:pPr>
        <w:pStyle w:val="Heading3"/>
        <w:ind w:hanging="0" w:start="0"/>
        <w:rPr/>
      </w:pPr>
      <w:r>
        <w:rPr/>
        <w:t>Background</w:t>
      </w:r>
    </w:p>
    <w:p>
      <w:pPr>
        <w:pStyle w:val="Normal"/>
        <w:widowControl/>
        <w:jc w:val="both"/>
        <w:rPr>
          <w:b/>
          <w:bCs/>
          <w:u w:val="single"/>
        </w:rPr>
      </w:pPr>
      <w:r>
        <w:rPr>
          <w:b/>
          <w:bCs/>
          <w:u w:val="single"/>
        </w:rPr>
      </w:r>
    </w:p>
    <w:p>
      <w:pPr>
        <w:pStyle w:val="Normal"/>
        <w:jc w:val="both"/>
        <w:rPr/>
      </w:pPr>
      <w:r>
        <w:rPr/>
        <w:t>Acceptable interruptible programs include, but are not limited to, Schedules E-BIP—Basic Interruptible Program, and Schedule E-20 non-firm service.  If a customer participates in one or both of the interruptible load programs and OBMC, then the required OBMC reduction shall be applied to the customer’s FSL.  Only load reductions below the customer’s interruptible FSL count toward OBMC compliance.</w:t>
      </w:r>
    </w:p>
    <w:p>
      <w:pPr>
        <w:pStyle w:val="Normal"/>
        <w:jc w:val="both"/>
        <w:rPr/>
      </w:pPr>
      <w:r>
        <w:rPr/>
      </w:r>
    </w:p>
    <w:p>
      <w:pPr>
        <w:pStyle w:val="Normal"/>
        <w:jc w:val="both"/>
        <w:rPr/>
      </w:pPr>
      <w:r>
        <w:rPr/>
        <w:t>Though the OBMC participants also may participate in the Schedule E-VDRP--Voluntary Demand Reduction Plan), they shall not be paid for any load reductions occurring during an OBMC call.  OBMC participants also shall not participate in the California Independent System Operator’s (CAISO) demand response program (DRP) or in a utility program that aggregates load for the CAISO’s DRP.</w:t>
      </w:r>
    </w:p>
    <w:p>
      <w:pPr>
        <w:pStyle w:val="Normal"/>
        <w:jc w:val="both"/>
        <w:rPr/>
      </w:pPr>
      <w:r>
        <w:rPr/>
      </w:r>
    </w:p>
    <w:p>
      <w:pPr>
        <w:pStyle w:val="Heading1"/>
        <w:widowControl/>
        <w:ind w:hanging="0" w:start="0"/>
        <w:jc w:val="both"/>
        <w:rPr/>
      </w:pPr>
      <w:r>
        <w:rPr/>
        <w:t>Protests</w:t>
      </w:r>
    </w:p>
    <w:p>
      <w:pPr>
        <w:pStyle w:val="Normal"/>
        <w:widowControl/>
        <w:jc w:val="both"/>
        <w:rPr/>
      </w:pPr>
      <w:r>
        <w:rPr/>
      </w:r>
    </w:p>
    <w:p>
      <w:pPr>
        <w:pStyle w:val="Normal"/>
        <w:widowControl/>
        <w:jc w:val="both"/>
        <w:rPr/>
      </w:pPr>
      <w:r>
        <w:rPr/>
        <w:t xml:space="preserve">Anyone wishing to protest this filing may do so by sending a letter by </w:t>
      </w:r>
      <w:r>
        <w:rPr>
          <w:b/>
          <w:bCs/>
        </w:rPr>
        <w:t>June 18,</w:t>
      </w:r>
      <w:r>
        <w:rPr/>
        <w:t xml:space="preserve"> </w:t>
      </w:r>
      <w:r>
        <w:rPr>
          <w:b/>
          <w:bCs/>
        </w:rPr>
        <w:t>2001,</w:t>
      </w:r>
      <w:r>
        <w:rPr/>
        <w:t xml:space="preserve"> which is 20 days of the date of this filing.  The protest must state the grounds upon which it is based, including such items as financial and service impact, and should be submitted expeditiously.  Protests should be mailed to:</w:t>
      </w:r>
    </w:p>
    <w:p>
      <w:pPr>
        <w:pStyle w:val="Normal"/>
        <w:widowControl/>
        <w:jc w:val="both"/>
        <w:rPr/>
      </w:pPr>
      <w:r>
        <w:rPr/>
      </w:r>
    </w:p>
    <w:p>
      <w:pPr>
        <w:pStyle w:val="Normal"/>
        <w:widowControl/>
        <w:ind w:start="2700" w:end="0"/>
        <w:jc w:val="both"/>
        <w:rPr/>
      </w:pPr>
      <w:r>
        <w:rPr/>
        <w:t>IMC Branch Chief</w:t>
      </w:r>
    </w:p>
    <w:p>
      <w:pPr>
        <w:pStyle w:val="Normal"/>
        <w:widowControl/>
        <w:ind w:start="2700" w:end="0"/>
        <w:jc w:val="both"/>
        <w:rPr/>
      </w:pPr>
      <w:r>
        <w:rPr/>
        <w:t>Energy Division</w:t>
      </w:r>
    </w:p>
    <w:p>
      <w:pPr>
        <w:pStyle w:val="Normal"/>
        <w:widowControl/>
        <w:ind w:start="2700" w:end="0"/>
        <w:jc w:val="both"/>
        <w:rPr/>
      </w:pPr>
      <w:r>
        <w:rPr/>
        <w:t>California Public Utilities Commission</w:t>
      </w:r>
    </w:p>
    <w:p>
      <w:pPr>
        <w:pStyle w:val="Normal"/>
        <w:widowControl/>
        <w:ind w:start="2700" w:end="0"/>
        <w:jc w:val="both"/>
        <w:rPr/>
      </w:pPr>
      <w:r>
        <w:rPr/>
        <w:t>505 Van Ness Avenue, Room 4002</w:t>
      </w:r>
    </w:p>
    <w:p>
      <w:pPr>
        <w:pStyle w:val="Normal"/>
        <w:widowControl/>
        <w:ind w:start="2700" w:end="0"/>
        <w:jc w:val="both"/>
        <w:rPr/>
      </w:pPr>
      <w:r>
        <w:rPr/>
        <w:t>San Francisco, California 94102</w:t>
      </w:r>
    </w:p>
    <w:p>
      <w:pPr>
        <w:pStyle w:val="Normal"/>
        <w:widowControl/>
        <w:ind w:start="2700" w:end="0"/>
        <w:jc w:val="both"/>
        <w:rPr/>
      </w:pPr>
      <w:r>
        <w:rPr/>
        <w:t>Facsimile: (415) 703-2200</w:t>
      </w:r>
    </w:p>
    <w:p>
      <w:pPr>
        <w:pStyle w:val="Normal"/>
        <w:widowControl/>
        <w:jc w:val="both"/>
        <w:rPr/>
      </w:pPr>
      <w:r>
        <w:rPr/>
      </w:r>
    </w:p>
    <w:p>
      <w:pPr>
        <w:pStyle w:val="Normal"/>
        <w:widowControl/>
        <w:jc w:val="both"/>
        <w:rPr/>
      </w:pPr>
      <w:r>
        <w:rPr/>
        <w:t xml:space="preserve">Copies should also be mailed to the attention of the Director, Energy Division, Room 4005 and Jerry Royer, Energy Division, at the address shown above.  It is also requested that a copy of the protest be sent via postal mail </w:t>
      </w:r>
      <w:r>
        <w:rPr>
          <w:u w:val="single"/>
        </w:rPr>
        <w:t>and</w:t>
      </w:r>
      <w:r>
        <w:rPr/>
        <w:t xml:space="preserve"> facsimile to Pacific Gas and Electric Company on the same date it is mailed or delivered to the Commission at the address shown below.</w:t>
      </w:r>
    </w:p>
    <w:p>
      <w:pPr>
        <w:pStyle w:val="Normal"/>
        <w:widowControl/>
        <w:jc w:val="both"/>
        <w:rPr/>
      </w:pPr>
      <w:r>
        <w:rPr/>
      </w:r>
    </w:p>
    <w:p>
      <w:pPr>
        <w:pStyle w:val="Header"/>
        <w:widowControl/>
        <w:tabs>
          <w:tab w:val="clear" w:pos="4320"/>
          <w:tab w:val="clear" w:pos="8640"/>
        </w:tabs>
        <w:jc w:val="both"/>
        <w:rPr/>
      </w:pPr>
      <w:r>
        <w:rPr/>
        <w:tab/>
        <w:tab/>
        <w:tab/>
        <w:tab/>
        <w:t>Pacific Gas and Electric Company</w:t>
      </w:r>
    </w:p>
    <w:p>
      <w:pPr>
        <w:pStyle w:val="Normal"/>
        <w:widowControl/>
        <w:ind w:start="2880" w:end="0"/>
        <w:jc w:val="both"/>
        <w:rPr/>
      </w:pPr>
      <w:r>
        <w:rPr/>
        <w:t>Attention: Les Guliasi</w:t>
      </w:r>
    </w:p>
    <w:p>
      <w:pPr>
        <w:pStyle w:val="Normal"/>
        <w:widowControl/>
        <w:ind w:start="2880" w:end="0"/>
        <w:jc w:val="both"/>
        <w:rPr/>
      </w:pPr>
      <w:r>
        <w:rPr/>
        <w:t>Director, Regulatory Relations</w:t>
      </w:r>
    </w:p>
    <w:p>
      <w:pPr>
        <w:pStyle w:val="Normal"/>
        <w:widowControl/>
        <w:ind w:start="2880" w:end="0"/>
        <w:jc w:val="both"/>
        <w:rPr/>
      </w:pPr>
      <w:r>
        <w:rPr/>
        <w:t>77 Beale Street, Mailcode B10C</w:t>
      </w:r>
    </w:p>
    <w:p>
      <w:pPr>
        <w:pStyle w:val="Normal"/>
        <w:widowControl/>
        <w:ind w:start="2880" w:end="0"/>
        <w:jc w:val="both"/>
        <w:rPr/>
      </w:pPr>
      <w:r>
        <w:rPr/>
        <w:t>P.O. Box 770000</w:t>
      </w:r>
    </w:p>
    <w:p>
      <w:pPr>
        <w:pStyle w:val="Normal"/>
        <w:widowControl/>
        <w:ind w:start="2880" w:end="0"/>
        <w:jc w:val="both"/>
        <w:rPr/>
      </w:pPr>
      <w:r>
        <w:rPr/>
        <w:t>San Francisco, California 94177</w:t>
      </w:r>
    </w:p>
    <w:p>
      <w:pPr>
        <w:pStyle w:val="Normal"/>
        <w:widowControl/>
        <w:ind w:start="2880" w:end="0"/>
        <w:jc w:val="both"/>
        <w:rPr/>
      </w:pPr>
      <w:r>
        <w:rPr/>
        <w:t>Facsimile: (415) 973-7226</w:t>
      </w:r>
    </w:p>
    <w:p>
      <w:pPr>
        <w:pStyle w:val="Normal"/>
        <w:widowControl/>
        <w:jc w:val="both"/>
        <w:rPr/>
      </w:pPr>
      <w:r>
        <w:rPr/>
      </w:r>
    </w:p>
    <w:p>
      <w:pPr>
        <w:pStyle w:val="Heading1"/>
        <w:widowControl/>
        <w:ind w:hanging="0" w:start="0"/>
        <w:jc w:val="both"/>
        <w:rPr/>
      </w:pPr>
      <w:r>
        <w:rPr/>
        <w:t>Effective Date</w:t>
      </w:r>
    </w:p>
    <w:p>
      <w:pPr>
        <w:pStyle w:val="Normal"/>
        <w:widowControl/>
        <w:jc w:val="both"/>
        <w:rPr/>
      </w:pPr>
      <w:r>
        <w:rPr/>
      </w:r>
    </w:p>
    <w:p>
      <w:pPr>
        <w:pStyle w:val="Normal"/>
        <w:widowControl/>
        <w:jc w:val="both"/>
        <w:rPr/>
      </w:pPr>
      <w:r>
        <w:rPr/>
        <w:t xml:space="preserve">In accordance with D.01-04-006 and D.01-05-090, PG&amp;E requests that this advice filing become effective </w:t>
      </w:r>
      <w:r>
        <w:rPr>
          <w:b/>
          <w:bCs/>
        </w:rPr>
        <w:t>May 24, 2001</w:t>
      </w:r>
      <w:r>
        <w:rPr/>
        <w:t>.</w:t>
      </w:r>
    </w:p>
    <w:p>
      <w:pPr>
        <w:pStyle w:val="Normal"/>
        <w:widowControl/>
        <w:jc w:val="both"/>
        <w:rPr/>
      </w:pPr>
      <w:r>
        <w:rPr/>
      </w:r>
    </w:p>
    <w:p>
      <w:pPr>
        <w:pStyle w:val="Normal"/>
        <w:widowControl/>
        <w:jc w:val="both"/>
        <w:rPr/>
      </w:pPr>
      <w:r>
        <w:rPr/>
      </w:r>
    </w:p>
    <w:p>
      <w:pPr>
        <w:pStyle w:val="Normal"/>
        <w:widowControl/>
        <w:jc w:val="both"/>
        <w:rPr/>
      </w:pPr>
      <w:r>
        <w:rPr/>
      </w:r>
    </w:p>
    <w:p>
      <w:pPr>
        <w:pStyle w:val="Heading2"/>
        <w:widowControl/>
        <w:ind w:hanging="0" w:start="0"/>
        <w:jc w:val="both"/>
        <w:rPr>
          <w:u w:val="single"/>
        </w:rPr>
      </w:pPr>
      <w:r>
        <w:rPr>
          <w:u w:val="single"/>
        </w:rPr>
        <w:t>Notice</w:t>
      </w:r>
    </w:p>
    <w:p>
      <w:pPr>
        <w:pStyle w:val="Normal"/>
        <w:widowControl/>
        <w:jc w:val="both"/>
        <w:rPr>
          <w:u w:val="single"/>
        </w:rPr>
      </w:pPr>
      <w:r>
        <w:rPr>
          <w:u w:val="single"/>
        </w:rPr>
      </w:r>
    </w:p>
    <w:p>
      <w:pPr>
        <w:pStyle w:val="BodyText"/>
        <w:widowControl/>
        <w:rPr/>
      </w:pPr>
      <w:r>
        <w:rPr/>
        <w:t>In accordance with General Order 96-A, Section III, Paragraph G, a copy of this advice letter is being sent electronically and via U.S. mail to parties shown on the attached list and to the service list for Rulemaking (R.) 00-10-002.  Address change requests should be directed to Nelia Avendano at (415) 973-3529.</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Vice President - Regulatory Relations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Attachments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cc:  Service List – R. 00-10-002</w:t>
      </w:r>
    </w:p>
    <w:p>
      <w:pPr>
        <w:pStyle w:val="Normal"/>
        <w:widowControl/>
        <w:jc w:val="both"/>
        <w:rPr/>
      </w:pPr>
      <w:r>
        <w:rPr/>
      </w:r>
    </w:p>
    <w:p>
      <w:pPr>
        <w:pStyle w:val="Normal"/>
        <w:widowControl/>
        <w:jc w:val="both"/>
        <w:rPr>
          <w:sz w:val="22"/>
          <w:szCs w:val="22"/>
        </w:rPr>
      </w:pPr>
      <w:r>
        <w:rPr>
          <w:sz w:val="22"/>
          <w:szCs w:val="22"/>
        </w:rPr>
      </w:r>
    </w:p>
    <w:sectPr>
      <w:headerReference w:type="default" r:id="rId2"/>
      <w:headerReference w:type="first" r:id="rId3"/>
      <w:type w:val="nextPage"/>
      <w:pgSz w:w="12240" w:h="15840"/>
      <w:pgMar w:left="1800" w:right="1800" w:gutter="0" w:header="720" w:top="1728" w:footer="0" w:bottom="172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widowControl/>
            <w:rPr/>
          </w:pPr>
          <w:r>
            <w:rPr/>
            <w:t>Advice 2121-E</w:t>
          </w:r>
        </w:p>
      </w:tc>
      <w:tc>
        <w:tcPr>
          <w:tcW w:w="2952" w:type="dxa"/>
          <w:tcBorders/>
        </w:tcPr>
        <w:p>
          <w:pPr>
            <w:pStyle w:val="Header"/>
            <w:widowControl/>
            <w:jc w:val="center"/>
            <w:rPr/>
          </w:pPr>
          <w:r>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r>
            <w:rPr>
              <w:rStyle w:val="PageNumber"/>
              <w:sz w:val="24"/>
              <w:szCs w:val="24"/>
            </w:rPr>
            <w:t xml:space="preserve"> -</w:t>
          </w:r>
        </w:p>
      </w:tc>
      <w:tc>
        <w:tcPr>
          <w:tcW w:w="2952" w:type="dxa"/>
          <w:tcBorders/>
        </w:tcPr>
        <w:p>
          <w:pPr>
            <w:pStyle w:val="Header"/>
            <w:widowControl/>
            <w:jc w:val="end"/>
            <w:rPr/>
          </w:pPr>
          <w:r>
            <w:rPr/>
            <w:t>May 29, 2001</w:t>
          </w:r>
        </w:p>
      </w:tc>
    </w:tr>
  </w:tbl>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widowControl/>
      <w:numPr>
        <w:ilvl w:val="2"/>
        <w:numId w:val="1"/>
      </w:numPr>
      <w:jc w:val="both"/>
      <w:outlineLvl w:val="2"/>
    </w:pPr>
    <w:rPr>
      <w:b/>
      <w:bCs/>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1440"/>
      <w:jc w:val="both"/>
    </w:pPr>
    <w:rPr/>
  </w:style>
  <w:style w:type="paragraph" w:styleId="BodyText3">
    <w:name w:val="Body Text 3"/>
    <w:basedOn w:val="Normal"/>
    <w:qFormat/>
    <w:pPr>
      <w:ind w:hanging="0" w:start="0" w:end="-36"/>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2001-05-29T20:01:00Z</dcterms:created>
  <dc:creator>A Valued Microsoft Customer</dc:creator>
  <dc:description/>
  <dc:language>en-CA</dc:language>
  <cp:lastModifiedBy>Nel Avendano</cp:lastModifiedBy>
  <cp:lastPrinted>2001-05-29T13:28:00Z</cp:lastPrinted>
  <dcterms:modified xsi:type="dcterms:W3CDTF">2001-05-29T20:01:00Z</dcterms:modified>
  <cp:revision>2</cp:revision>
  <dc:subject/>
  <dc:title>Date</dc:title>
</cp:coreProperties>
</file>