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rPr>
          <w:b/>
          <w:bCs/>
          <w:sz w:val="24"/>
          <w:szCs w:val="24"/>
        </w:rPr>
      </w:pPr>
      <w:r>
        <w:rPr>
          <w:b/>
          <w:bCs/>
          <w:sz w:val="24"/>
          <w:szCs w:val="24"/>
        </w:rP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445770" cy="51562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45770" cy="515620"/>
                    </a:xfrm>
                    <a:prstGeom prst="rect">
                      <a:avLst/>
                    </a:prstGeom>
                    <a:noFill/>
                  </pic:spPr>
                </pic:pic>
              </a:graphicData>
            </a:graphic>
          </wp:anchor>
        </w:drawing>
      </w:r>
    </w:p>
    <w:p>
      <w:pPr>
        <w:pStyle w:val="BodyText"/>
        <w:widowControl/>
        <w:jc w:val="center"/>
        <w:rPr>
          <w:b/>
          <w:bCs/>
          <w:sz w:val="24"/>
          <w:szCs w:val="24"/>
        </w:rPr>
      </w:pPr>
      <w:r>
        <w:rPr>
          <w:b/>
          <w:bCs/>
          <w:sz w:val="24"/>
          <w:szCs w:val="24"/>
        </w:rPr>
      </w:r>
    </w:p>
    <w:p>
      <w:pPr>
        <w:pStyle w:val="BodyText"/>
        <w:widowControl/>
        <w:rPr>
          <w:b/>
          <w:bCs/>
          <w:sz w:val="24"/>
          <w:szCs w:val="24"/>
        </w:rPr>
      </w:pPr>
      <w:r>
        <w:rPr>
          <w:b/>
          <w:bCs/>
          <w:sz w:val="24"/>
          <w:szCs w:val="24"/>
        </w:rPr>
      </w:r>
    </w:p>
    <w:p>
      <w:pPr>
        <w:pStyle w:val="BodyText"/>
        <w:widowControl/>
        <w:rPr/>
      </w:pPr>
      <w:r>
        <w:rPr>
          <w:b/>
          <w:bCs/>
          <w:sz w:val="24"/>
          <w:szCs w:val="24"/>
        </w:rPr>
        <w:t>Pacific Gas &amp; Electric Company</w:t>
      </w:r>
      <w:r>
        <w:rPr/>
        <w:tab/>
        <w:t>Distribution:</w:t>
        <w:tab/>
        <w:tab/>
        <w:t>Reference:</w:t>
      </w:r>
    </w:p>
    <w:p>
      <w:pPr>
        <w:pStyle w:val="Normal"/>
        <w:widowControl/>
        <w:ind w:end="-1080"/>
        <w:rPr/>
      </w:pPr>
      <w:r>
        <w:rPr>
          <w:b/>
          <w:bCs/>
        </w:rPr>
        <w:t xml:space="preserve">Agreement for Schedule E-OBMC </w:t>
      </w:r>
      <w:r>
        <w:rPr>
          <w:sz w:val="20"/>
          <w:szCs w:val="20"/>
        </w:rPr>
        <w:tab/>
      </w:r>
      <w:r>
        <w:rPr>
          <w:rFonts w:ascii="Monotype Sorts" w:hAnsi="Monotype Sorts"/>
          <w:sz w:val="20"/>
          <w:szCs w:val="20"/>
        </w:rPr>
        <w:sym w:font="Monotype Sorts" w:char="71"/>
      </w:r>
      <w:r>
        <w:rPr>
          <w:sz w:val="20"/>
          <w:szCs w:val="20"/>
        </w:rPr>
        <w:t>Customer</w:t>
        <w:tab/>
        <w:tab/>
        <w:t>Elect. Acct._______________</w:t>
      </w:r>
    </w:p>
    <w:p>
      <w:pPr>
        <w:pStyle w:val="Normal"/>
        <w:widowControl/>
        <w:ind w:end="-1080"/>
        <w:rPr/>
      </w:pPr>
      <w:r>
        <w:rPr>
          <w:sz w:val="20"/>
          <w:szCs w:val="20"/>
        </w:rPr>
        <w:tab/>
        <w:tab/>
        <w:tab/>
        <w:tab/>
        <w:tab/>
        <w:tab/>
      </w:r>
      <w:r>
        <w:rPr>
          <w:rFonts w:ascii="Monotype Sorts" w:hAnsi="Monotype Sorts"/>
          <w:sz w:val="20"/>
          <w:szCs w:val="20"/>
        </w:rPr>
        <w:sym w:font="Monotype Sorts" w:char="71"/>
      </w:r>
      <w:r>
        <w:rPr>
          <w:sz w:val="20"/>
          <w:szCs w:val="20"/>
        </w:rPr>
        <w:t>Division</w:t>
        <w:tab/>
        <w:tab/>
        <w:t>Premises No. _____________</w:t>
      </w:r>
    </w:p>
    <w:p>
      <w:pPr>
        <w:pStyle w:val="Normal"/>
        <w:widowControl/>
        <w:ind w:firstLine="720" w:end="-1080"/>
        <w:rPr/>
      </w:pPr>
      <w:r>
        <w:rPr>
          <w:sz w:val="20"/>
          <w:szCs w:val="20"/>
        </w:rPr>
        <w:tab/>
        <w:tab/>
        <w:tab/>
        <w:tab/>
        <w:tab/>
      </w:r>
      <w:r>
        <w:rPr>
          <w:rFonts w:ascii="Monotype Sorts" w:hAnsi="Monotype Sorts"/>
          <w:sz w:val="20"/>
          <w:szCs w:val="20"/>
        </w:rPr>
        <w:sym w:font="Monotype Sorts" w:char="71"/>
      </w:r>
      <w:r>
        <w:rPr>
          <w:sz w:val="20"/>
          <w:szCs w:val="20"/>
        </w:rPr>
        <w:t>T&amp;C</w:t>
        <w:tab/>
        <w:tab/>
        <w:tab/>
        <w:t>Control No.  ______________</w:t>
      </w:r>
    </w:p>
    <w:p>
      <w:pPr>
        <w:pStyle w:val="Normal"/>
        <w:widowControl/>
        <w:ind w:end="-1080"/>
        <w:rPr/>
      </w:pPr>
      <w:r>
        <w:rPr>
          <w:sz w:val="20"/>
          <w:szCs w:val="20"/>
        </w:rPr>
        <w:tab/>
        <w:tab/>
        <w:tab/>
        <w:tab/>
        <w:tab/>
        <w:tab/>
      </w:r>
      <w:r>
        <w:rPr>
          <w:rFonts w:ascii="Monotype Sorts" w:hAnsi="Monotype Sorts"/>
          <w:sz w:val="20"/>
          <w:szCs w:val="20"/>
        </w:rPr>
        <w:sym w:font="Monotype Sorts" w:char="71"/>
      </w:r>
      <w:r>
        <w:rPr>
          <w:sz w:val="20"/>
          <w:szCs w:val="20"/>
        </w:rPr>
        <w:t>Cust. Actg.</w:t>
        <w:tab/>
        <w:tab/>
        <w:t>Acct. Rep.________________</w:t>
      </w:r>
    </w:p>
    <w:p>
      <w:pPr>
        <w:pStyle w:val="Normal"/>
        <w:widowControl/>
        <w:ind w:end="-1080"/>
        <w:rPr/>
      </w:pPr>
      <w:r>
        <w:rPr>
          <w:sz w:val="20"/>
          <w:szCs w:val="20"/>
        </w:rPr>
        <w:tab/>
        <w:tab/>
        <w:tab/>
        <w:tab/>
        <w:tab/>
        <w:tab/>
      </w:r>
      <w:r>
        <w:rPr>
          <w:rFonts w:ascii="Monotype Sorts" w:hAnsi="Monotype Sorts"/>
          <w:sz w:val="20"/>
          <w:szCs w:val="20"/>
        </w:rPr>
        <w:sym w:font="Monotype Sorts" w:char="71"/>
      </w:r>
      <w:r>
        <w:rPr>
          <w:sz w:val="20"/>
          <w:szCs w:val="20"/>
        </w:rPr>
        <w:t>Elec. Supply</w:t>
        <w:tab/>
        <w:tab/>
        <w:t>Rep. Ph. No.______________</w:t>
      </w:r>
    </w:p>
    <w:p>
      <w:pPr>
        <w:pStyle w:val="Normal"/>
        <w:widowControl/>
        <w:ind w:end="-1080"/>
        <w:rPr>
          <w:sz w:val="20"/>
          <w:szCs w:val="20"/>
        </w:rPr>
      </w:pPr>
      <w:r>
        <w:rPr>
          <w:sz w:val="20"/>
          <w:szCs w:val="20"/>
        </w:rPr>
        <w:tab/>
        <w:tab/>
        <w:tab/>
        <w:tab/>
        <w:tab/>
        <w:tab/>
        <w:tab/>
        <w:tab/>
        <w:tab/>
        <w:t>Circuit No. _______________</w:t>
      </w:r>
    </w:p>
    <w:p>
      <w:pPr>
        <w:pStyle w:val="Normal"/>
        <w:widowControl/>
        <w:ind w:end="-1080"/>
        <w:rPr>
          <w:sz w:val="20"/>
          <w:szCs w:val="20"/>
        </w:rPr>
      </w:pPr>
      <w:r>
        <w:rPr>
          <w:sz w:val="20"/>
          <w:szCs w:val="20"/>
        </w:rPr>
      </w:r>
    </w:p>
    <w:p>
      <w:pPr>
        <w:pStyle w:val="Normal"/>
        <w:widowControl/>
        <w:tabs>
          <w:tab w:val="clear" w:pos="720"/>
          <w:tab w:val="left" w:pos="8370" w:leader="none"/>
        </w:tabs>
        <w:rPr>
          <w:sz w:val="20"/>
          <w:szCs w:val="20"/>
        </w:rPr>
      </w:pPr>
      <w:r>
        <w:rPr>
          <w:sz w:val="20"/>
          <w:szCs w:val="20"/>
        </w:rPr>
      </w:r>
    </w:p>
    <w:p>
      <w:pPr>
        <w:pStyle w:val="Normal"/>
        <w:widowControl/>
        <w:tabs>
          <w:tab w:val="clear" w:pos="720"/>
          <w:tab w:val="left" w:pos="8370" w:leader="none"/>
        </w:tabs>
        <w:jc w:val="both"/>
        <w:rPr>
          <w:sz w:val="20"/>
          <w:szCs w:val="20"/>
        </w:rPr>
      </w:pPr>
      <w:r>
        <w:rPr>
          <w:sz w:val="20"/>
          <w:szCs w:val="20"/>
        </w:rPr>
        <w:t>___________________________________________, a(n)__________________________________ (Applicant), and Pacific Gas and Electric Company, a California Corporation (the Company), hereby agree to the following supplemental terms and conditions:</w:t>
      </w:r>
    </w:p>
    <w:p>
      <w:pPr>
        <w:pStyle w:val="Normal"/>
        <w:widowControl/>
        <w:tabs>
          <w:tab w:val="clear" w:pos="720"/>
          <w:tab w:val="left" w:pos="8370" w:leader="none"/>
        </w:tabs>
        <w:jc w:val="both"/>
        <w:rPr>
          <w:sz w:val="20"/>
          <w:szCs w:val="20"/>
        </w:rPr>
      </w:pPr>
      <w:r>
        <w:rPr>
          <w:sz w:val="20"/>
          <w:szCs w:val="20"/>
        </w:rPr>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RATE SCHEDULE</w:t>
      </w:r>
      <w:r>
        <w:rPr>
          <w:sz w:val="20"/>
          <w:szCs w:val="20"/>
        </w:rPr>
        <w:t>:  Applicant must qualify for and receive service to Applicant’s premises under an applicable PG&amp;E Rate Schedule. Additionally, Applicant is subject to the provisions of Schedule E-OBMC, which is attached hereto and made a part hereof as Attachment A and any other applicable Company Electric Rate Schedule(s).</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PLAN OPERATION</w:t>
      </w:r>
      <w:r>
        <w:rPr>
          <w:sz w:val="20"/>
          <w:szCs w:val="20"/>
        </w:rPr>
        <w:t>:  Applicant agrees to operate its Optional Binding Mandatory Curtailment (OBMC) Plan upon each and every notice from the Company for the entire duration of the Rotating Outage (RO).</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APPLICANT RESPONSIBILITIES</w:t>
      </w:r>
      <w:r>
        <w:rPr>
          <w:sz w:val="20"/>
          <w:szCs w:val="20"/>
        </w:rPr>
        <w:t>:  Upon notice from the Company, Applicant is responsible to reduce its load such that the load on the entire circuit or dedicated substation serving the Applicant is at or below the required Maximum Load Level (MLL).  Load reductions must be achieved as quickly as possible but no later than 15 minutes after the Applicant receives notification from PG&amp;E.  If Applicant’s OBMC Plan is submitted for a group of customers on a particular circuit, Applicant is the lead customer for the OBMC Plan and shall guarantee the load reductions required to reach the MLLs and pay for all non-compliance penalties.  Applicant is responsible to work and coordinate with the non-lead customer(s) on its circuit and represent the non-lead customers for the purposes of the OBMC Plan.</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PARTICIPATION IN CAPACITY INTERRUPTIBLE PROGRAMS:</w:t>
      </w:r>
      <w:r>
        <w:rPr>
          <w:sz w:val="20"/>
          <w:szCs w:val="20"/>
        </w:rPr>
        <w:t xml:space="preserve">  Applicant may participate in a capacity interruptible program such as the Company’s Base Interruptible Program offered under Schedule E-BIP provided the program requires the reduction of load to a pre-established firm service level.  The Applicant shall not participate in the California Independent System Operator’s Demand Relief Program (DRP) or in a PG&amp;E program that aggregates load for the CAISO’s DRP.  The Applicant may participate in a voluntary demand response program such as the Company’s program offered under Schedule E-VDRP but shall not be paid for any load reductions occurring during an OBMC operation. </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OBMC PLAN NOT A GUARANTEE</w:t>
      </w:r>
      <w:r>
        <w:rPr>
          <w:sz w:val="20"/>
          <w:szCs w:val="20"/>
        </w:rPr>
        <w:t>:  An OBMC Plan is not a guarantee against Applicant being subject to a rotating outage.  Daily and emergency switching may cause the circuit to become subject to rotating outages.  Applicant may not receive advance notice from the Company of such a rotating outage. Additionally, an OBMC Plan is applicable only to electrical emergencies requiring a rotating outage and it does not prevent Applicant from being subject to outages caused by other load shedding schemes.</w:t>
      </w:r>
    </w:p>
    <w:p>
      <w:pPr>
        <w:pStyle w:val="WW-BodyText2"/>
        <w:numPr>
          <w:ilvl w:val="0"/>
          <w:numId w:val="0"/>
        </w:numPr>
        <w:ind w:hanging="0" w:start="360"/>
        <w:rPr/>
      </w:pPr>
      <w:r>
        <w:rPr/>
        <w:t>PG&amp;E will make reasonable efforts to notify Applicant of circuit changes other than short-term or emergency circuit changes.</w:t>
      </w:r>
    </w:p>
    <w:p>
      <w:pPr>
        <w:pStyle w:val="WW-BodyText2"/>
        <w:numPr>
          <w:ilvl w:val="0"/>
          <w:numId w:val="0"/>
        </w:numPr>
        <w:ind w:hanging="0" w:start="360"/>
        <w:rPr/>
      </w:pPr>
      <w:r>
        <w:rPr/>
        <w:t>Pursuant to Electric Rule 14, the Company does not guarantee continuity or sufficiency of supply and will not be liable for interruption or shortage or insufficiency of supply.</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ANNUAL REVIEW</w:t>
      </w:r>
      <w:r>
        <w:rPr>
          <w:sz w:val="20"/>
          <w:szCs w:val="20"/>
        </w:rPr>
        <w:t>:  Applicant must update the OBMC Plan by March 15 of each year and confirm with the Company any changes to the previous version. Should Applicant fail to update the OBMC Plan by March 15 this agreement will be terminated.</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PARTICIPATION IN OBMC PLAN</w:t>
      </w:r>
      <w:r>
        <w:rPr>
          <w:sz w:val="20"/>
          <w:szCs w:val="20"/>
        </w:rPr>
        <w:t>:  The Applicant’s OBMC Plan may become invalid over time due to circuit rearrangements or load additions, which result in the MLLs becoming unachievable.  Therefore, the Applicant is not guaranteed the ability to participate in an OBMC Plan.</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APPLICANT INFORMATION</w:t>
      </w:r>
      <w:r>
        <w:rPr>
          <w:sz w:val="20"/>
          <w:szCs w:val="20"/>
        </w:rPr>
        <w:t>:  Applicant’s OBMC Plan must include the minimum information contained in the OBMC Plan Template, which is attached hereto as Appendix A.  Applicant’s OBMC plan must include the Applicant’s name, PG&amp;E account number, electric rate schedule, service address, mailing address, and contact information including contact name, e-mail address, and alphanumeric pager and facsimile numbers. Applicant’s OBMC Plan must also include non-lead customer information including name(s), PG&amp;E account number(s), service address(es), mailing address(es) and contact information.</w:t>
      </w:r>
    </w:p>
    <w:p>
      <w:pPr>
        <w:pStyle w:val="WW-BodyText2"/>
        <w:rPr/>
      </w:pPr>
      <w:r>
        <w:rPr/>
        <w:t>The Applicant’s OBMC Plan shall include Applicant’s load reduction plan that has been reviewed and approved by the Company.  The load reduction plan shall indicate the specific quantifiable measures to be used by the Applicant and non-lead customers to reduce load to or below each MLL.  The load reduction plan must include the load reduction measures to be utilized during different time periods of the year to achieve the required load reductions when seasonal load profile changes occur.  Applicant is responsible for preparing and maintaining the load reduction plan.</w:t>
      </w:r>
    </w:p>
    <w:p>
      <w:pPr>
        <w:pStyle w:val="Normal"/>
        <w:widowControl/>
        <w:numPr>
          <w:ilvl w:val="0"/>
          <w:numId w:val="2"/>
        </w:numPr>
        <w:tabs>
          <w:tab w:val="clear" w:pos="720"/>
          <w:tab w:val="left" w:pos="0" w:leader="none"/>
          <w:tab w:val="left" w:pos="8010" w:leader="none"/>
        </w:tabs>
        <w:spacing w:before="0" w:after="120"/>
        <w:ind w:hanging="720" w:start="720" w:end="0"/>
        <w:jc w:val="both"/>
        <w:rPr/>
      </w:pPr>
      <w:r>
        <w:rPr>
          <w:sz w:val="20"/>
          <w:szCs w:val="20"/>
          <w:u w:val="single"/>
        </w:rPr>
        <w:t>BASELINE LOAD</w:t>
      </w:r>
      <w:r>
        <w:rPr>
          <w:sz w:val="20"/>
          <w:szCs w:val="20"/>
        </w:rPr>
        <w:t>:  The baseline load for the dedicated substation or PG&amp;E circuit that provides service to the customer(s) is equal to the average recorded hourly usage amount (if available) for the same hours as the OBMC operation hours on the immediate past ten (10) similar days, either business days or weekends and holidays, excluding days when the customer was paid to reduce load and days when the OBMC program operated.  The baseline load shall be adjusted to account for any load on the circuit that is participating in a Company or CAISO load reduction program.</w:t>
      </w:r>
    </w:p>
    <w:p>
      <w:pPr>
        <w:pStyle w:val="Normal"/>
        <w:numPr>
          <w:ilvl w:val="0"/>
          <w:numId w:val="2"/>
        </w:numPr>
        <w:tabs>
          <w:tab w:val="clear" w:pos="720"/>
          <w:tab w:val="left" w:pos="0" w:leader="none"/>
        </w:tabs>
        <w:spacing w:before="0" w:after="120"/>
        <w:ind w:hanging="720" w:start="720" w:end="0"/>
        <w:jc w:val="both"/>
        <w:rPr/>
      </w:pPr>
      <w:r>
        <w:rPr>
          <w:sz w:val="20"/>
          <w:szCs w:val="20"/>
          <w:u w:val="single"/>
        </w:rPr>
        <w:t>MAXIMUM LOAD LEVELS</w:t>
      </w:r>
      <w:r>
        <w:rPr>
          <w:sz w:val="20"/>
          <w:szCs w:val="20"/>
        </w:rPr>
        <w:t>:  Maximum Load Levels (MLLs) are established by the Company corresponding to each of the 5, 10, and 15 percent load reduction levels.</w:t>
      </w:r>
    </w:p>
    <w:p>
      <w:pPr>
        <w:pStyle w:val="Normal"/>
        <w:numPr>
          <w:ilvl w:val="0"/>
          <w:numId w:val="0"/>
        </w:numPr>
        <w:ind w:hanging="0" w:start="360" w:end="0"/>
        <w:jc w:val="both"/>
        <w:rPr>
          <w:sz w:val="20"/>
          <w:szCs w:val="20"/>
        </w:rPr>
      </w:pPr>
      <w:r>
        <w:rPr>
          <w:sz w:val="20"/>
          <w:szCs w:val="20"/>
        </w:rPr>
        <w:t>The following methodology shall apply when a) Applicant is not participating in a capacity interruptible program, b) Applicant is participating in a capacity interruptible program and Applicant’s baseline is less than Applicant’s capacity interruptible program firm service level (FSL), and c) Applicant is participating in a capacity interruptible program and Applicant has met their annual curtailment obligation under that program:</w:t>
      </w:r>
    </w:p>
    <w:p>
      <w:pPr>
        <w:pStyle w:val="Normal"/>
        <w:numPr>
          <w:ilvl w:val="0"/>
          <w:numId w:val="0"/>
        </w:numPr>
        <w:ind w:hanging="0" w:start="360" w:end="0"/>
        <w:jc w:val="both"/>
        <w:rPr>
          <w:sz w:val="20"/>
          <w:szCs w:val="20"/>
        </w:rPr>
      </w:pPr>
      <w:r>
        <w:rPr>
          <w:sz w:val="20"/>
          <w:szCs w:val="20"/>
        </w:rPr>
        <w:t>The MLL for the 5 percent load reduction is equal to the product of the baseline times 0.95.</w:t>
      </w:r>
    </w:p>
    <w:p>
      <w:pPr>
        <w:pStyle w:val="Normal"/>
        <w:numPr>
          <w:ilvl w:val="0"/>
          <w:numId w:val="0"/>
        </w:numPr>
        <w:ind w:hanging="0" w:start="360" w:end="0"/>
        <w:jc w:val="both"/>
        <w:rPr>
          <w:sz w:val="20"/>
          <w:szCs w:val="20"/>
        </w:rPr>
      </w:pPr>
      <w:r>
        <w:rPr>
          <w:sz w:val="20"/>
          <w:szCs w:val="20"/>
        </w:rPr>
        <w:t>The MLL for the 10 percent load reduction is equal to the product of the baseline times 0.90.</w:t>
      </w:r>
    </w:p>
    <w:p>
      <w:pPr>
        <w:pStyle w:val="Normal"/>
        <w:numPr>
          <w:ilvl w:val="0"/>
          <w:numId w:val="0"/>
        </w:numPr>
        <w:spacing w:before="0" w:after="120"/>
        <w:ind w:hanging="0" w:start="360" w:end="0"/>
        <w:jc w:val="both"/>
        <w:rPr>
          <w:sz w:val="20"/>
          <w:szCs w:val="20"/>
        </w:rPr>
      </w:pPr>
      <w:r>
        <w:rPr>
          <w:sz w:val="20"/>
          <w:szCs w:val="20"/>
        </w:rPr>
        <w:t>The MLL for the 15 percent load reduction is equal to the product of the baseline times 0.85.</w:t>
      </w:r>
    </w:p>
    <w:p>
      <w:pPr>
        <w:pStyle w:val="Normal"/>
        <w:numPr>
          <w:ilvl w:val="0"/>
          <w:numId w:val="0"/>
        </w:numPr>
        <w:ind w:hanging="0" w:start="360" w:end="0"/>
        <w:jc w:val="both"/>
        <w:rPr>
          <w:sz w:val="20"/>
          <w:szCs w:val="20"/>
        </w:rPr>
      </w:pPr>
      <w:r>
        <w:rPr>
          <w:sz w:val="20"/>
          <w:szCs w:val="20"/>
        </w:rPr>
        <w:t>The following methodology shall apply when Applicant is participating in a capacity interruptible program and Applicant has not met their annual curtailment obligation under that program and Applicant’s FSL under the capacity interruptible program is less than Applicant’s baseline:</w:t>
      </w:r>
    </w:p>
    <w:p>
      <w:pPr>
        <w:pStyle w:val="Normal"/>
        <w:numPr>
          <w:ilvl w:val="0"/>
          <w:numId w:val="0"/>
        </w:numPr>
        <w:ind w:hanging="0" w:start="360" w:end="0"/>
        <w:jc w:val="both"/>
        <w:rPr>
          <w:sz w:val="20"/>
          <w:szCs w:val="20"/>
        </w:rPr>
      </w:pPr>
      <w:r>
        <w:rPr>
          <w:sz w:val="20"/>
          <w:szCs w:val="20"/>
        </w:rPr>
        <w:t>The MLL for the 5 percent load reduction is equal to the product of the FSL times 0.95.</w:t>
      </w:r>
    </w:p>
    <w:p>
      <w:pPr>
        <w:pStyle w:val="Normal"/>
        <w:numPr>
          <w:ilvl w:val="0"/>
          <w:numId w:val="0"/>
        </w:numPr>
        <w:ind w:hanging="0" w:start="360" w:end="0"/>
        <w:jc w:val="both"/>
        <w:rPr>
          <w:sz w:val="20"/>
          <w:szCs w:val="20"/>
        </w:rPr>
      </w:pPr>
      <w:r>
        <w:rPr>
          <w:sz w:val="20"/>
          <w:szCs w:val="20"/>
        </w:rPr>
        <w:t>The MLL for the 10 percent load reduction is equal to the product of the FSL times 0.90.</w:t>
      </w:r>
    </w:p>
    <w:p>
      <w:pPr>
        <w:pStyle w:val="Normal"/>
        <w:numPr>
          <w:ilvl w:val="0"/>
          <w:numId w:val="0"/>
        </w:numPr>
        <w:spacing w:before="0" w:after="120"/>
        <w:ind w:hanging="0" w:start="360" w:end="0"/>
        <w:jc w:val="both"/>
        <w:rPr>
          <w:sz w:val="20"/>
          <w:szCs w:val="20"/>
        </w:rPr>
      </w:pPr>
      <w:r>
        <w:rPr>
          <w:sz w:val="20"/>
          <w:szCs w:val="20"/>
        </w:rPr>
        <w:t>The MLL for the 15 percent load reduction is equal to the product of the FSL times 0.85.</w:t>
      </w:r>
    </w:p>
    <w:p>
      <w:pPr>
        <w:pStyle w:val="Normal"/>
        <w:widowControl/>
        <w:numPr>
          <w:ilvl w:val="0"/>
          <w:numId w:val="2"/>
        </w:numPr>
        <w:tabs>
          <w:tab w:val="clear" w:pos="720"/>
          <w:tab w:val="left" w:pos="0" w:leader="none"/>
          <w:tab w:val="left" w:pos="8010" w:leader="none"/>
        </w:tabs>
        <w:spacing w:before="0" w:after="120"/>
        <w:ind w:hanging="720" w:start="720" w:end="0"/>
        <w:jc w:val="both"/>
        <w:rPr/>
      </w:pPr>
      <w:r>
        <w:rPr>
          <w:sz w:val="20"/>
          <w:szCs w:val="20"/>
          <w:u w:val="single"/>
        </w:rPr>
        <w:t>MEASURING EQUIPMENT TO VERIFY COMPLIANCE</w:t>
      </w:r>
      <w:r>
        <w:rPr>
          <w:sz w:val="20"/>
          <w:szCs w:val="20"/>
        </w:rPr>
        <w:t xml:space="preserve">: Where the Applicant is on a dedicated circuit, compliance shall be determined from a telephone accessible electric revenue interval meter.  Direct Access Applicants are required to allow the Company telephone access to its electric revenue meter for the purposes of determining OBMC operation compliance.  Where the existing meter is non-interval or is not compatible with the Company’s current telephone based meter reading systems, the customer is required to pay for the installation of an interval meter or other required equipment.  For bundled service applicants, or direct access applicants who elect to have the Company install the equipment, Electric Rule 2 shall apply.  Where a meter is not currently being read via telephone, the Applicant shall coordinate and pay for the installation, and pay all ongoing costs of such necessary telephone equipment and service.  The OBMC Plan shall not be approved by the Company until such metering has been installed and the data is able to be collected via telephone or until the Company is able to access the customer-owned meter.  </w:t>
      </w:r>
    </w:p>
    <w:p>
      <w:pPr>
        <w:pStyle w:val="WW-BodyText2"/>
        <w:rPr/>
      </w:pPr>
      <w:r>
        <w:rPr/>
        <w:t>Where the Applicant is served from a PG&amp;E or Applicant owned substation, or is not on a dedicated circuit, or if the OBMC Plan includes a group of customers, compliance for the circuit or dedicated substation shall be determined from electronic recording equipment located in the PG&amp;E substation.  Where the circuit does not have electronic recording equipment to monitor its loads, the Applicant shall pay for the installation of the equipment as Special Facilities pursuant to Electric Rule 2.  The OBMC Plan shall not be approved by the Company until such electronic recording equipment has been installed, made operational and the recorded load data accessible via telephone.</w:t>
      </w:r>
    </w:p>
    <w:p>
      <w:pPr>
        <w:pStyle w:val="WW-BodyText2"/>
        <w:numPr>
          <w:ilvl w:val="0"/>
          <w:numId w:val="3"/>
        </w:numPr>
        <w:tabs>
          <w:tab w:val="clear" w:pos="360"/>
          <w:tab w:val="clear" w:pos="8370"/>
          <w:tab w:val="left" w:pos="0" w:leader="none"/>
          <w:tab w:val="left" w:pos="8010" w:leader="none"/>
        </w:tabs>
        <w:ind w:hanging="720" w:start="720" w:end="0"/>
        <w:rPr/>
      </w:pPr>
      <w:r>
        <w:rPr>
          <w:u w:val="single"/>
        </w:rPr>
        <w:t>FAILURE TO COMPLY AND NON</w:t>
        <w:noBreakHyphen/>
        <w:t>COMPLIANCE PENALTIES</w:t>
      </w:r>
      <w:r>
        <w:rPr/>
        <w:t>: Failure to meet the MLLs established by an OBMC Plan within 15 minutes of notification by the Company shall result in a non</w:t>
        <w:noBreakHyphen/>
        <w:t xml:space="preserve">compliance penalty for the Applicant.  The non-compliance penalty shall be equal to $6.00 per KWH times the average total load on the applicable circuit less the required MLL, as measured during each hour of the RO.  Failure to pay these penalties may result in termination of electric service pursuant to Electric Rule 11.  The Company shall, without liability, terminate any OBMC Plan immediately for failure to reduce circuit load levels to within five (5) percent of the required load reduction for the entire duration of the RO for a second time during a twelve (12) month period .  Such termination shall occur if the Applicant and non-lead customers bound by the OBMC Plan have not met or are unable to meet the load relief criteria specified therein.  If an OBMC Plan is terminated for non-compliance, participants in the plan shall not be permitted to participate in an OBMC Plan for a period of five (5) years from the date of termination. </w:t>
      </w:r>
    </w:p>
    <w:p>
      <w:pPr>
        <w:pStyle w:val="Normal"/>
        <w:widowControl/>
        <w:numPr>
          <w:ilvl w:val="0"/>
          <w:numId w:val="3"/>
        </w:numPr>
        <w:tabs>
          <w:tab w:val="clear" w:pos="720"/>
          <w:tab w:val="left" w:pos="0" w:leader="none"/>
          <w:tab w:val="left" w:pos="8010" w:leader="none"/>
        </w:tabs>
        <w:spacing w:before="0" w:after="120"/>
        <w:ind w:hanging="720" w:start="720" w:end="0"/>
        <w:jc w:val="both"/>
        <w:rPr/>
      </w:pPr>
      <w:r>
        <w:rPr>
          <w:sz w:val="20"/>
          <w:szCs w:val="20"/>
          <w:u w:val="single"/>
        </w:rPr>
        <w:t>TERM OF AGREEMENT AND TERMINATION OF AGREEMENT</w:t>
      </w:r>
      <w:r>
        <w:rPr>
          <w:sz w:val="20"/>
          <w:szCs w:val="20"/>
        </w:rPr>
        <w:t>:  This OBMC Agreement shall have an initial term of one (1) year but may be extended from year to year, after annual review, with the written approval of the Company.  The annual term shall commence upon the effective start date specified in the Company approval letter.</w:t>
      </w:r>
    </w:p>
    <w:p>
      <w:pPr>
        <w:pStyle w:val="WW-BodyText2"/>
        <w:numPr>
          <w:ilvl w:val="0"/>
          <w:numId w:val="0"/>
        </w:numPr>
        <w:ind w:hanging="0" w:start="360"/>
        <w:rPr/>
      </w:pPr>
      <w:r>
        <w:rPr/>
        <w:t>Except as specified in Section 11 above, the Applicant or the Company may terminate the OBMC Plan upon thirty (30) days' written notice prior to the end of the agreement term.  If the Applicant or the Company terminates the OBMC Plan, the Applicant shall not be party to a subsequent OBMC Plan for a period of at least twelve (12) months. Upon termination, regardless of the cause, the circuit will be assigned a Rotating Outage Block (ROB), which may or may not be the same as when the OBMC Plan was initiated.</w:t>
      </w:r>
    </w:p>
    <w:p>
      <w:pPr>
        <w:pStyle w:val="Normal"/>
        <w:widowControl/>
        <w:numPr>
          <w:ilvl w:val="0"/>
          <w:numId w:val="3"/>
        </w:numPr>
        <w:tabs>
          <w:tab w:val="clear" w:pos="720"/>
          <w:tab w:val="left" w:pos="0" w:leader="none"/>
          <w:tab w:val="left" w:pos="8010" w:leader="none"/>
        </w:tabs>
        <w:spacing w:before="0" w:after="120"/>
        <w:ind w:hanging="720" w:start="720" w:end="0"/>
        <w:jc w:val="both"/>
        <w:rPr/>
      </w:pPr>
      <w:r>
        <w:rPr>
          <w:sz w:val="20"/>
          <w:szCs w:val="20"/>
          <w:u w:val="single"/>
        </w:rPr>
        <w:t>INSTALLATION OF FACILITIES</w:t>
      </w:r>
      <w:r>
        <w:rPr>
          <w:sz w:val="20"/>
          <w:szCs w:val="20"/>
        </w:rPr>
        <w:t>: Applicant hereby grants to the Company permission to furnish, install, operate and maintain upon the property of Applicant, such facilities as the Company deems necessary for its performance under this Agreement including any work incident to rendering service under this Agreement.  All facilities installed pursuant to this license shall be and remain the property of the Company.  This license shall expire coincident with the expiration or termination of this Agreement and the Company shall have a reasonable period of time to remove facilities installed pursuant to this Agreement and license.</w:t>
      </w:r>
    </w:p>
    <w:p>
      <w:pPr>
        <w:pStyle w:val="Normal"/>
        <w:widowControl/>
        <w:numPr>
          <w:ilvl w:val="0"/>
          <w:numId w:val="3"/>
        </w:numPr>
        <w:tabs>
          <w:tab w:val="clear" w:pos="720"/>
          <w:tab w:val="left" w:pos="0" w:leader="none"/>
          <w:tab w:val="left" w:pos="8010" w:leader="none"/>
        </w:tabs>
        <w:spacing w:before="0" w:after="120"/>
        <w:ind w:hanging="720" w:start="720" w:end="0"/>
        <w:jc w:val="both"/>
        <w:rPr/>
      </w:pPr>
      <w:r>
        <w:rPr>
          <w:sz w:val="20"/>
          <w:szCs w:val="20"/>
          <w:u w:val="single"/>
        </w:rPr>
        <w:t>INDEMNIFICATION</w:t>
      </w:r>
      <w:r>
        <w:rPr>
          <w:sz w:val="20"/>
          <w:szCs w:val="20"/>
        </w:rPr>
        <w:t>: The Applicant shall indemnify and hold harmless the Company against any and all claims or liabilities for losses, expenses, damage to property, injury to or death of any person or any other liability incurred by the Company, including reasonable expenses, legal and otherwise, caused wholly or in part by modifications to the OBMC program, circuit configuration, circuit loading, or operational conditions associated with rotating outages or other circuit outages or interruptions.  This indemnification shall only be inapplicable where the loss, damage, injury, or expense arises out of the sole negligence or willful misconduct of the Company.</w:t>
      </w:r>
      <w:r>
        <w:br w:type="page"/>
      </w:r>
    </w:p>
    <w:p>
      <w:pPr>
        <w:pStyle w:val="Normal"/>
        <w:widowControl/>
        <w:numPr>
          <w:ilvl w:val="0"/>
          <w:numId w:val="3"/>
        </w:numPr>
        <w:tabs>
          <w:tab w:val="clear" w:pos="720"/>
          <w:tab w:val="left" w:pos="0" w:leader="none"/>
          <w:tab w:val="left" w:pos="8010" w:leader="none"/>
        </w:tabs>
        <w:spacing w:before="0" w:after="120"/>
        <w:ind w:hanging="720" w:start="720" w:end="0"/>
        <w:jc w:val="both"/>
        <w:rPr/>
      </w:pPr>
      <w:r>
        <w:rPr>
          <w:sz w:val="20"/>
          <w:szCs w:val="20"/>
          <w:u w:val="single"/>
        </w:rPr>
        <w:t>ASSIGNMENT</w:t>
      </w:r>
      <w:r>
        <w:rPr>
          <w:sz w:val="20"/>
          <w:szCs w:val="20"/>
        </w:rPr>
        <w:t>:  Applicant may assign this Agreement only if the Company consents in writing and only if the party to whom the Agreement is assigned is otherwise eligible to take service under Schedule OBMC and agrees in writing to perform the obligations of Applicant hereunder and to be bound by this Agreement in all respects.</w:t>
      </w:r>
    </w:p>
    <w:p>
      <w:pPr>
        <w:pStyle w:val="Normal"/>
        <w:widowControl/>
        <w:numPr>
          <w:ilvl w:val="0"/>
          <w:numId w:val="3"/>
        </w:numPr>
        <w:tabs>
          <w:tab w:val="clear" w:pos="720"/>
          <w:tab w:val="left" w:pos="0" w:leader="none"/>
          <w:tab w:val="left" w:pos="8010" w:leader="none"/>
        </w:tabs>
        <w:spacing w:before="0" w:after="120"/>
        <w:ind w:hanging="360" w:start="720" w:end="0"/>
        <w:jc w:val="both"/>
        <w:rPr/>
      </w:pPr>
      <w:r>
        <w:rPr>
          <w:sz w:val="20"/>
          <w:szCs w:val="20"/>
          <w:u w:val="single"/>
        </w:rPr>
        <w:t>COMMISSION JURISDICTION</w:t>
      </w:r>
      <w:r>
        <w:rPr>
          <w:sz w:val="20"/>
          <w:szCs w:val="20"/>
        </w:rPr>
        <w:t>:  This Agreement shall be subject to all of the Company’s tariff schedules on file with and authorized by the California Public Utilities Commission (Commission) and shall at all times be subject to such changes or modifications as the Commission may direct from time to time in the exercise of its jurisdiction.</w:t>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t>Executed this _____day of ____________, 200_.</w:t>
      </w:r>
    </w:p>
    <w:p>
      <w:pPr>
        <w:pStyle w:val="Normal"/>
        <w:widowControl/>
        <w:tabs>
          <w:tab w:val="clear" w:pos="720"/>
          <w:tab w:val="left" w:pos="4050" w:leader="none"/>
          <w:tab w:val="left" w:pos="8370" w:leader="none"/>
        </w:tabs>
        <w:rPr>
          <w:sz w:val="20"/>
          <w:szCs w:val="20"/>
        </w:rPr>
      </w:pPr>
      <w:r>
        <w:rPr>
          <w:sz w:val="20"/>
          <w:szCs w:val="20"/>
        </w:rPr>
      </w:r>
    </w:p>
    <w:tbl>
      <w:tblPr>
        <w:tblW w:w="8698" w:type="dxa"/>
        <w:jc w:val="start"/>
        <w:tblInd w:w="0" w:type="dxa"/>
        <w:tblLayout w:type="fixed"/>
        <w:tblCellMar>
          <w:top w:w="0" w:type="dxa"/>
          <w:start w:w="108" w:type="dxa"/>
          <w:bottom w:w="0" w:type="dxa"/>
          <w:end w:w="108" w:type="dxa"/>
        </w:tblCellMar>
      </w:tblPr>
      <w:tblGrid>
        <w:gridCol w:w="4349"/>
        <w:gridCol w:w="4349"/>
      </w:tblGrid>
      <w:tr>
        <w:trPr>
          <w:trHeight w:val="270" w:hRule="atLeast"/>
        </w:trPr>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____________________________________</w:t>
            </w:r>
          </w:p>
        </w:tc>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____________________________________</w:t>
            </w:r>
          </w:p>
        </w:tc>
      </w:tr>
      <w:tr>
        <w:trPr>
          <w:trHeight w:val="270" w:hRule="atLeast"/>
        </w:trPr>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Applicant</w:t>
            </w:r>
          </w:p>
        </w:tc>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PACIFIC GAS AND ELECTRIC COMPANY</w:t>
            </w:r>
          </w:p>
        </w:tc>
      </w:tr>
      <w:tr>
        <w:trPr>
          <w:trHeight w:val="270" w:hRule="atLeast"/>
        </w:trPr>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By: _________________________________</w:t>
            </w:r>
          </w:p>
        </w:tc>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By: _________________________________</w:t>
            </w:r>
          </w:p>
        </w:tc>
      </w:tr>
      <w:tr>
        <w:trPr>
          <w:trHeight w:val="270" w:hRule="atLeast"/>
        </w:trPr>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Signature</w:t>
            </w:r>
          </w:p>
        </w:tc>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Signature</w:t>
            </w:r>
          </w:p>
        </w:tc>
      </w:tr>
      <w:tr>
        <w:trPr>
          <w:trHeight w:val="270" w:hRule="atLeast"/>
        </w:trPr>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____________________________________</w:t>
            </w:r>
          </w:p>
        </w:tc>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____________________________________</w:t>
            </w:r>
          </w:p>
        </w:tc>
      </w:tr>
      <w:tr>
        <w:trPr>
          <w:trHeight w:val="270" w:hRule="atLeast"/>
        </w:trPr>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(Type or print name)</w:t>
            </w:r>
          </w:p>
        </w:tc>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(Type or print name)</w:t>
            </w:r>
          </w:p>
        </w:tc>
      </w:tr>
      <w:tr>
        <w:trPr>
          <w:trHeight w:val="270" w:hRule="atLeast"/>
        </w:trPr>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Title: ________________________________</w:t>
            </w:r>
          </w:p>
        </w:tc>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Title: ________________________________</w:t>
            </w:r>
          </w:p>
        </w:tc>
      </w:tr>
    </w:tbl>
    <w:p>
      <w:pPr>
        <w:pStyle w:val="Normal"/>
        <w:widowControl/>
        <w:ind w:end="-1080"/>
        <w:rPr>
          <w:sz w:val="20"/>
          <w:szCs w:val="20"/>
        </w:rPr>
      </w:pPr>
      <w:r>
        <w:rPr>
          <w:sz w:val="20"/>
          <w:szCs w:val="20"/>
        </w:rPr>
      </w:r>
    </w:p>
    <w:p>
      <w:pPr>
        <w:pStyle w:val="Normal"/>
        <w:widowControl/>
        <w:ind w:end="-1080"/>
        <w:rPr>
          <w:sz w:val="20"/>
          <w:szCs w:val="20"/>
        </w:rPr>
      </w:pPr>
      <w:r>
        <w:rPr>
          <w:sz w:val="20"/>
          <w:szCs w:val="20"/>
        </w:rPr>
      </w:r>
    </w:p>
    <w:p>
      <w:pPr>
        <w:pStyle w:val="Normal"/>
        <w:widowControl/>
        <w:ind w:end="-1080"/>
        <w:rPr>
          <w:sz w:val="20"/>
          <w:szCs w:val="20"/>
        </w:rPr>
      </w:pPr>
      <w:r>
        <w:rPr>
          <w:sz w:val="20"/>
          <w:szCs w:val="20"/>
        </w:rPr>
      </w:r>
    </w:p>
    <w:p>
      <w:pPr>
        <w:pStyle w:val="Normal"/>
        <w:widowControl/>
        <w:ind w:end="-1080"/>
        <w:rPr>
          <w:sz w:val="20"/>
          <w:szCs w:val="20"/>
        </w:rPr>
      </w:pPr>
      <w:r>
        <w:rPr>
          <w:sz w:val="20"/>
          <w:szCs w:val="20"/>
        </w:rPr>
      </w:r>
    </w:p>
    <w:p>
      <w:pPr>
        <w:pStyle w:val="Normal"/>
        <w:widowControl/>
        <w:ind w:end="-1080"/>
        <w:rPr>
          <w:sz w:val="20"/>
          <w:szCs w:val="20"/>
        </w:rPr>
      </w:pPr>
      <w:r>
        <w:rPr>
          <w:sz w:val="20"/>
          <w:szCs w:val="20"/>
        </w:rPr>
      </w:r>
    </w:p>
    <w:p>
      <w:pPr>
        <w:pStyle w:val="Normal"/>
        <w:widowControl/>
        <w:ind w:end="-1080"/>
        <w:rPr>
          <w:sz w:val="20"/>
          <w:szCs w:val="20"/>
        </w:rPr>
      </w:pPr>
      <w:r>
        <w:rPr>
          <w:sz w:val="20"/>
          <w:szCs w:val="20"/>
        </w:rPr>
      </w:r>
    </w:p>
    <w:tbl>
      <w:tblPr>
        <w:tblW w:w="7938" w:type="dxa"/>
        <w:jc w:val="start"/>
        <w:tblInd w:w="0" w:type="dxa"/>
        <w:tblLayout w:type="fixed"/>
        <w:tblCellMar>
          <w:top w:w="0" w:type="dxa"/>
          <w:start w:w="108" w:type="dxa"/>
          <w:bottom w:w="0" w:type="dxa"/>
          <w:end w:w="108" w:type="dxa"/>
        </w:tblCellMar>
      </w:tblPr>
      <w:tblGrid>
        <w:gridCol w:w="7938"/>
      </w:tblGrid>
      <w:tr>
        <w:trPr/>
        <w:tc>
          <w:tcPr>
            <w:tcW w:w="7938" w:type="dxa"/>
            <w:tcBorders/>
          </w:tcPr>
          <w:p>
            <w:pPr>
              <w:pStyle w:val="Normal"/>
              <w:widowControl/>
              <w:ind w:end="-1080"/>
              <w:rPr>
                <w:sz w:val="20"/>
                <w:szCs w:val="20"/>
              </w:rPr>
            </w:pPr>
            <w:r>
              <w:rPr>
                <w:sz w:val="20"/>
                <w:szCs w:val="20"/>
              </w:rPr>
              <w:t>Attachment A:  Schedule E-OBMC - Optional Binding Mandatory Curtailment Plan</w:t>
            </w:r>
          </w:p>
        </w:tc>
      </w:tr>
      <w:tr>
        <w:trPr/>
        <w:tc>
          <w:tcPr>
            <w:tcW w:w="7938" w:type="dxa"/>
            <w:tcBorders/>
          </w:tcPr>
          <w:p>
            <w:pPr>
              <w:pStyle w:val="Normal"/>
              <w:widowControl/>
              <w:snapToGrid w:val="false"/>
              <w:ind w:end="-1080"/>
              <w:rPr>
                <w:sz w:val="20"/>
                <w:szCs w:val="20"/>
              </w:rPr>
            </w:pPr>
            <w:r>
              <w:rPr>
                <w:sz w:val="20"/>
                <w:szCs w:val="20"/>
              </w:rPr>
            </w:r>
          </w:p>
        </w:tc>
      </w:tr>
      <w:tr>
        <w:trPr/>
        <w:tc>
          <w:tcPr>
            <w:tcW w:w="7938" w:type="dxa"/>
            <w:tcBorders/>
          </w:tcPr>
          <w:p>
            <w:pPr>
              <w:pStyle w:val="Normal"/>
              <w:widowControl/>
              <w:snapToGrid w:val="false"/>
              <w:ind w:end="-1080"/>
              <w:rPr>
                <w:sz w:val="20"/>
                <w:szCs w:val="20"/>
              </w:rPr>
            </w:pPr>
            <w:r>
              <w:rPr>
                <w:sz w:val="20"/>
                <w:szCs w:val="20"/>
              </w:rPr>
            </w:r>
          </w:p>
        </w:tc>
      </w:tr>
      <w:tr>
        <w:trPr/>
        <w:tc>
          <w:tcPr>
            <w:tcW w:w="7938" w:type="dxa"/>
            <w:tcBorders/>
          </w:tcPr>
          <w:p>
            <w:pPr>
              <w:pStyle w:val="Normal"/>
              <w:widowControl/>
              <w:ind w:end="-1080"/>
              <w:rPr>
                <w:sz w:val="20"/>
                <w:szCs w:val="20"/>
              </w:rPr>
            </w:pPr>
            <w:r>
              <w:rPr>
                <w:sz w:val="20"/>
                <w:szCs w:val="20"/>
              </w:rPr>
              <w:t>Appendix A:  Optional Binding Mandatory Curtailment Plan Template</w:t>
            </w:r>
          </w:p>
        </w:tc>
      </w:tr>
    </w:tbl>
    <w:p>
      <w:pPr>
        <w:pStyle w:val="Normal"/>
        <w:widowControl/>
        <w:ind w:end="-1080"/>
        <w:rPr>
          <w:sz w:val="20"/>
          <w:szCs w:val="20"/>
        </w:rPr>
      </w:pPr>
      <w:r>
        <w:rPr>
          <w:sz w:val="20"/>
          <w:szCs w:val="20"/>
        </w:rPr>
        <w:t xml:space="preserve"> </w:t>
      </w:r>
    </w:p>
    <w:p>
      <w:pPr>
        <w:pStyle w:val="Normal"/>
        <w:widowControl/>
        <w:ind w:end="-1080"/>
        <w:rPr>
          <w:sz w:val="20"/>
          <w:szCs w:val="20"/>
        </w:rPr>
      </w:pPr>
      <w:r>
        <w:rPr>
          <w:sz w:val="20"/>
          <w:szCs w:val="20"/>
        </w:rPr>
      </w:r>
      <w:r>
        <w:br w:type="page"/>
      </w:r>
    </w:p>
    <w:p>
      <w:pPr>
        <w:pStyle w:val="Header"/>
        <w:jc w:val="center"/>
        <w:rPr>
          <w:sz w:val="20"/>
          <w:szCs w:val="20"/>
        </w:rPr>
      </w:pPr>
      <w:r>
        <w:rPr>
          <w:sz w:val="20"/>
          <w:szCs w:val="20"/>
        </w:rPr>
        <w:t>Appendix A</w:t>
      </w:r>
    </w:p>
    <w:p>
      <w:pPr>
        <w:pStyle w:val="Header"/>
        <w:jc w:val="center"/>
        <w:rPr>
          <w:sz w:val="20"/>
          <w:szCs w:val="20"/>
        </w:rPr>
      </w:pPr>
      <w:r>
        <w:rPr>
          <w:sz w:val="20"/>
          <w:szCs w:val="20"/>
        </w:rPr>
        <w:t>Agreement for Schedule OBMC</w:t>
      </w:r>
    </w:p>
    <w:p>
      <w:pPr>
        <w:pStyle w:val="Header"/>
        <w:jc w:val="center"/>
        <w:rPr>
          <w:sz w:val="20"/>
          <w:szCs w:val="20"/>
        </w:rPr>
      </w:pPr>
      <w:r>
        <w:rPr>
          <w:sz w:val="20"/>
          <w:szCs w:val="20"/>
        </w:rPr>
      </w:r>
    </w:p>
    <w:p>
      <w:pPr>
        <w:pStyle w:val="Header"/>
        <w:jc w:val="center"/>
        <w:rPr>
          <w:sz w:val="20"/>
          <w:szCs w:val="20"/>
        </w:rPr>
      </w:pPr>
      <w:r>
        <w:rPr>
          <w:sz w:val="20"/>
          <w:szCs w:val="20"/>
        </w:rPr>
        <w:t>Optional Binding Mandatory Curtailment Plan Template</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numPr>
          <w:ilvl w:val="0"/>
          <w:numId w:val="4"/>
        </w:numPr>
        <w:tabs>
          <w:tab w:val="clear" w:pos="720"/>
          <w:tab w:val="left" w:pos="0" w:leader="none"/>
        </w:tabs>
        <w:ind w:hanging="360" w:start="720" w:end="0"/>
        <w:rPr>
          <w:sz w:val="20"/>
          <w:szCs w:val="20"/>
        </w:rPr>
      </w:pPr>
      <w:r>
        <w:rPr>
          <w:sz w:val="20"/>
          <w:szCs w:val="20"/>
        </w:rPr>
        <w:t>LEAD CUSTOMER INFORMATION:</w:t>
      </w:r>
    </w:p>
    <w:p>
      <w:pPr>
        <w:pStyle w:val="Normal"/>
        <w:ind w:hanging="360" w:start="360" w:end="0"/>
        <w:rPr>
          <w:sz w:val="20"/>
          <w:szCs w:val="20"/>
        </w:rPr>
      </w:pPr>
      <w:r>
        <w:rPr>
          <w:sz w:val="20"/>
          <w:szCs w:val="20"/>
        </w:rPr>
      </w:r>
    </w:p>
    <w:p>
      <w:pPr>
        <w:pStyle w:val="Normal"/>
        <w:numPr>
          <w:ilvl w:val="0"/>
          <w:numId w:val="5"/>
        </w:numPr>
        <w:tabs>
          <w:tab w:val="clear" w:pos="720"/>
          <w:tab w:val="left" w:pos="0" w:leader="none"/>
        </w:tabs>
        <w:ind w:hanging="720" w:start="1440" w:end="0"/>
        <w:rPr>
          <w:sz w:val="20"/>
          <w:szCs w:val="20"/>
        </w:rPr>
      </w:pPr>
      <w:r>
        <w:rPr>
          <w:sz w:val="20"/>
          <w:szCs w:val="20"/>
        </w:rPr>
        <w:t>Name of customer:_____________________________________________________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PG&amp;E Account Number:_________________________________________________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Electric rate schedule:___________________________________________________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Service address:_______________________________________________________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Mailing address:________________________________________________________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E-mail address:________________________________________________________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Contact information (Note: contact must have backup coverage plans to ensure continuous ability to be contacted at the numbers listed below):</w:t>
      </w:r>
    </w:p>
    <w:p>
      <w:pPr>
        <w:pStyle w:val="Normal"/>
        <w:numPr>
          <w:ilvl w:val="0"/>
          <w:numId w:val="5"/>
        </w:numPr>
        <w:tabs>
          <w:tab w:val="clear" w:pos="720"/>
          <w:tab w:val="left" w:pos="0" w:leader="none"/>
        </w:tabs>
        <w:ind w:hanging="720" w:start="2160" w:end="0"/>
        <w:rPr>
          <w:sz w:val="20"/>
          <w:szCs w:val="20"/>
        </w:rPr>
      </w:pPr>
      <w:r>
        <w:rPr>
          <w:sz w:val="20"/>
          <w:szCs w:val="20"/>
        </w:rPr>
        <w:t>Name of primary contact:___________________________________________</w:t>
      </w:r>
    </w:p>
    <w:p>
      <w:pPr>
        <w:pStyle w:val="Normal"/>
        <w:numPr>
          <w:ilvl w:val="0"/>
          <w:numId w:val="5"/>
        </w:numPr>
        <w:tabs>
          <w:tab w:val="clear" w:pos="720"/>
          <w:tab w:val="left" w:pos="0" w:leader="none"/>
        </w:tabs>
        <w:ind w:hanging="720" w:start="2160" w:end="0"/>
        <w:rPr>
          <w:sz w:val="20"/>
          <w:szCs w:val="20"/>
        </w:rPr>
      </w:pPr>
      <w:r>
        <w:rPr>
          <w:sz w:val="20"/>
          <w:szCs w:val="20"/>
        </w:rPr>
        <w:t>Primary contact telephone number:___________________________________</w:t>
      </w:r>
    </w:p>
    <w:p>
      <w:pPr>
        <w:pStyle w:val="Normal"/>
        <w:numPr>
          <w:ilvl w:val="0"/>
          <w:numId w:val="5"/>
        </w:numPr>
        <w:tabs>
          <w:tab w:val="clear" w:pos="720"/>
          <w:tab w:val="left" w:pos="0" w:leader="none"/>
        </w:tabs>
        <w:ind w:hanging="720" w:start="2160" w:end="0"/>
        <w:rPr>
          <w:sz w:val="20"/>
          <w:szCs w:val="20"/>
        </w:rPr>
      </w:pPr>
      <w:r>
        <w:rPr>
          <w:sz w:val="20"/>
          <w:szCs w:val="20"/>
        </w:rPr>
        <w:t>Alpha-numeric pager address:_______________________________________</w:t>
      </w:r>
    </w:p>
    <w:p>
      <w:pPr>
        <w:pStyle w:val="Normal"/>
        <w:numPr>
          <w:ilvl w:val="0"/>
          <w:numId w:val="5"/>
        </w:numPr>
        <w:tabs>
          <w:tab w:val="clear" w:pos="720"/>
          <w:tab w:val="left" w:pos="0" w:leader="none"/>
        </w:tabs>
        <w:ind w:hanging="720" w:start="2160" w:end="0"/>
        <w:rPr>
          <w:sz w:val="20"/>
          <w:szCs w:val="20"/>
        </w:rPr>
      </w:pPr>
      <w:r>
        <w:rPr>
          <w:sz w:val="20"/>
          <w:szCs w:val="20"/>
        </w:rPr>
        <w:t>Facsimile number_________________________________________________</w:t>
      </w:r>
    </w:p>
    <w:p>
      <w:pPr>
        <w:pStyle w:val="Normal"/>
        <w:numPr>
          <w:ilvl w:val="0"/>
          <w:numId w:val="5"/>
        </w:numPr>
        <w:tabs>
          <w:tab w:val="clear" w:pos="720"/>
          <w:tab w:val="left" w:pos="0" w:leader="none"/>
        </w:tabs>
        <w:ind w:hanging="720" w:start="2160" w:end="0"/>
        <w:rPr>
          <w:sz w:val="20"/>
          <w:szCs w:val="20"/>
        </w:rPr>
      </w:pPr>
      <w:r>
        <w:rPr>
          <w:sz w:val="20"/>
          <w:szCs w:val="20"/>
        </w:rPr>
        <w:t>Name of secondary contact:_________________________________________</w:t>
      </w:r>
    </w:p>
    <w:p>
      <w:pPr>
        <w:pStyle w:val="Normal"/>
        <w:numPr>
          <w:ilvl w:val="0"/>
          <w:numId w:val="5"/>
        </w:numPr>
        <w:tabs>
          <w:tab w:val="clear" w:pos="720"/>
          <w:tab w:val="left" w:pos="0" w:leader="none"/>
        </w:tabs>
        <w:ind w:hanging="720" w:start="2160" w:end="0"/>
        <w:rPr>
          <w:sz w:val="20"/>
          <w:szCs w:val="20"/>
        </w:rPr>
      </w:pPr>
      <w:r>
        <w:rPr>
          <w:sz w:val="20"/>
          <w:szCs w:val="20"/>
        </w:rPr>
        <w:t>Secondary contact telephone number:_________________________________</w:t>
      </w:r>
    </w:p>
    <w:p>
      <w:pPr>
        <w:pStyle w:val="Normal"/>
        <w:numPr>
          <w:ilvl w:val="0"/>
          <w:numId w:val="5"/>
        </w:numPr>
        <w:tabs>
          <w:tab w:val="clear" w:pos="720"/>
          <w:tab w:val="left" w:pos="0" w:leader="none"/>
        </w:tabs>
        <w:ind w:hanging="360" w:start="2160" w:end="0"/>
        <w:rPr>
          <w:sz w:val="20"/>
          <w:szCs w:val="20"/>
        </w:rPr>
      </w:pPr>
      <w:r>
        <w:rPr>
          <w:sz w:val="20"/>
          <w:szCs w:val="20"/>
        </w:rPr>
        <w:t>Alpha-numeric pager address:_______________________________________</w:t>
      </w:r>
    </w:p>
    <w:p>
      <w:pPr>
        <w:pStyle w:val="Normal"/>
        <w:ind w:start="1440" w:end="0"/>
        <w:rPr>
          <w:sz w:val="20"/>
          <w:szCs w:val="20"/>
        </w:rPr>
      </w:pPr>
      <w:r>
        <w:rPr>
          <w:sz w:val="20"/>
          <w:szCs w:val="20"/>
        </w:rPr>
      </w:r>
    </w:p>
    <w:p>
      <w:pPr>
        <w:pStyle w:val="Normal"/>
        <w:ind w:start="1440" w:end="0"/>
        <w:rPr>
          <w:sz w:val="20"/>
          <w:szCs w:val="20"/>
        </w:rPr>
      </w:pPr>
      <w:r>
        <w:rPr>
          <w:sz w:val="20"/>
          <w:szCs w:val="20"/>
        </w:rPr>
      </w:r>
    </w:p>
    <w:p>
      <w:pPr>
        <w:pStyle w:val="Normal"/>
        <w:numPr>
          <w:ilvl w:val="0"/>
          <w:numId w:val="6"/>
        </w:numPr>
        <w:tabs>
          <w:tab w:val="clear" w:pos="720"/>
          <w:tab w:val="left" w:pos="0" w:leader="none"/>
        </w:tabs>
        <w:ind w:hanging="360" w:start="720" w:end="0"/>
        <w:rPr>
          <w:sz w:val="20"/>
          <w:szCs w:val="20"/>
        </w:rPr>
      </w:pPr>
      <w:r>
        <w:rPr>
          <w:sz w:val="20"/>
          <w:szCs w:val="20"/>
        </w:rPr>
        <w:t>NON-LEAD CUSTOMER INFORMATION (if applicable):</w:t>
      </w:r>
    </w:p>
    <w:p>
      <w:pPr>
        <w:pStyle w:val="Normal"/>
        <w:ind w:hanging="360" w:start="360" w:end="0"/>
        <w:rPr>
          <w:sz w:val="20"/>
          <w:szCs w:val="20"/>
        </w:rPr>
      </w:pPr>
      <w:r>
        <w:rPr>
          <w:sz w:val="20"/>
          <w:szCs w:val="20"/>
        </w:rPr>
      </w:r>
    </w:p>
    <w:p>
      <w:pPr>
        <w:pStyle w:val="Normal"/>
        <w:numPr>
          <w:ilvl w:val="0"/>
          <w:numId w:val="7"/>
        </w:numPr>
        <w:tabs>
          <w:tab w:val="clear" w:pos="720"/>
          <w:tab w:val="left" w:pos="0" w:leader="none"/>
        </w:tabs>
        <w:ind w:hanging="720" w:start="1440" w:end="0"/>
        <w:rPr>
          <w:sz w:val="20"/>
          <w:szCs w:val="20"/>
        </w:rPr>
      </w:pPr>
      <w:r>
        <w:rPr>
          <w:sz w:val="20"/>
          <w:szCs w:val="20"/>
        </w:rPr>
        <w:t>Name of customer no. 2: 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PG&amp;E Account Number:___________________________________________________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Service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Mailing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E-mail address:___________________________________________________________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Contact information:</w:t>
      </w:r>
    </w:p>
    <w:p>
      <w:pPr>
        <w:pStyle w:val="Normal"/>
        <w:numPr>
          <w:ilvl w:val="0"/>
          <w:numId w:val="7"/>
        </w:numPr>
        <w:tabs>
          <w:tab w:val="clear" w:pos="720"/>
          <w:tab w:val="left" w:pos="0" w:leader="none"/>
        </w:tabs>
        <w:ind w:hanging="720" w:start="2160" w:end="0"/>
        <w:rPr>
          <w:sz w:val="20"/>
          <w:szCs w:val="20"/>
        </w:rPr>
      </w:pPr>
      <w:r>
        <w:rPr>
          <w:sz w:val="20"/>
          <w:szCs w:val="20"/>
        </w:rPr>
        <w:t>Telephone number:_________________________________________________</w:t>
      </w:r>
    </w:p>
    <w:p>
      <w:pPr>
        <w:pStyle w:val="Normal"/>
        <w:numPr>
          <w:ilvl w:val="0"/>
          <w:numId w:val="7"/>
        </w:numPr>
        <w:tabs>
          <w:tab w:val="clear" w:pos="720"/>
          <w:tab w:val="left" w:pos="0" w:leader="none"/>
        </w:tabs>
        <w:ind w:hanging="720" w:start="2160" w:end="0"/>
        <w:rPr>
          <w:sz w:val="20"/>
          <w:szCs w:val="20"/>
        </w:rPr>
      </w:pPr>
      <w:r>
        <w:rPr>
          <w:sz w:val="20"/>
          <w:szCs w:val="20"/>
        </w:rPr>
        <w:t>Alpha-numeric pager address:________________________________________</w:t>
      </w:r>
    </w:p>
    <w:p>
      <w:pPr>
        <w:pStyle w:val="Normal"/>
        <w:numPr>
          <w:ilvl w:val="0"/>
          <w:numId w:val="7"/>
        </w:numPr>
        <w:tabs>
          <w:tab w:val="clear" w:pos="720"/>
          <w:tab w:val="left" w:pos="0" w:leader="none"/>
        </w:tabs>
        <w:ind w:hanging="720" w:start="2160" w:end="0"/>
        <w:rPr>
          <w:sz w:val="20"/>
          <w:szCs w:val="20"/>
        </w:rPr>
      </w:pPr>
      <w:r>
        <w:rPr>
          <w:sz w:val="20"/>
          <w:szCs w:val="20"/>
        </w:rPr>
        <w:t>Facsimile number__________________________________________________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Name of customer no. 3: 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PG&amp;E Account Number:____________________________________________________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Service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Mailing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E-mail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Contact information:</w:t>
      </w:r>
    </w:p>
    <w:p>
      <w:pPr>
        <w:pStyle w:val="Normal"/>
        <w:numPr>
          <w:ilvl w:val="0"/>
          <w:numId w:val="7"/>
        </w:numPr>
        <w:tabs>
          <w:tab w:val="clear" w:pos="720"/>
          <w:tab w:val="left" w:pos="0" w:leader="none"/>
        </w:tabs>
        <w:ind w:hanging="720" w:start="2160" w:end="0"/>
        <w:rPr>
          <w:sz w:val="20"/>
          <w:szCs w:val="20"/>
        </w:rPr>
      </w:pPr>
      <w:r>
        <w:rPr>
          <w:sz w:val="20"/>
          <w:szCs w:val="20"/>
        </w:rPr>
        <w:t>Telephone number:_________________________________________________</w:t>
      </w:r>
    </w:p>
    <w:p>
      <w:pPr>
        <w:pStyle w:val="Normal"/>
        <w:numPr>
          <w:ilvl w:val="0"/>
          <w:numId w:val="7"/>
        </w:numPr>
        <w:tabs>
          <w:tab w:val="clear" w:pos="720"/>
          <w:tab w:val="left" w:pos="0" w:leader="none"/>
        </w:tabs>
        <w:ind w:hanging="720" w:start="2160" w:end="0"/>
        <w:rPr>
          <w:sz w:val="20"/>
          <w:szCs w:val="20"/>
        </w:rPr>
      </w:pPr>
      <w:r>
        <w:rPr>
          <w:sz w:val="20"/>
          <w:szCs w:val="20"/>
        </w:rPr>
        <w:t>Alpha-numeric pager address: ________________________________________</w:t>
      </w:r>
    </w:p>
    <w:p>
      <w:pPr>
        <w:pStyle w:val="Normal"/>
        <w:numPr>
          <w:ilvl w:val="0"/>
          <w:numId w:val="7"/>
        </w:numPr>
        <w:tabs>
          <w:tab w:val="clear" w:pos="720"/>
          <w:tab w:val="left" w:pos="0" w:leader="none"/>
        </w:tabs>
        <w:ind w:hanging="360" w:start="2160" w:end="0"/>
        <w:rPr>
          <w:sz w:val="20"/>
          <w:szCs w:val="20"/>
        </w:rPr>
      </w:pPr>
      <w:r>
        <w:rPr>
          <w:sz w:val="20"/>
          <w:szCs w:val="20"/>
        </w:rPr>
        <w:t>Facsimile number__________________________________________________</w:t>
      </w:r>
    </w:p>
    <w:p>
      <w:pPr>
        <w:pStyle w:val="Normal"/>
        <w:rPr>
          <w:sz w:val="20"/>
          <w:szCs w:val="20"/>
        </w:rPr>
      </w:pPr>
      <w:r>
        <w:rPr>
          <w:sz w:val="20"/>
          <w:szCs w:val="20"/>
        </w:rPr>
      </w:r>
      <w:r>
        <w:br w:type="page"/>
      </w:r>
    </w:p>
    <w:p>
      <w:pPr>
        <w:pStyle w:val="Normal"/>
        <w:rPr>
          <w:sz w:val="20"/>
          <w:szCs w:val="20"/>
        </w:rPr>
      </w:pPr>
      <w:r>
        <w:rPr>
          <w:sz w:val="20"/>
          <w:szCs w:val="20"/>
        </w:rPr>
      </w:r>
    </w:p>
    <w:p>
      <w:pPr>
        <w:pStyle w:val="Normal"/>
        <w:numPr>
          <w:ilvl w:val="0"/>
          <w:numId w:val="8"/>
        </w:numPr>
        <w:tabs>
          <w:tab w:val="clear" w:pos="720"/>
          <w:tab w:val="left" w:pos="0" w:leader="none"/>
        </w:tabs>
        <w:ind w:hanging="360" w:start="720" w:end="0"/>
        <w:rPr>
          <w:sz w:val="20"/>
          <w:szCs w:val="20"/>
        </w:rPr>
      </w:pPr>
      <w:r>
        <w:rPr>
          <w:sz w:val="20"/>
          <w:szCs w:val="20"/>
        </w:rPr>
        <w:t>CUSTOMER LOAD REDUCTION PLAN:</w:t>
      </w:r>
    </w:p>
    <w:p>
      <w:pPr>
        <w:pStyle w:val="Normal"/>
        <w:ind w:start="720" w:end="0"/>
        <w:rPr>
          <w:sz w:val="20"/>
          <w:szCs w:val="20"/>
        </w:rPr>
      </w:pPr>
      <w:r>
        <w:rPr>
          <w:sz w:val="20"/>
          <w:szCs w:val="20"/>
        </w:rPr>
      </w:r>
    </w:p>
    <w:p>
      <w:pPr>
        <w:pStyle w:val="Normal"/>
        <w:ind w:start="720" w:end="0"/>
        <w:rPr>
          <w:sz w:val="20"/>
          <w:szCs w:val="20"/>
        </w:rPr>
      </w:pPr>
      <w:r>
        <w:rPr>
          <w:sz w:val="20"/>
          <w:szCs w:val="20"/>
        </w:rPr>
        <w:t>List the specific quantifiable measures to be used to reduce load to or below each MLL during the specified season, time of year, production cycle, etc.:____________________________</w:t>
      </w:r>
    </w:p>
    <w:p>
      <w:pPr>
        <w:pStyle w:val="Normal"/>
        <w:ind w:start="720" w:end="0"/>
        <w:rPr>
          <w:sz w:val="20"/>
          <w:szCs w:val="20"/>
        </w:rPr>
      </w:pPr>
      <w:r>
        <w:rPr>
          <w:sz w:val="20"/>
          <w:szCs w:val="20"/>
        </w:rPr>
      </w:r>
    </w:p>
    <w:tbl>
      <w:tblPr>
        <w:tblW w:w="8748" w:type="dxa"/>
        <w:jc w:val="start"/>
        <w:tblInd w:w="468" w:type="dxa"/>
        <w:tblLayout w:type="fixed"/>
        <w:tblCellMar>
          <w:top w:w="0" w:type="dxa"/>
          <w:start w:w="108" w:type="dxa"/>
          <w:bottom w:w="0" w:type="dxa"/>
          <w:end w:w="108" w:type="dxa"/>
        </w:tblCellMar>
      </w:tblPr>
      <w:tblGrid>
        <w:gridCol w:w="630"/>
        <w:gridCol w:w="4634"/>
        <w:gridCol w:w="3484"/>
      </w:tblGrid>
      <w:tr>
        <w:trPr/>
        <w:tc>
          <w:tcPr>
            <w:tcW w:w="630" w:type="dxa"/>
            <w:tcBorders>
              <w:top w:val="single" w:sz="12" w:space="0" w:color="000000"/>
              <w:start w:val="single" w:sz="12" w:space="0" w:color="000000"/>
              <w:bottom w:val="single" w:sz="6" w:space="0" w:color="000000"/>
              <w:end w:val="single" w:sz="6" w:space="0" w:color="000000"/>
            </w:tcBorders>
          </w:tcPr>
          <w:p>
            <w:pPr>
              <w:pStyle w:val="Normal"/>
              <w:jc w:val="center"/>
              <w:rPr>
                <w:sz w:val="20"/>
                <w:szCs w:val="20"/>
              </w:rPr>
            </w:pPr>
            <w:r>
              <w:rPr>
                <w:sz w:val="20"/>
                <w:szCs w:val="20"/>
              </w:rPr>
              <w:t>MLL</w:t>
            </w:r>
          </w:p>
        </w:tc>
        <w:tc>
          <w:tcPr>
            <w:tcW w:w="4634" w:type="dxa"/>
            <w:tcBorders>
              <w:top w:val="single" w:sz="12"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Curtailment Measures:</w:t>
            </w:r>
          </w:p>
        </w:tc>
        <w:tc>
          <w:tcPr>
            <w:tcW w:w="3484" w:type="dxa"/>
            <w:tcBorders>
              <w:top w:val="single" w:sz="12" w:space="0" w:color="000000"/>
              <w:start w:val="single" w:sz="6" w:space="0" w:color="000000"/>
              <w:bottom w:val="single" w:sz="6" w:space="0" w:color="000000"/>
              <w:end w:val="single" w:sz="12" w:space="0" w:color="000000"/>
            </w:tcBorders>
          </w:tcPr>
          <w:p>
            <w:pPr>
              <w:pStyle w:val="Normal"/>
              <w:jc w:val="center"/>
              <w:rPr>
                <w:sz w:val="20"/>
                <w:szCs w:val="20"/>
              </w:rPr>
            </w:pPr>
            <w:r>
              <w:rPr>
                <w:sz w:val="20"/>
                <w:szCs w:val="20"/>
              </w:rPr>
              <w:t>Load Reduction Achievable for each Curtailment Measure, MW</w:t>
            </w:r>
          </w:p>
        </w:tc>
      </w:tr>
      <w:tr>
        <w:trPr/>
        <w:tc>
          <w:tcPr>
            <w:tcW w:w="630" w:type="dxa"/>
            <w:tcBorders>
              <w:top w:val="single" w:sz="6" w:space="0" w:color="000000"/>
              <w:start w:val="single" w:sz="12" w:space="0" w:color="000000"/>
              <w:bottom w:val="single" w:sz="6" w:space="0" w:color="000000"/>
              <w:end w:val="single" w:sz="6" w:space="0" w:color="000000"/>
            </w:tcBorders>
          </w:tcPr>
          <w:p>
            <w:pPr>
              <w:pStyle w:val="Normal"/>
              <w:jc w:val="center"/>
              <w:rPr>
                <w:sz w:val="20"/>
                <w:szCs w:val="20"/>
              </w:rPr>
            </w:pPr>
            <w:r>
              <w:rPr>
                <w:sz w:val="20"/>
                <w:szCs w:val="20"/>
              </w:rPr>
              <w:t>5%</w:t>
            </w:r>
          </w:p>
        </w:tc>
        <w:tc>
          <w:tcPr>
            <w:tcW w:w="4634"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p>
            <w:pPr>
              <w:pStyle w:val="Normal"/>
              <w:rPr/>
            </w:pPr>
            <w:r>
              <w:rPr/>
            </w:r>
          </w:p>
          <w:p>
            <w:pPr>
              <w:pStyle w:val="Normal"/>
              <w:rPr/>
            </w:pPr>
            <w:r>
              <w:rPr/>
            </w:r>
          </w:p>
        </w:tc>
        <w:tc>
          <w:tcPr>
            <w:tcW w:w="3484"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630" w:type="dxa"/>
            <w:tcBorders>
              <w:top w:val="single" w:sz="6" w:space="0" w:color="000000"/>
              <w:start w:val="single" w:sz="12" w:space="0" w:color="000000"/>
              <w:bottom w:val="single" w:sz="6" w:space="0" w:color="000000"/>
              <w:end w:val="single" w:sz="6" w:space="0" w:color="000000"/>
            </w:tcBorders>
          </w:tcPr>
          <w:p>
            <w:pPr>
              <w:pStyle w:val="Normal"/>
              <w:jc w:val="center"/>
              <w:rPr>
                <w:sz w:val="20"/>
                <w:szCs w:val="20"/>
              </w:rPr>
            </w:pPr>
            <w:r>
              <w:rPr>
                <w:sz w:val="20"/>
                <w:szCs w:val="20"/>
              </w:rPr>
              <w:t>10%</w:t>
            </w:r>
          </w:p>
        </w:tc>
        <w:tc>
          <w:tcPr>
            <w:tcW w:w="4634"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p>
            <w:pPr>
              <w:pStyle w:val="Normal"/>
              <w:rPr/>
            </w:pPr>
            <w:r>
              <w:rPr/>
            </w:r>
          </w:p>
          <w:p>
            <w:pPr>
              <w:pStyle w:val="Normal"/>
              <w:rPr/>
            </w:pPr>
            <w:r>
              <w:rPr/>
            </w:r>
          </w:p>
        </w:tc>
        <w:tc>
          <w:tcPr>
            <w:tcW w:w="3484"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630" w:type="dxa"/>
            <w:tcBorders>
              <w:top w:val="single" w:sz="6" w:space="0" w:color="000000"/>
              <w:start w:val="single" w:sz="12" w:space="0" w:color="000000"/>
              <w:bottom w:val="single" w:sz="12" w:space="0" w:color="000000"/>
              <w:end w:val="single" w:sz="6" w:space="0" w:color="000000"/>
            </w:tcBorders>
          </w:tcPr>
          <w:p>
            <w:pPr>
              <w:pStyle w:val="Normal"/>
              <w:jc w:val="center"/>
              <w:rPr>
                <w:sz w:val="20"/>
                <w:szCs w:val="20"/>
              </w:rPr>
            </w:pPr>
            <w:r>
              <w:rPr>
                <w:sz w:val="20"/>
                <w:szCs w:val="20"/>
              </w:rPr>
              <w:t>15%</w:t>
            </w:r>
          </w:p>
        </w:tc>
        <w:tc>
          <w:tcPr>
            <w:tcW w:w="4634" w:type="dxa"/>
            <w:tcBorders>
              <w:top w:val="single" w:sz="6" w:space="0" w:color="000000"/>
              <w:start w:val="single" w:sz="6" w:space="0" w:color="000000"/>
              <w:bottom w:val="single" w:sz="12" w:space="0" w:color="000000"/>
              <w:end w:val="single" w:sz="6" w:space="0" w:color="000000"/>
            </w:tcBorders>
          </w:tcPr>
          <w:p>
            <w:pPr>
              <w:pStyle w:val="Normal"/>
              <w:snapToGrid w:val="false"/>
              <w:rPr>
                <w:sz w:val="20"/>
                <w:szCs w:val="20"/>
              </w:rPr>
            </w:pPr>
            <w:r>
              <w:rPr>
                <w:sz w:val="20"/>
                <w:szCs w:val="20"/>
              </w:rPr>
            </w:r>
          </w:p>
          <w:p>
            <w:pPr>
              <w:pStyle w:val="Normal"/>
              <w:rPr/>
            </w:pPr>
            <w:r>
              <w:rPr/>
            </w:r>
          </w:p>
          <w:p>
            <w:pPr>
              <w:pStyle w:val="Normal"/>
              <w:rPr/>
            </w:pPr>
            <w:r>
              <w:rPr/>
            </w:r>
          </w:p>
        </w:tc>
        <w:tc>
          <w:tcPr>
            <w:tcW w:w="3484" w:type="dxa"/>
            <w:tcBorders>
              <w:top w:val="single" w:sz="6" w:space="0" w:color="000000"/>
              <w:start w:val="single" w:sz="6" w:space="0" w:color="000000"/>
              <w:bottom w:val="single" w:sz="12" w:space="0" w:color="000000"/>
              <w:end w:val="single" w:sz="12" w:space="0" w:color="000000"/>
            </w:tcBorders>
          </w:tcPr>
          <w:p>
            <w:pPr>
              <w:pStyle w:val="Normal"/>
              <w:snapToGrid w:val="false"/>
              <w:rPr/>
            </w:pPr>
            <w:r>
              <w:rPr/>
            </w:r>
          </w:p>
        </w:tc>
      </w:tr>
    </w:tbl>
    <w:p>
      <w:pPr>
        <w:pStyle w:val="Normal"/>
        <w:widowControl/>
        <w:ind w:end="-1080"/>
        <w:rPr/>
      </w:pPr>
      <w:r>
        <w:rPr/>
      </w:r>
    </w:p>
    <w:p>
      <w:pPr>
        <w:pStyle w:val="Normal"/>
        <w:widowControl/>
        <w:ind w:end="-1080"/>
        <w:rPr/>
      </w:pPr>
      <w:r>
        <w:rPr/>
      </w:r>
    </w:p>
    <w:p>
      <w:pPr>
        <w:pStyle w:val="Normal"/>
        <w:ind w:start="720" w:end="0"/>
        <w:rPr>
          <w:sz w:val="20"/>
          <w:szCs w:val="20"/>
        </w:rPr>
      </w:pPr>
      <w:r>
        <w:rPr>
          <w:sz w:val="20"/>
          <w:szCs w:val="20"/>
        </w:rPr>
        <w:t>List the specific quantifiable measures to be used to reduce load to or below each MLL during the specified season, time of year, production cycle, etc.:____________________________</w:t>
      </w:r>
    </w:p>
    <w:p>
      <w:pPr>
        <w:pStyle w:val="Normal"/>
        <w:ind w:start="720" w:end="0"/>
        <w:rPr>
          <w:sz w:val="20"/>
          <w:szCs w:val="20"/>
        </w:rPr>
      </w:pPr>
      <w:r>
        <w:rPr>
          <w:sz w:val="20"/>
          <w:szCs w:val="20"/>
        </w:rPr>
      </w:r>
    </w:p>
    <w:tbl>
      <w:tblPr>
        <w:tblW w:w="8748" w:type="dxa"/>
        <w:jc w:val="start"/>
        <w:tblInd w:w="468" w:type="dxa"/>
        <w:tblLayout w:type="fixed"/>
        <w:tblCellMar>
          <w:top w:w="0" w:type="dxa"/>
          <w:start w:w="108" w:type="dxa"/>
          <w:bottom w:w="0" w:type="dxa"/>
          <w:end w:w="108" w:type="dxa"/>
        </w:tblCellMar>
      </w:tblPr>
      <w:tblGrid>
        <w:gridCol w:w="630"/>
        <w:gridCol w:w="4634"/>
        <w:gridCol w:w="3484"/>
      </w:tblGrid>
      <w:tr>
        <w:trPr/>
        <w:tc>
          <w:tcPr>
            <w:tcW w:w="630" w:type="dxa"/>
            <w:tcBorders>
              <w:top w:val="single" w:sz="12" w:space="0" w:color="000000"/>
              <w:start w:val="single" w:sz="12" w:space="0" w:color="000000"/>
              <w:bottom w:val="single" w:sz="6" w:space="0" w:color="000000"/>
              <w:end w:val="single" w:sz="6" w:space="0" w:color="000000"/>
            </w:tcBorders>
          </w:tcPr>
          <w:p>
            <w:pPr>
              <w:pStyle w:val="Normal"/>
              <w:jc w:val="center"/>
              <w:rPr>
                <w:sz w:val="20"/>
                <w:szCs w:val="20"/>
              </w:rPr>
            </w:pPr>
            <w:r>
              <w:rPr>
                <w:sz w:val="20"/>
                <w:szCs w:val="20"/>
              </w:rPr>
              <w:t>MLL</w:t>
            </w:r>
          </w:p>
        </w:tc>
        <w:tc>
          <w:tcPr>
            <w:tcW w:w="4634" w:type="dxa"/>
            <w:tcBorders>
              <w:top w:val="single" w:sz="12"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Curtailment Measures:</w:t>
            </w:r>
          </w:p>
        </w:tc>
        <w:tc>
          <w:tcPr>
            <w:tcW w:w="3484" w:type="dxa"/>
            <w:tcBorders>
              <w:top w:val="single" w:sz="12" w:space="0" w:color="000000"/>
              <w:start w:val="single" w:sz="6" w:space="0" w:color="000000"/>
              <w:bottom w:val="single" w:sz="6" w:space="0" w:color="000000"/>
              <w:end w:val="single" w:sz="12" w:space="0" w:color="000000"/>
            </w:tcBorders>
          </w:tcPr>
          <w:p>
            <w:pPr>
              <w:pStyle w:val="Normal"/>
              <w:jc w:val="center"/>
              <w:rPr>
                <w:sz w:val="20"/>
                <w:szCs w:val="20"/>
              </w:rPr>
            </w:pPr>
            <w:r>
              <w:rPr>
                <w:sz w:val="20"/>
                <w:szCs w:val="20"/>
              </w:rPr>
              <w:t>Load Reduction Achievable for each Curtailment Measure, MW</w:t>
            </w:r>
          </w:p>
        </w:tc>
      </w:tr>
      <w:tr>
        <w:trPr/>
        <w:tc>
          <w:tcPr>
            <w:tcW w:w="630" w:type="dxa"/>
            <w:tcBorders>
              <w:top w:val="single" w:sz="6" w:space="0" w:color="000000"/>
              <w:start w:val="single" w:sz="12" w:space="0" w:color="000000"/>
              <w:bottom w:val="single" w:sz="6" w:space="0" w:color="000000"/>
              <w:end w:val="single" w:sz="6" w:space="0" w:color="000000"/>
            </w:tcBorders>
          </w:tcPr>
          <w:p>
            <w:pPr>
              <w:pStyle w:val="Normal"/>
              <w:jc w:val="center"/>
              <w:rPr>
                <w:sz w:val="20"/>
                <w:szCs w:val="20"/>
              </w:rPr>
            </w:pPr>
            <w:r>
              <w:rPr>
                <w:sz w:val="20"/>
                <w:szCs w:val="20"/>
              </w:rPr>
              <w:t>5%</w:t>
            </w:r>
          </w:p>
        </w:tc>
        <w:tc>
          <w:tcPr>
            <w:tcW w:w="4634"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p>
            <w:pPr>
              <w:pStyle w:val="Normal"/>
              <w:rPr/>
            </w:pPr>
            <w:r>
              <w:rPr/>
            </w:r>
          </w:p>
          <w:p>
            <w:pPr>
              <w:pStyle w:val="Normal"/>
              <w:rPr/>
            </w:pPr>
            <w:r>
              <w:rPr/>
            </w:r>
          </w:p>
        </w:tc>
        <w:tc>
          <w:tcPr>
            <w:tcW w:w="3484"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630" w:type="dxa"/>
            <w:tcBorders>
              <w:top w:val="single" w:sz="6" w:space="0" w:color="000000"/>
              <w:start w:val="single" w:sz="12" w:space="0" w:color="000000"/>
              <w:bottom w:val="single" w:sz="6" w:space="0" w:color="000000"/>
              <w:end w:val="single" w:sz="6" w:space="0" w:color="000000"/>
            </w:tcBorders>
          </w:tcPr>
          <w:p>
            <w:pPr>
              <w:pStyle w:val="Normal"/>
              <w:jc w:val="center"/>
              <w:rPr>
                <w:sz w:val="20"/>
                <w:szCs w:val="20"/>
              </w:rPr>
            </w:pPr>
            <w:r>
              <w:rPr>
                <w:sz w:val="20"/>
                <w:szCs w:val="20"/>
              </w:rPr>
              <w:t>10%</w:t>
            </w:r>
          </w:p>
        </w:tc>
        <w:tc>
          <w:tcPr>
            <w:tcW w:w="4634"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p>
            <w:pPr>
              <w:pStyle w:val="Normal"/>
              <w:rPr/>
            </w:pPr>
            <w:r>
              <w:rPr/>
            </w:r>
          </w:p>
          <w:p>
            <w:pPr>
              <w:pStyle w:val="Normal"/>
              <w:rPr/>
            </w:pPr>
            <w:r>
              <w:rPr/>
            </w:r>
          </w:p>
        </w:tc>
        <w:tc>
          <w:tcPr>
            <w:tcW w:w="3484"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630" w:type="dxa"/>
            <w:tcBorders>
              <w:top w:val="single" w:sz="6" w:space="0" w:color="000000"/>
              <w:start w:val="single" w:sz="12" w:space="0" w:color="000000"/>
              <w:bottom w:val="single" w:sz="12" w:space="0" w:color="000000"/>
              <w:end w:val="single" w:sz="6" w:space="0" w:color="000000"/>
            </w:tcBorders>
          </w:tcPr>
          <w:p>
            <w:pPr>
              <w:pStyle w:val="Normal"/>
              <w:jc w:val="center"/>
              <w:rPr>
                <w:sz w:val="20"/>
                <w:szCs w:val="20"/>
              </w:rPr>
            </w:pPr>
            <w:r>
              <w:rPr>
                <w:sz w:val="20"/>
                <w:szCs w:val="20"/>
              </w:rPr>
              <w:t>15%</w:t>
            </w:r>
          </w:p>
        </w:tc>
        <w:tc>
          <w:tcPr>
            <w:tcW w:w="4634" w:type="dxa"/>
            <w:tcBorders>
              <w:top w:val="single" w:sz="6" w:space="0" w:color="000000"/>
              <w:start w:val="single" w:sz="6" w:space="0" w:color="000000"/>
              <w:bottom w:val="single" w:sz="12" w:space="0" w:color="000000"/>
              <w:end w:val="single" w:sz="6" w:space="0" w:color="000000"/>
            </w:tcBorders>
          </w:tcPr>
          <w:p>
            <w:pPr>
              <w:pStyle w:val="Normal"/>
              <w:snapToGrid w:val="false"/>
              <w:rPr>
                <w:sz w:val="20"/>
                <w:szCs w:val="20"/>
              </w:rPr>
            </w:pPr>
            <w:r>
              <w:rPr>
                <w:sz w:val="20"/>
                <w:szCs w:val="20"/>
              </w:rPr>
            </w:r>
          </w:p>
          <w:p>
            <w:pPr>
              <w:pStyle w:val="Normal"/>
              <w:rPr/>
            </w:pPr>
            <w:r>
              <w:rPr/>
            </w:r>
          </w:p>
          <w:p>
            <w:pPr>
              <w:pStyle w:val="Normal"/>
              <w:rPr/>
            </w:pPr>
            <w:r>
              <w:rPr/>
            </w:r>
          </w:p>
        </w:tc>
        <w:tc>
          <w:tcPr>
            <w:tcW w:w="3484" w:type="dxa"/>
            <w:tcBorders>
              <w:top w:val="single" w:sz="6" w:space="0" w:color="000000"/>
              <w:start w:val="single" w:sz="6" w:space="0" w:color="000000"/>
              <w:bottom w:val="single" w:sz="12" w:space="0" w:color="000000"/>
              <w:end w:val="single" w:sz="12" w:space="0" w:color="000000"/>
            </w:tcBorders>
          </w:tcPr>
          <w:p>
            <w:pPr>
              <w:pStyle w:val="Normal"/>
              <w:snapToGrid w:val="false"/>
              <w:rPr/>
            </w:pPr>
            <w:r>
              <w:rPr/>
            </w:r>
          </w:p>
        </w:tc>
      </w:tr>
    </w:tbl>
    <w:p>
      <w:pPr>
        <w:pStyle w:val="Normal"/>
        <w:widowControl/>
        <w:ind w:end="-1080"/>
        <w:rPr/>
      </w:pPr>
      <w:r>
        <w:rPr/>
      </w:r>
    </w:p>
    <w:p>
      <w:pPr>
        <w:pStyle w:val="Normal"/>
        <w:widowControl/>
        <w:ind w:hanging="360" w:start="360" w:end="-1080"/>
        <w:rPr>
          <w:sz w:val="20"/>
          <w:szCs w:val="20"/>
        </w:rPr>
      </w:pPr>
      <w:r>
        <w:rPr>
          <w:sz w:val="20"/>
          <w:szCs w:val="20"/>
        </w:rPr>
      </w:r>
    </w:p>
    <w:p>
      <w:pPr>
        <w:pStyle w:val="Normal"/>
        <w:widowControl/>
        <w:numPr>
          <w:ilvl w:val="0"/>
          <w:numId w:val="9"/>
        </w:numPr>
        <w:tabs>
          <w:tab w:val="clear" w:pos="720"/>
          <w:tab w:val="left" w:pos="0" w:leader="none"/>
        </w:tabs>
        <w:ind w:hanging="360" w:start="720" w:end="-1080"/>
        <w:rPr>
          <w:sz w:val="20"/>
          <w:szCs w:val="20"/>
        </w:rPr>
      </w:pPr>
      <w:r>
        <w:rPr>
          <w:sz w:val="20"/>
          <w:szCs w:val="20"/>
        </w:rPr>
        <w:t>Specify the metering equipment (e.g. telephone accessible PG&amp;E interval meter) that will be used to verify load reductions:__________________________________________________________________</w:t>
      </w:r>
    </w:p>
    <w:p>
      <w:pPr>
        <w:pStyle w:val="Normal"/>
        <w:widowControl/>
        <w:ind w:end="-1080"/>
        <w:rPr>
          <w:sz w:val="20"/>
          <w:szCs w:val="20"/>
        </w:rPr>
      </w:pPr>
      <w:r>
        <w:rPr>
          <w:sz w:val="20"/>
          <w:szCs w:val="20"/>
        </w:rPr>
      </w:r>
    </w:p>
    <w:sectPr>
      <w:headerReference w:type="default" r:id="rId3"/>
      <w:footerReference w:type="default" r:id="rId4"/>
      <w:type w:val="nextPage"/>
      <w:pgSz w:w="12240" w:h="15840"/>
      <w:pgMar w:left="180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Monotype Sorts">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center" w:pos="7830" w:leader="none"/>
        <w:tab w:val="right" w:pos="8820" w:leader="none"/>
      </w:tabs>
      <w:ind w:end="-1080"/>
      <w:rPr>
        <w:b/>
        <w:bCs/>
        <w:sz w:val="16"/>
        <w:szCs w:val="16"/>
      </w:rPr>
    </w:pPr>
    <w:r>
      <w:rPr>
        <w:b/>
        <w:bCs/>
        <w:sz w:val="16"/>
        <w:szCs w:val="16"/>
      </w:rPr>
      <w:tab/>
      <w:tab/>
      <w:t>Form No. 79-966</w:t>
    </w:r>
  </w:p>
  <w:p>
    <w:pPr>
      <w:pStyle w:val="Footer"/>
      <w:widowControl/>
      <w:tabs>
        <w:tab w:val="clear" w:pos="8640"/>
        <w:tab w:val="center" w:pos="4320" w:leader="none"/>
        <w:tab w:val="center" w:pos="7920" w:leader="none"/>
        <w:tab w:val="right" w:pos="8820" w:leader="none"/>
      </w:tabs>
      <w:ind w:start="7200" w:end="-1080"/>
      <w:rPr/>
    </w:pPr>
    <w:r>
      <w:rPr>
        <w:b/>
        <w:bCs/>
        <w:sz w:val="16"/>
        <w:szCs w:val="16"/>
      </w:rPr>
      <w:t xml:space="preserve">Page </w:t>
    </w:r>
    <w:r>
      <w:rPr>
        <w:b/>
        <w:bCs/>
        <w:sz w:val="16"/>
        <w:szCs w:val="16"/>
      </w:rPr>
      <w:fldChar w:fldCharType="begin"/>
    </w:r>
    <w:r>
      <w:rPr>
        <w:sz w:val="16"/>
        <w:b/>
        <w:szCs w:val="16"/>
        <w:bCs/>
      </w:rPr>
      <w:instrText xml:space="preserve"> PAGE </w:instrText>
    </w:r>
    <w:r>
      <w:rPr>
        <w:sz w:val="16"/>
        <w:b/>
        <w:szCs w:val="16"/>
        <w:bCs/>
      </w:rPr>
      <w:fldChar w:fldCharType="separate"/>
    </w:r>
    <w:r>
      <w:rPr>
        <w:sz w:val="16"/>
        <w:b/>
        <w:szCs w:val="16"/>
        <w:bCs/>
      </w:rPr>
      <w:t>8</w:t>
    </w:r>
    <w:r>
      <w:rPr>
        <w:sz w:val="16"/>
        <w:b/>
        <w:szCs w:val="16"/>
        <w:bCs/>
      </w:rPr>
      <w:fldChar w:fldCharType="end"/>
    </w:r>
    <w:r>
      <w:rPr>
        <w:b/>
        <w:bCs/>
        <w:sz w:val="16"/>
        <w:szCs w:val="16"/>
      </w:rPr>
      <w:t xml:space="preserve"> of 6</w:t>
    </w:r>
  </w:p>
  <w:p>
    <w:pPr>
      <w:pStyle w:val="Footer"/>
      <w:widowControl/>
      <w:tabs>
        <w:tab w:val="clear" w:pos="8640"/>
        <w:tab w:val="center" w:pos="4320" w:leader="none"/>
        <w:tab w:val="center" w:pos="7920" w:leader="none"/>
        <w:tab w:val="right" w:pos="8820" w:leader="none"/>
      </w:tabs>
      <w:ind w:start="7200" w:end="-1080"/>
      <w:rPr>
        <w:b/>
        <w:bCs/>
        <w:sz w:val="16"/>
        <w:szCs w:val="16"/>
      </w:rPr>
    </w:pPr>
    <w:r>
      <w:rPr>
        <w:b/>
        <w:bCs/>
        <w:sz w:val="16"/>
        <w:szCs w:val="16"/>
      </w:rPr>
      <w:t>May 24, 2001</w:t>
    </w:r>
  </w:p>
  <w:p>
    <w:pPr>
      <w:pStyle w:val="Footer"/>
      <w:widowControl/>
      <w:tabs>
        <w:tab w:val="clear" w:pos="8640"/>
        <w:tab w:val="center" w:pos="4320" w:leader="none"/>
        <w:tab w:val="center" w:pos="7920" w:leader="none"/>
        <w:tab w:val="right" w:pos="8820" w:leader="none"/>
      </w:tabs>
      <w:ind w:start="7200" w:end="-1080"/>
      <w:rPr>
        <w:b/>
        <w:bCs/>
        <w:sz w:val="16"/>
        <w:szCs w:val="16"/>
      </w:rPr>
    </w:pPr>
    <w:r>
      <w:rPr>
        <w:b/>
        <w:bCs/>
        <w:sz w:val="16"/>
        <w:szCs w:val="16"/>
      </w:rPr>
      <w:t>Tariffs and Compliance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9"/>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08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720" w:end="-1080"/>
      <w:jc w:val="both"/>
    </w:pPr>
    <w:rPr>
      <w:sz w:val="20"/>
      <w:szCs w:val="20"/>
    </w:rPr>
  </w:style>
  <w:style w:type="paragraph" w:styleId="Level1">
    <w:name w:val="Level 1"/>
    <w:basedOn w:val="Normal"/>
    <w:next w:val="Normal"/>
    <w:qFormat/>
    <w:pPr>
      <w:suppressAutoHyphens w:val="true"/>
      <w:spacing w:lineRule="exact" w:line="200" w:before="0" w:after="200"/>
      <w:ind w:hanging="432" w:start="864" w:end="0"/>
    </w:pPr>
    <w:rPr>
      <w:sz w:val="18"/>
      <w:szCs w:val="18"/>
    </w:rPr>
  </w:style>
  <w:style w:type="paragraph" w:styleId="BodyText2">
    <w:name w:val="Body Text 2"/>
    <w:basedOn w:val="Normal"/>
    <w:qFormat/>
    <w:pPr>
      <w:tabs>
        <w:tab w:val="clear" w:pos="720"/>
        <w:tab w:val="left" w:pos="8370" w:leader="none"/>
      </w:tabs>
    </w:pPr>
    <w:rPr>
      <w:sz w:val="20"/>
      <w:szCs w:val="20"/>
    </w:rPr>
  </w:style>
  <w:style w:type="paragraph" w:styleId="Level1Sub">
    <w:name w:val="Level 1 Sub"/>
    <w:basedOn w:val="Normal"/>
    <w:qFormat/>
    <w:pPr>
      <w:suppressAutoHyphens w:val="true"/>
      <w:spacing w:lineRule="exact" w:line="200" w:before="0" w:after="200"/>
      <w:ind w:hanging="0" w:start="432" w:end="0"/>
    </w:pPr>
    <w:rPr>
      <w:sz w:val="18"/>
      <w:szCs w:val="18"/>
    </w:rPr>
  </w:style>
  <w:style w:type="paragraph" w:styleId="WW-BodyText2">
    <w:name w:val="WW-Body Text 2"/>
    <w:basedOn w:val="Normal"/>
    <w:qFormat/>
    <w:pPr>
      <w:widowControl/>
      <w:tabs>
        <w:tab w:val="clear" w:pos="720"/>
        <w:tab w:val="left" w:pos="360" w:leader="none"/>
        <w:tab w:val="left" w:pos="8370" w:leader="none"/>
      </w:tabs>
      <w:spacing w:before="0" w:after="120"/>
      <w:ind w:hanging="0" w:start="360" w:end="0"/>
      <w:jc w:val="both"/>
    </w:pPr>
    <w:rPr>
      <w:sz w:val="20"/>
      <w:szCs w:val="20"/>
    </w:rPr>
  </w:style>
  <w:style w:type="paragraph" w:styleId="RateBody">
    <w:name w:val="Rate Body"/>
    <w:basedOn w:val="Normal"/>
    <w:qFormat/>
    <w:pPr>
      <w:suppressAutoHyphens w:val="true"/>
      <w:spacing w:lineRule="exact" w:line="200" w:before="0" w:after="200"/>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2001-05-29T20:02:00Z</dcterms:created>
  <dc:creator>A Valued Microsoft Customer</dc:creator>
  <dc:description/>
  <dc:language>en-CA</dc:language>
  <cp:lastModifiedBy>Nel Avendano</cp:lastModifiedBy>
  <cp:lastPrinted>2001-05-29T12:52:00Z</cp:lastPrinted>
  <dcterms:modified xsi:type="dcterms:W3CDTF">2001-05-29T20:02:00Z</dcterms:modified>
  <cp:revision>2</cp:revision>
  <dc:subject/>
  <dc:title>Pacific Gas &amp; Electric Company__Distribution:__Reference:</dc:title>
</cp:coreProperties>
</file>