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15.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810" w:leader="none"/>
        </w:tabs>
        <w:ind w:start="-1440" w:end="0"/>
        <w:jc w:val="end"/>
        <w:rPr>
          <w:rFonts w:ascii="Times New Roman" w:hAnsi="Times New Roman" w:cs="Times New Roman"/>
          <w:b/>
          <w:sz w:val="22"/>
        </w:rPr>
      </w:pPr>
      <w:r>
        <w:rPr>
          <w:rFonts w:cs="Times New Roman" w:ascii="Times New Roman" w:hAnsi="Times New Roman"/>
          <w:b/>
          <w:sz w:val="22"/>
        </w:rPr>
        <w:t>FORM 2101c.doc</w:t>
      </w:r>
    </w:p>
    <w:p>
      <w:pPr>
        <w:pStyle w:val="Normal"/>
        <w:tabs>
          <w:tab w:val="clear" w:pos="720"/>
          <w:tab w:val="left" w:pos="9810" w:leader="none"/>
        </w:tabs>
        <w:ind w:start="-1440" w:end="0"/>
        <w:jc w:val="end"/>
        <w:rPr>
          <w:rFonts w:ascii="Times New Roman" w:hAnsi="Times New Roman" w:cs="Times New Roman"/>
          <w:b/>
          <w:sz w:val="22"/>
          <w:u w:val="single"/>
        </w:rPr>
      </w:pPr>
      <w:r>
        <w:rPr>
          <w:rFonts w:cs="Times New Roman" w:ascii="Times New Roman" w:hAnsi="Times New Roman"/>
          <w:b/>
          <w:sz w:val="22"/>
        </w:rPr>
        <w:t>CANADIAN ISDA SCHEDULE</w:t>
      </w:r>
    </w:p>
    <w:p>
      <w:pPr>
        <w:pStyle w:val="Normal"/>
        <w:jc w:val="end"/>
        <w:rPr>
          <w:rFonts w:ascii="Times New Roman" w:hAnsi="Times New Roman" w:cs="Times New Roman"/>
          <w:b/>
          <w:sz w:val="22"/>
        </w:rPr>
      </w:pPr>
      <w:r>
        <w:rPr>
          <w:rFonts w:cs="Times New Roman" w:ascii="Times New Roman" w:hAnsi="Times New Roman"/>
          <w:b/>
          <w:sz w:val="22"/>
          <w:u w:val="single"/>
        </w:rPr>
        <w:t>DRAFT OF 06/04/99</w:t>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CANADA CORP., a corporation organized under the law of the Province of Alberta</w:t>
            </w:r>
          </w:p>
          <w:p>
            <w:pPr>
              <w:pStyle w:val="Normal"/>
              <w:tabs>
                <w:tab w:val="clear" w:pos="720"/>
                <w:tab w:val="center" w:pos="5760" w:leader="none"/>
              </w:tabs>
              <w:jc w:val="center"/>
              <w:rPr>
                <w:rFonts w:ascii="Times New Roman" w:hAnsi="Times New Roman" w:cs="Times New Roman"/>
                <w:b/>
                <w:sz w:val="22"/>
              </w:rPr>
            </w:pPr>
            <w:r>
              <w:rPr>
                <w:rFonts w:cs="Times New Roman" w:ascii="Times New Roman" w:hAnsi="Times New Roman"/>
                <w:b/>
                <w:sz w:val="22"/>
              </w:rPr>
              <w:t>(“Party A”), and</w:t>
            </w:r>
          </w:p>
        </w:tc>
        <w:tc>
          <w:tcPr>
            <w:tcW w:w="4788" w:type="dxa"/>
            <w:tcBorders/>
          </w:tcPr>
          <w:p>
            <w:pPr>
              <w:pStyle w:val="Normal"/>
              <w:tabs>
                <w:tab w:val="clear" w:pos="720"/>
                <w:tab w:val="center" w:pos="5760" w:leader="none"/>
              </w:tabs>
              <w:spacing w:before="240" w:after="0"/>
              <w:jc w:val="center"/>
              <w:rPr/>
            </w:pPr>
            <w:r>
              <w:rPr>
                <w:rFonts w:cs="Times New Roman" w:ascii="Times New Roman" w:hAnsi="Times New Roman"/>
                <w:b/>
                <w:sz w:val="22"/>
              </w:rPr>
              <w:t xml:space="preserve">_____________________________________, a _____________ organized under the law of the Province of ________ [a corporation incorporated under the </w:t>
            </w:r>
            <w:r>
              <w:rPr>
                <w:rFonts w:cs="Times New Roman" w:ascii="Times New Roman" w:hAnsi="Times New Roman"/>
                <w:b/>
                <w:i/>
                <w:sz w:val="22"/>
              </w:rPr>
              <w:t>Canada Business Corporations Act</w:t>
            </w:r>
            <w:r>
              <w:rPr>
                <w:rFonts w:cs="Times New Roman" w:ascii="Times New Roman" w:hAnsi="Times New Roman"/>
                <w:b/>
                <w:sz w:val="22"/>
              </w:rPr>
              <w:t>]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 xml:space="preserve">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and will apply to Party B.</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$____________ (or its equivalent in another currency); [with respect to Party A’s Credit Support Provider, U.S. $___________ (or its equivalent in another currency) ;][ and with respect to Party B, [U.S.][C] $____________ (or its equivalent in another currency);][ and with respect to Party B’s Credit Support Provider, [U.S.][C] $__________ (or its equivalent in another currency)].</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apply to Party A and to Party B.</w:t>
      </w:r>
    </w:p>
    <w:p>
      <w:pPr>
        <w:pStyle w:val="Normal"/>
        <w:spacing w:lineRule="exact" w:line="240" w:before="240" w:after="0"/>
        <w:ind w:firstLine="720" w:end="0"/>
        <w:jc w:val="both"/>
        <w:rPr/>
      </w:pPr>
      <w:r>
        <w:rPr>
          <w:rFonts w:cs="Times New Roman" w:ascii="Times New Roman" w:hAnsi="Times New Roman"/>
          <w:sz w:val="22"/>
        </w:rPr>
        <w:t>(d)</w:t>
        <w:tab/>
        <w:t>The</w:t>
      </w:r>
      <w:r>
        <w:rPr>
          <w:rFonts w:cs="Times New Roman" w:ascii="Times New Roman" w:hAnsi="Times New Roman"/>
          <w:i/>
          <w:sz w:val="22"/>
        </w:rPr>
        <w:t xml:space="preserv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w:t>
      </w:r>
      <w:r>
        <w:rPr>
          <w:sz w:val="22"/>
        </w:rPr>
        <w:t>means United States Dollars</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[Performance Assurance] [Eligible Credit Support] in an amount satisfactory to Y in its sole discretion.  If such [Performance Assurance] [Eligible Credit Support] is provided, it shall be in addition to any [Performance Assurance] [Eligible Credit Support] required under the [Collateral and Exposure Provisions]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[(h)</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an additional Event of Default for purposes of Section 5(a):]</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For purposes of Sections 3(e) and 3(f), Party A and Party B each makes the following representations to the other:</w:t>
      </w:r>
    </w:p>
    <w:p>
      <w:pPr>
        <w:pStyle w:val="Normal"/>
        <w:spacing w:lineRule="exact" w:line="240" w:before="240" w:after="0"/>
        <w:ind w:start="720" w:end="720"/>
        <w:jc w:val="both"/>
        <w:rPr>
          <w:rFonts w:ascii="Times New Roman" w:hAnsi="Times New Roman" w:cs="Times New Roman"/>
          <w:sz w:val="22"/>
        </w:rPr>
      </w:pPr>
      <w:r>
        <w:rPr>
          <w:rFonts w:cs="Times New Roman" w:ascii="Times New Roman" w:hAnsi="Times New Roman"/>
          <w:sz w:val="22"/>
        </w:rPr>
        <w:t>(1) It is not a non-resident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color w:val="000000"/>
          <w:sz w:val="22"/>
        </w:rPr>
        <w:t>For the purpose of Section 4(a), each party agrees to deliver the following documents, as applicable: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r>
          </w:p>
        </w:tc>
      </w:tr>
      <w:tr>
        <w:trPr/>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[Party A] [and] [Party B]</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Duly executed Credit Support Document[s] specified in Part 4(d)</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Annual Audited Consolidated Financial Statement of [Enron Corp.] [Party A’s Credit Support Provider] certified by independent public accountants</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Quarterly Unaudited Consolidated Financial Statement of [Enron Corp.] [Party A’s Credit Support Provider]</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Legal opinion in form and substance satisfactory to Party B and its counsel</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No]</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Annual Audited Consolidated Financial Statement of [Party B] [and] [Party B’s Credit Support Provider] certified by independent public accountants</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120 days after the end of each of its fiscal years][Within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Quarterly Unaudited Consolidated Financial Statement of [Party B] [and] [Party B’s Credit Support Provider]</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years][Within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Legal opinion in form and substance satisfactory to Party A and its counsel</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No]</w:t>
            </w:r>
          </w:p>
        </w:tc>
      </w:tr>
    </w:tbl>
    <w:p>
      <w:pPr>
        <w:pStyle w:val="Normal"/>
        <w:spacing w:lineRule="exact" w:line="240" w:before="36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For the purpose of Section 12(a) of this Agreement: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Canada Corp.</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400-3rd Avenue, Suite 3500</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Calgary, Alberta  T2P 4H2</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(403) 974-6706</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(403) 974-6700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Capital &amp; Trade Resources Corp., Attention:  Corporate Secretary, 1400 Smith Street, Houston, Texas  77002, facsimile no. (713) 853-2534, and (ii) Enron Capital &amp; Trade Resources Corp., Attention:  Assistant General Counsel, Trading Group at the preceding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3600"/>
        <w:gridCol w:w="387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3600" w:type="dxa"/>
            <w:tcBorders/>
          </w:tcPr>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w:t>
            </w:r>
          </w:p>
        </w:tc>
        <w:tc>
          <w:tcPr>
            <w:tcW w:w="3870" w:type="dxa"/>
            <w:tcBorders/>
          </w:tcPr>
          <w:p>
            <w:pPr>
              <w:pStyle w:val="Normal"/>
              <w:keepNext w:val="true"/>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___________________</w:t>
            </w:r>
          </w:p>
          <w:p>
            <w:pPr>
              <w:pStyle w:val="Normal"/>
              <w:keepNext w:val="true"/>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__________________</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 xml:space="preserve">,] [(ii) Guaranty dated as of the date hereof by ____________________ in favor of Party A as beneficiary thereof in the form attached hereto as </w:t>
      </w:r>
      <w:r>
        <w:rPr>
          <w:rFonts w:cs="Times New Roman" w:ascii="Times New Roman" w:hAnsi="Times New Roman"/>
          <w:sz w:val="22"/>
          <w:u w:val="single"/>
        </w:rPr>
        <w:t>Exhibit[A][B]</w:t>
      </w:r>
      <w:r>
        <w:rPr>
          <w:rFonts w:cs="Times New Roman" w:ascii="Times New Roman" w:hAnsi="Times New Roman"/>
          <w:sz w:val="22"/>
        </w:rPr>
        <w:t xml:space="preserve">, and (iii) [Collateral and Exposure Provisions] [ISDA Credit Support Annex]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[none,][Enron Corp.,] and (ii) Credit Support Provider means in relation to Party B, [none][_______].</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not apply to all Transactions.</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spacing w:lineRule="exact" w:line="240" w:before="240" w:after="0"/>
        <w:ind w:firstLine="720" w:start="720" w:end="0"/>
        <w:jc w:val="both"/>
        <w:rPr/>
      </w:pPr>
      <w:r>
        <w:rPr>
          <w:rFonts w:cs="Times New Roman" w:ascii="Times New Roman" w:hAnsi="Times New Roman"/>
          <w:sz w:val="22"/>
        </w:rPr>
        <w:t>(b)</w:t>
        <w:tab/>
      </w:r>
      <w:r>
        <w:rPr>
          <w:rFonts w:cs="Times New Roman" w:ascii="Times New Roman" w:hAnsi="Times New Roman"/>
          <w:b/>
          <w:sz w:val="22"/>
        </w:rPr>
        <w:t>Jurisdiction.</w:t>
      </w:r>
      <w:r>
        <w:rPr>
          <w:rFonts w:cs="Times New Roman" w:ascii="Times New Roman" w:hAnsi="Times New Roman"/>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none; Party B appoints as its Process Agent, none.</w:t>
      </w:r>
    </w:p>
    <w:p>
      <w:pPr>
        <w:pStyle w:val="Normal"/>
        <w:spacing w:lineRule="exact" w:line="240" w:before="36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 (h), and (i):</w:t>
      </w:r>
    </w:p>
    <w:p>
      <w:pPr>
        <w:pStyle w:val="Normal"/>
        <w:spacing w:lineRule="exact" w:line="240" w:before="240" w:after="0"/>
        <w:ind w:firstLine="720" w:start="720" w:end="0"/>
        <w:jc w:val="both"/>
        <w:rPr/>
      </w:pPr>
      <w:r>
        <w:rPr>
          <w:rFonts w:cs="Times New Roman" w:ascii="Times New Roman" w:hAnsi="Times New Roman"/>
          <w:sz w:val="22"/>
        </w:rPr>
        <w:t>(g)</w:t>
        <w:tab/>
      </w:r>
      <w:r>
        <w:rPr>
          <w:rFonts w:cs="Times New Roman" w:ascii="Times New Roman" w:hAnsi="Times New Roman"/>
          <w:b/>
          <w:sz w:val="22"/>
        </w:rPr>
        <w:t>Line of Business.</w:t>
      </w:r>
      <w:r>
        <w:rPr>
          <w:rFonts w:cs="Times New Roman" w:ascii="Times New Roman" w:hAnsi="Times New Roman"/>
          <w:sz w:val="22"/>
        </w:rPr>
        <w:t xml:space="preserve">  It is entering into this Agreement, any Credit Support Document to which it is a party and each Transaction evidenced hereby in conjunction with its line of business (including financial intermediation services) or the financing of its business.</w:t>
      </w:r>
    </w:p>
    <w:p>
      <w:pPr>
        <w:pStyle w:val="Normal"/>
        <w:spacing w:lineRule="exact" w:line="240" w:before="240" w:after="0"/>
        <w:ind w:firstLine="720" w:start="720" w:end="0"/>
        <w:jc w:val="both"/>
        <w:rPr/>
      </w:pPr>
      <w:r>
        <w:rPr>
          <w:rFonts w:cs="Times New Roman" w:ascii="Times New Roman" w:hAnsi="Times New Roman"/>
          <w:sz w:val="22"/>
        </w:rPr>
        <w:t>(h)</w:t>
      </w:r>
      <w:r>
        <w:rPr>
          <w:rFonts w:cs="Times New Roman" w:ascii="Times New Roman" w:hAnsi="Times New Roman"/>
          <w:b/>
          <w:sz w:val="22"/>
        </w:rPr>
        <w:tab/>
        <w:t>Standardization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(i)</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(i)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Without affecting or prejudicing the provisions of this Agreement requiring the calculation and payment of certain net payment amounts on Scheduled Payment Dates, all payments will be made without setoff or counterclaim;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i/>
          <w:sz w:val="22"/>
        </w:rPr>
        <w:t>,</w:t>
      </w:r>
      <w:r>
        <w:rPr>
          <w:rFonts w:cs="Times New Roman" w:ascii="Times New Roman" w:hAnsi="Times New Roman"/>
          <w:sz w:val="22"/>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end="0"/>
        <w:jc w:val="both"/>
        <w:rPr/>
      </w:pPr>
      <w:r>
        <w:rPr>
          <w:rFonts w:cs="Times New Roman" w:ascii="Times New Roman" w:hAnsi="Times New Roman"/>
          <w:sz w:val="22"/>
        </w:rPr>
        <w:t>(l)</w:t>
        <w:tab/>
      </w:r>
      <w:r>
        <w:rPr>
          <w:rFonts w:cs="Times New Roman" w:ascii="Times New Roman" w:hAnsi="Times New Roman"/>
          <w:b/>
          <w:sz w:val="22"/>
        </w:rPr>
        <w:t>Limitation of Rate.</w:t>
      </w:r>
      <w:r>
        <w:rPr>
          <w:rFonts w:cs="Times New Roman" w:ascii="Times New Roman" w:hAnsi="Times New Roman"/>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For the purpose of disclosure pursuant to the Interest Act (Canada), the yearly rate of interest to which any rate of interest payable under this Agreement that is calculated on any basis other than a full calendar year is equivalent may be determined by multiplying such rate by a fraction the numerator of which is the actual number of days in the calendar year in which such yearly rate of interest is to be ascertained and the denominator of which is the number of days comprising such other basis.</w:t>
      </w:r>
    </w:p>
    <w:p>
      <w:pPr>
        <w:pStyle w:val="Normal"/>
        <w:spacing w:lineRule="exact" w:line="24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end="0"/>
        <w:jc w:val="both"/>
        <w:rPr>
          <w:sz w:val="22"/>
        </w:rPr>
      </w:pPr>
      <w:r>
        <w:rPr>
          <w:sz w:val="22"/>
        </w:rPr>
        <w:t>[(m)</w:t>
        <w:tab/>
      </w:r>
      <w:r>
        <w:rPr>
          <w:b/>
          <w:sz w:val="22"/>
        </w:rPr>
        <w:t>English Language.</w:t>
      </w:r>
      <w:r>
        <w:rPr>
          <w:sz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rStyle w:val="FootnoteCharacters"/>
          <w:rStyle w:val="FootnoteReference"/>
          <w:sz w:val="22"/>
        </w:rPr>
        <w:footnoteReference w:id="2"/>
      </w:r>
    </w:p>
    <w:p>
      <w:pPr>
        <w:pStyle w:val="Normal"/>
        <w:spacing w:before="36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Normal"/>
        <w:tabs>
          <w:tab w:val="clear" w:pos="720"/>
          <w:tab w:val="left" w:pos="1350" w:leader="none"/>
        </w:tabs>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spacing w:lineRule="exact" w:line="240"/>
              <w:jc w:val="both"/>
              <w:rPr>
                <w:rFonts w:ascii="Times New Roman" w:hAnsi="Times New Roman" w:cs="Times New Roman"/>
                <w:sz w:val="22"/>
              </w:rPr>
            </w:pPr>
            <w:r>
              <w:rPr>
                <w:rFonts w:cs="Times New Roman" w:ascii="Times New Roman" w:hAnsi="Times New Roman"/>
                <w:b/>
                <w:sz w:val="22"/>
              </w:rPr>
              <w:t>CANADA CORP.</w:t>
            </w:r>
          </w:p>
          <w:p>
            <w:pPr>
              <w:pStyle w:val="Normal"/>
              <w:spacing w:lineRule="exact" w:line="240"/>
              <w:jc w:val="both"/>
              <w:rPr>
                <w:rFonts w:ascii="Times New Roman" w:hAnsi="Times New Roman" w:cs="Times New Roman"/>
                <w:sz w:val="22"/>
              </w:rPr>
            </w:pPr>
            <w:r>
              <w:rPr>
                <w:rFonts w:cs="Times New Roman" w:ascii="Times New Roman" w:hAnsi="Times New Roman"/>
                <w:sz w:val="22"/>
              </w:rPr>
            </w:r>
          </w:p>
          <w:p>
            <w:pPr>
              <w:pStyle w:val="Normal"/>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spacing w:lineRule="exact" w:line="240"/>
              <w:jc w:val="both"/>
              <w:rPr>
                <w:rFonts w:ascii="Times New Roman" w:hAnsi="Times New Roman" w:cs="Times New Roman"/>
                <w:sz w:val="22"/>
              </w:rPr>
            </w:pPr>
            <w:r>
              <w:rPr>
                <w:rFonts w:cs="Times New Roman" w:ascii="Times New Roman" w:hAnsi="Times New Roman"/>
                <w:b/>
                <w:sz w:val="22"/>
              </w:rPr>
              <w:t>[COUNTERPARTY]</w:t>
            </w:r>
            <w:r>
              <w:rPr>
                <w:rStyle w:val="FootnoteCharacters"/>
                <w:rStyle w:val="FootnoteReference"/>
                <w:sz w:val="22"/>
              </w:rPr>
              <w:footnoteReference w:id="3"/>
            </w:r>
          </w:p>
          <w:p>
            <w:pPr>
              <w:pStyle w:val="Normal"/>
              <w:spacing w:lineRule="exact" w:line="240"/>
              <w:jc w:val="both"/>
              <w:rPr>
                <w:rFonts w:ascii="Times New Roman" w:hAnsi="Times New Roman" w:cs="Times New Roman"/>
                <w:sz w:val="22"/>
              </w:rPr>
            </w:pPr>
            <w:r>
              <w:rPr>
                <w:rFonts w:cs="Times New Roman" w:ascii="Times New Roman" w:hAnsi="Times New Roman"/>
                <w:sz w:val="22"/>
              </w:rPr>
            </w:r>
          </w:p>
          <w:p>
            <w:pPr>
              <w:pStyle w:val="Normal"/>
              <w:spacing w:lineRule="exact" w:line="240"/>
              <w:jc w:val="both"/>
              <w:rPr>
                <w:rFonts w:ascii="Times New Roman" w:hAnsi="Times New Roman" w:cs="Times New Roman"/>
                <w:sz w:val="22"/>
              </w:rPr>
            </w:pPr>
            <w:r>
              <w:rPr>
                <w:rFonts w:cs="Times New Roman" w:ascii="Times New Roman" w:hAnsi="Times New Roman"/>
                <w:sz w:val="22"/>
              </w:rPr>
            </w:r>
          </w:p>
          <w:p>
            <w:pPr>
              <w:pStyle w:val="Normal"/>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rFonts w:ascii="Times New Roman" w:hAnsi="Times New Roman" w:cs="Times New Roman"/>
                <w:sz w:val="22"/>
              </w:rPr>
            </w:pPr>
            <w:r>
              <w:rPr>
                <w:rFonts w:cs="Times New Roman" w:ascii="Times New Roman" w:hAnsi="Times New Roman"/>
                <w:sz w:val="22"/>
              </w:rPr>
            </w:r>
          </w:p>
        </w:tc>
        <w:tc>
          <w:tcPr>
            <w:tcW w:w="4788" w:type="dxa"/>
            <w:tcBorders/>
          </w:tcPr>
          <w:p>
            <w:pPr>
              <w:pStyle w:val="Normal"/>
              <w:snapToGrid w:val="false"/>
              <w:spacing w:lineRule="exact" w:line="240"/>
              <w:jc w:val="both"/>
              <w:rPr>
                <w:rFonts w:ascii="Times New Roman" w:hAnsi="Times New Roman" w:cs="Times New Roman"/>
                <w:sz w:val="22"/>
              </w:rPr>
            </w:pPr>
            <w:r>
              <w:rPr>
                <w:rFonts w:cs="Times New Roman" w:ascii="Times New Roman" w:hAnsi="Times New Roman"/>
                <w:sz w:val="22"/>
              </w:rPr>
            </w:r>
          </w:p>
          <w:p>
            <w:pPr>
              <w:pStyle w:val="Normal"/>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52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t>[ANNEX A</w:t>
        <w:tab/>
        <w:t>[COLLATERAL AND EXPOSURE PROVISIONS][ISDA CREDIT SUPPORT ANNEX, including Paragraph 13 thereto]]</w:t>
      </w:r>
    </w:p>
    <w:p>
      <w:pPr>
        <w:pStyle w:val="Normal"/>
        <w:tabs>
          <w:tab w:val="clear" w:pos="720"/>
          <w:tab w:val="left" w:pos="2520" w:leader="none"/>
        </w:tabs>
        <w:spacing w:lineRule="exact" w:line="24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pStyle w:val="Normal"/>
        <w:tabs>
          <w:tab w:val="clear" w:pos="720"/>
          <w:tab w:val="left" w:pos="2520" w:leader="none"/>
        </w:tabs>
        <w:spacing w:lineRule="exact" w:line="240"/>
        <w:jc w:val="both"/>
        <w:rPr>
          <w:rFonts w:ascii="Times New Roman" w:hAnsi="Times New Roman" w:cs="Times New Roman"/>
          <w:sz w:val="22"/>
        </w:rPr>
      </w:pPr>
      <w:r>
        <w:rPr>
          <w:rFonts w:cs="Times New Roman" w:ascii="Times New Roman" w:hAnsi="Times New Roman"/>
          <w:sz w:val="22"/>
        </w:rPr>
        <w:t>[EXHIBIT A</w:t>
        <w:tab/>
        <w:t>FORM OF GUARANTY (PARTY A]</w:t>
      </w:r>
    </w:p>
    <w:p>
      <w:pPr>
        <w:sectPr>
          <w:footerReference w:type="default" r:id="rId2"/>
          <w:footnotePr>
            <w:numFmt w:val="decimal"/>
          </w:footnotePr>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left" w:pos="2520" w:leader="none"/>
        </w:tabs>
        <w:spacing w:lineRule="exact" w:line="240"/>
        <w:rPr>
          <w:rFonts w:ascii="Times New Roman" w:hAnsi="Times New Roman" w:cs="Times New Roman"/>
          <w:sz w:val="22"/>
        </w:rPr>
      </w:pPr>
      <w:r>
        <w:rPr>
          <w:rFonts w:cs="Times New Roman" w:ascii="Times New Roman" w:hAnsi="Times New Roman"/>
          <w:sz w:val="22"/>
        </w:rPr>
        <w:t>[EXHIBIT [A][B]</w:t>
        <w:tab/>
        <w:t>FORM OF GUARANTY (PARTY B)]</w:t>
      </w:r>
    </w:p>
    <w:p>
      <w:pPr>
        <w:pStyle w:val="Normal"/>
        <w:jc w:val="center"/>
        <w:rPr>
          <w:rFonts w:ascii="Times New Roman" w:hAnsi="Times New Roman" w:cs="Times New Roman"/>
          <w:b/>
          <w:sz w:val="22"/>
        </w:rPr>
      </w:pPr>
      <w:r>
        <w:rPr>
          <w:rFonts w:cs="Times New Roman" w:ascii="Times New Roman" w:hAnsi="Times New Roman"/>
          <w:b/>
          <w:sz w:val="22"/>
          <w:u w:val="single"/>
        </w:rPr>
        <w:t>ANNEX A</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PARAGRAPH 13</w:t>
      </w:r>
    </w:p>
    <w:p>
      <w:pPr>
        <w:pStyle w:val="Normal"/>
        <w:jc w:val="center"/>
        <w:rPr>
          <w:rFonts w:ascii="Times New Roman" w:hAnsi="Times New Roman" w:cs="Times New Roman"/>
          <w:b/>
          <w:sz w:val="22"/>
        </w:rPr>
      </w:pPr>
      <w:r>
        <w:rPr>
          <w:rFonts w:cs="Times New Roman" w:ascii="Times New Roman" w:hAnsi="Times New Roman"/>
          <w:b/>
          <w:sz w:val="22"/>
        </w:rPr>
        <w:t>to the</w:t>
      </w:r>
    </w:p>
    <w:p>
      <w:pPr>
        <w:pStyle w:val="Normal"/>
        <w:jc w:val="center"/>
        <w:rPr>
          <w:rFonts w:ascii="Times New Roman" w:hAnsi="Times New Roman" w:cs="Times New Roman"/>
          <w:b/>
          <w:sz w:val="22"/>
        </w:rPr>
      </w:pPr>
      <w:r>
        <w:rPr>
          <w:rFonts w:cs="Times New Roman" w:ascii="Times New Roman" w:hAnsi="Times New Roman"/>
          <w:b/>
          <w:sz w:val="22"/>
        </w:rPr>
        <w:t>CREDIT SUPPORT ANNEX</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CANADA CORP., a corporation organized under the law of the Province of Alberta ("Party A"), and</w:t>
            </w:r>
          </w:p>
        </w:tc>
        <w:tc>
          <w:tcPr>
            <w:tcW w:w="4608" w:type="dxa"/>
            <w:tcBorders/>
          </w:tcPr>
          <w:p>
            <w:pPr>
              <w:pStyle w:val="Normal"/>
              <w:tabs>
                <w:tab w:val="clear" w:pos="720"/>
                <w:tab w:val="center" w:pos="5760" w:leader="none"/>
              </w:tabs>
              <w:spacing w:before="240" w:after="0"/>
              <w:jc w:val="center"/>
              <w:rPr/>
            </w:pPr>
            <w:r>
              <w:rPr>
                <w:rFonts w:cs="Times New Roman" w:ascii="Times New Roman" w:hAnsi="Times New Roman"/>
                <w:b/>
                <w:sz w:val="22"/>
              </w:rPr>
              <w:t xml:space="preserve">_____________________________________, a _____________ organized under the law of the Province of ________ [a corporation incorporated under the </w:t>
            </w:r>
            <w:r>
              <w:rPr>
                <w:rFonts w:cs="Times New Roman" w:ascii="Times New Roman" w:hAnsi="Times New Roman"/>
                <w:b/>
                <w:i/>
                <w:sz w:val="22"/>
              </w:rPr>
              <w:t>Canada Business Corporations Act</w:t>
            </w:r>
            <w:r>
              <w:rPr>
                <w:rFonts w:cs="Times New Roman" w:ascii="Times New Roman" w:hAnsi="Times New Roman"/>
                <w:b/>
                <w:sz w:val="22"/>
              </w:rPr>
              <w:t>] ("Party B")</w:t>
            </w:r>
          </w:p>
        </w:tc>
      </w:tr>
    </w:tbl>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b/>
          <w:sz w:val="22"/>
        </w:rPr>
        <w:t>Paragraph 13.  Elections and Variables.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(a)</w:t>
        <w:tab/>
      </w:r>
      <w:r>
        <w:rPr>
          <w:rFonts w:cs="Times New Roman" w:ascii="Times New Roman" w:hAnsi="Times New Roman"/>
          <w:b/>
          <w:sz w:val="22"/>
        </w:rPr>
        <w:t>Security Interest for “Obligations”.</w:t>
      </w:r>
      <w:r>
        <w:rPr>
          <w:rFonts w:cs="Times New Roman" w:ascii="Times New Roman" w:hAnsi="Times New Roman"/>
          <w:sz w:val="22"/>
        </w:rPr>
        <w:t xml:space="preserve">  The term “</w:t>
      </w:r>
      <w:r>
        <w:rPr>
          <w:rFonts w:cs="Times New Roman" w:ascii="Times New Roman" w:hAnsi="Times New Roman"/>
          <w:b/>
          <w:sz w:val="22"/>
        </w:rPr>
        <w:t>Obligations”</w:t>
      </w:r>
      <w:r>
        <w:rPr>
          <w:rFonts w:cs="Times New Roman" w:ascii="Times New Roman" w:hAnsi="Times New Roman"/>
          <w:sz w:val="22"/>
        </w:rPr>
        <w:t xml:space="preserve"> as used in this Annex includes the following additional obligations:</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Normal"/>
        <w:ind w:start="630" w:end="0"/>
        <w:jc w:val="both"/>
        <w:rPr>
          <w:rFonts w:ascii="Times New Roman" w:hAnsi="Times New Roman" w:cs="Times New Roman"/>
          <w:sz w:val="22"/>
        </w:rPr>
      </w:pPr>
      <w:r>
        <w:rPr>
          <w:rFonts w:cs="Times New Roman" w:ascii="Times New Roman" w:hAnsi="Times New Roman"/>
          <w:sz w:val="22"/>
        </w:rPr>
        <w:t>With respect to Party A:  None.</w:t>
      </w:r>
    </w:p>
    <w:p>
      <w:pPr>
        <w:pStyle w:val="Normal"/>
        <w:ind w:start="630" w:end="0"/>
        <w:jc w:val="both"/>
        <w:rPr>
          <w:rFonts w:ascii="Times New Roman" w:hAnsi="Times New Roman" w:cs="Times New Roman"/>
          <w:sz w:val="22"/>
        </w:rPr>
      </w:pPr>
      <w:r>
        <w:rPr>
          <w:rFonts w:cs="Times New Roman" w:ascii="Times New Roman" w:hAnsi="Times New Roman"/>
          <w:sz w:val="22"/>
        </w:rPr>
      </w:r>
    </w:p>
    <w:p>
      <w:pPr>
        <w:pStyle w:val="Normal"/>
        <w:ind w:start="630" w:end="0"/>
        <w:jc w:val="both"/>
        <w:rPr>
          <w:rFonts w:ascii="Times New Roman" w:hAnsi="Times New Roman" w:cs="Times New Roman"/>
          <w:sz w:val="22"/>
        </w:rPr>
      </w:pPr>
      <w:r>
        <w:rPr>
          <w:rFonts w:cs="Times New Roman" w:ascii="Times New Roman" w:hAnsi="Times New Roman"/>
          <w:sz w:val="22"/>
        </w:rPr>
        <w:t>With respect to Party B:  None.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ind w:hanging="1260"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3(a).</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3(b).</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3.</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Eligible Collateral.</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(A)</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Cash in the form of Canadian or U.S. Dollars</w:t>
            </w:r>
            <w:r>
              <w:rPr>
                <w:rStyle w:val="FootnoteCharacters"/>
                <w:rStyle w:val="FootnoteReference"/>
                <w:rFonts w:cs="Times New Roman" w:ascii="Times New Roman" w:hAnsi="Times New Roman"/>
              </w:rPr>
              <w:footnoteReference w:id="4"/>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(B)</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Negotiable debt obligations issued by the Government of Canada or the U.S. Treasury Department having an original maturity at issuance of not more than one year (“Government Obligations”)</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98%</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(C)</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Other:</w:t>
              <w:tab/>
              <w:t>None</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Other Eligible Support.</w:t>
      </w:r>
      <w:r>
        <w:rPr>
          <w:rFonts w:cs="Times New Roman" w:ascii="Times New Roman" w:hAnsi="Times New Roman"/>
          <w:sz w:val="22"/>
        </w:rPr>
        <w:t xml:space="preserve">  The following items will qualify as </w:t>
      </w:r>
      <w:r>
        <w:rPr>
          <w:rFonts w:cs="Times New Roman" w:ascii="Times New Roman" w:hAnsi="Times New Roman"/>
          <w:b/>
          <w:sz w:val="22"/>
        </w:rPr>
        <w:t>“Other Eligible Support”</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p>
            <w:pPr>
              <w:pStyle w:val="Norma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3757" w:type="dxa"/>
            <w:tcBorders/>
          </w:tcPr>
          <w:p>
            <w:pPr>
              <w:pStyle w:val="Normal"/>
              <w:rPr>
                <w:rFonts w:ascii="Times New Roman" w:hAnsi="Times New Roman" w:cs="Times New Roman"/>
                <w:sz w:val="22"/>
              </w:rPr>
            </w:pPr>
            <w:r>
              <w:rPr>
                <w:rFonts w:cs="Times New Roman" w:ascii="Times New Roman" w:hAnsi="Times New Roman"/>
                <w:sz w:val="22"/>
              </w:rPr>
              <w:t xml:space="preserve">100% of the Value of the Other Eligible Support [unless a Letter of Credit Default shall apply with respect to such Letter of Credit in which case the Valuation Percentage shall be 0.] </w:t>
            </w:r>
            <w:r>
              <w:rPr>
                <w:rStyle w:val="FootnoteCharacters"/>
                <w:rStyle w:val="FootnoteReference"/>
                <w:sz w:val="22"/>
              </w:rPr>
              <w:footnoteReference w:id="5"/>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(iv)  </w:t>
      </w:r>
      <w:r>
        <w:rPr>
          <w:rFonts w:cs="Times New Roman" w:ascii="Times New Roman" w:hAnsi="Times New Roman"/>
          <w:b/>
          <w:sz w:val="22"/>
        </w:rPr>
        <w:t>Thresholds.</w:t>
      </w:r>
    </w:p>
    <w:p>
      <w:pPr>
        <w:pStyle w:val="Norma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sz w:val="22"/>
        </w:rPr>
        <w:t xml:space="preserve">(A)  </w:t>
      </w:r>
      <w:r>
        <w:rPr>
          <w:rFonts w:cs="Times New Roman" w:ascii="Times New Roman" w:hAnsi="Times New Roman"/>
          <w:b/>
          <w:sz w:val="22"/>
        </w:rPr>
        <w:t>“Independent Amount”</w:t>
      </w:r>
      <w:r>
        <w:rPr>
          <w:rFonts w:cs="Times New Roman" w:ascii="Times New Roman" w:hAnsi="Times New Roman"/>
          <w:sz w:val="22"/>
        </w:rPr>
        <w:t xml:space="preserve"> means with respect to Party A: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360" w:start="720" w:end="0"/>
        <w:jc w:val="both"/>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(B)  [</w:t>
      </w:r>
      <w:r>
        <w:rPr>
          <w:rFonts w:cs="Times New Roman" w:ascii="Times New Roman" w:hAnsi="Times New Roman"/>
          <w:b/>
          <w:sz w:val="22"/>
        </w:rPr>
        <w:t>“Threshold”</w:t>
      </w:r>
      <w:r>
        <w:rPr>
          <w:rFonts w:cs="Times New Roman" w:ascii="Times New Roman" w:hAnsi="Times New Roman"/>
          <w:sz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w:t>
      </w:r>
      <w:r>
        <w:rPr>
          <w:rFonts w:cs="Times New Roman" w:ascii="Times New Roman" w:hAnsi="Times New Roman"/>
          <w:b/>
          <w:sz w:val="22"/>
        </w:rPr>
        <w:t>“Threshold”</w:t>
      </w:r>
      <w:r>
        <w:rPr>
          <w:rFonts w:cs="Times New Roman" w:ascii="Times New Roman" w:hAnsi="Times New Roman"/>
          <w:sz w:val="22"/>
        </w:rPr>
        <w:t xml:space="preserve"> means, with respect to a party (a) the amount set forth opposite the lowest Credit Rating for the party (or [in the case of Party B, ____________ and] in the case of Party A, Enron Corp.)</w:t>
      </w:r>
      <w:r>
        <w:rPr>
          <w:rStyle w:val="FootnoteCharacters"/>
          <w:rStyle w:val="FootnoteReference"/>
          <w:sz w:val="22"/>
        </w:rPr>
        <w:footnoteReference w:id="6"/>
      </w:r>
      <w:r>
        <w:rPr>
          <w:rFonts w:cs="Times New Roman" w:ascii="Times New Roman" w:hAnsi="Times New Roman"/>
          <w:sz w:val="22"/>
        </w:rPr>
        <w:t xml:space="preserve"> on the relevant date of determination; or (b) zero if on the relevant date of determination (i) the party does not have a Credit Rating from either S&amp;P or Moody's, or (ii) an Event of Default or Potential Event of Default with respect to such party has occurred and is continuing:</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rFonts w:ascii="Times New Roman" w:hAnsi="Times New Roman" w:cs="Times New Roman"/>
                <w:sz w:val="22"/>
              </w:rPr>
            </w:pPr>
            <w:r>
              <w:rPr>
                <w:rFonts w:cs="Times New Roman" w:ascii="Times New Roman" w:hAnsi="Times New Roman"/>
                <w:b/>
                <w:sz w:val="22"/>
                <w:u w:val="single"/>
              </w:rPr>
              <w:t>THRESHOLD</w:t>
            </w:r>
          </w:p>
        </w:tc>
        <w:tc>
          <w:tcPr>
            <w:tcW w:w="2381" w:type="dxa"/>
            <w:tcBorders/>
          </w:tcPr>
          <w:p>
            <w:pPr>
              <w:pStyle w:val="Normal"/>
              <w:ind w:start="-18" w:end="0"/>
              <w:rPr>
                <w:rFonts w:ascii="Times New Roman" w:hAnsi="Times New Roman" w:cs="Times New Roman"/>
                <w:b/>
                <w:sz w:val="22"/>
                <w:u w:val="single"/>
              </w:rPr>
            </w:pPr>
            <w:r>
              <w:rPr>
                <w:rFonts w:cs="Times New Roman" w:ascii="Times New Roman" w:hAnsi="Times New Roman"/>
                <w:b/>
                <w:sz w:val="22"/>
                <w:u w:val="single"/>
              </w:rPr>
              <w:t>S&amp;P CREDIT RATING</w:t>
            </w:r>
          </w:p>
          <w:p>
            <w:pPr>
              <w:pStyle w:val="Normal"/>
              <w:ind w:start="-18" w:end="0"/>
              <w:rPr>
                <w:rFonts w:ascii="Times New Roman" w:hAnsi="Times New Roman" w:cs="Times New Roman"/>
                <w:b/>
                <w:sz w:val="22"/>
                <w:u w:val="single"/>
              </w:rPr>
            </w:pPr>
            <w:r>
              <w:rPr>
                <w:rFonts w:cs="Times New Roman" w:ascii="Times New Roman" w:hAnsi="Times New Roman"/>
                <w:b/>
                <w:sz w:val="22"/>
                <w:u w:val="single"/>
              </w:rPr>
            </w:r>
          </w:p>
        </w:tc>
        <w:tc>
          <w:tcPr>
            <w:tcW w:w="2479" w:type="dxa"/>
            <w:tcBorders/>
          </w:tcPr>
          <w:p>
            <w:pPr>
              <w:pStyle w:val="Normal"/>
              <w:rPr>
                <w:rFonts w:ascii="Times New Roman" w:hAnsi="Times New Roman" w:cs="Times New Roman"/>
                <w:b/>
                <w:sz w:val="22"/>
                <w:u w:val="single"/>
              </w:rPr>
            </w:pPr>
            <w:r>
              <w:rPr>
                <w:rFonts w:cs="Times New Roman" w:ascii="Times New Roman" w:hAnsi="Times New Roman"/>
                <w:b/>
                <w:sz w:val="22"/>
                <w:u w:val="single"/>
              </w:rPr>
              <w:t>MOODY'S CREDIT RATING</w:t>
            </w:r>
          </w:p>
          <w:p>
            <w:pPr>
              <w:pStyle w:val="Normal"/>
              <w:rPr>
                <w:rFonts w:ascii="Times New Roman" w:hAnsi="Times New Roman" w:cs="Times New Roman"/>
                <w:b/>
                <w:sz w:val="22"/>
                <w:u w:val="single"/>
              </w:rPr>
            </w:pPr>
            <w:r>
              <w:rPr>
                <w:rFonts w:cs="Times New Roman" w:ascii="Times New Roman" w:hAnsi="Times New Roman"/>
                <w:b/>
                <w:sz w:val="22"/>
                <w:u w:val="single"/>
              </w:rPr>
            </w:r>
          </w:p>
        </w:tc>
      </w:tr>
      <w:tr>
        <w:trPr/>
        <w:tc>
          <w:tcPr>
            <w:tcW w:w="2520" w:type="dxa"/>
            <w:tcBorders/>
          </w:tcPr>
          <w:p>
            <w:pPr>
              <w:pStyle w:val="Norma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ind w:start="-18" w:end="0"/>
              <w:rPr>
                <w:rFonts w:ascii="Times New Roman" w:hAnsi="Times New Roman" w:cs="Times New Roman"/>
                <w:sz w:val="22"/>
              </w:rPr>
            </w:pPr>
            <w:r>
              <w:rPr>
                <w:rFonts w:cs="Times New Roman" w:ascii="Times New Roman" w:hAnsi="Times New Roman"/>
                <w:sz w:val="22"/>
              </w:rPr>
              <w:t>AA (or above)</w:t>
            </w:r>
          </w:p>
        </w:tc>
        <w:tc>
          <w:tcPr>
            <w:tcW w:w="2479" w:type="dxa"/>
            <w:tcBorders/>
          </w:tcPr>
          <w:p>
            <w:pPr>
              <w:pStyle w:val="Normal"/>
              <w:rPr>
                <w:rFonts w:ascii="Times New Roman" w:hAnsi="Times New Roman" w:cs="Times New Roman"/>
                <w:sz w:val="22"/>
              </w:rPr>
            </w:pPr>
            <w:r>
              <w:rPr>
                <w:rFonts w:cs="Times New Roman" w:ascii="Times New Roman" w:hAnsi="Times New Roman"/>
                <w:sz w:val="22"/>
              </w:rPr>
              <w:t>Aa2 (or above)</w:t>
            </w:r>
          </w:p>
        </w:tc>
      </w:tr>
      <w:tr>
        <w:trPr/>
        <w:tc>
          <w:tcPr>
            <w:tcW w:w="2520" w:type="dxa"/>
            <w:tcBorders/>
          </w:tcPr>
          <w:p>
            <w:pPr>
              <w:pStyle w:val="Norma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ind w:start="-18" w:end="0"/>
              <w:rPr>
                <w:rFonts w:ascii="Times New Roman" w:hAnsi="Times New Roman" w:cs="Times New Roman"/>
                <w:sz w:val="22"/>
              </w:rPr>
            </w:pPr>
            <w:r>
              <w:rPr>
                <w:rFonts w:cs="Times New Roman" w:ascii="Times New Roman" w:hAnsi="Times New Roman"/>
                <w:sz w:val="22"/>
              </w:rPr>
              <w:t>AA- to A-</w:t>
            </w:r>
          </w:p>
        </w:tc>
        <w:tc>
          <w:tcPr>
            <w:tcW w:w="2479" w:type="dxa"/>
            <w:tcBorders/>
          </w:tcPr>
          <w:p>
            <w:pPr>
              <w:pStyle w:val="Normal"/>
              <w:rPr>
                <w:rFonts w:ascii="Times New Roman" w:hAnsi="Times New Roman" w:cs="Times New Roman"/>
                <w:sz w:val="22"/>
              </w:rPr>
            </w:pPr>
            <w:r>
              <w:rPr>
                <w:rFonts w:cs="Times New Roman" w:ascii="Times New Roman" w:hAnsi="Times New Roman"/>
                <w:sz w:val="22"/>
              </w:rPr>
              <w:t>Aa3 to A3</w:t>
            </w:r>
          </w:p>
        </w:tc>
      </w:tr>
      <w:tr>
        <w:trPr/>
        <w:tc>
          <w:tcPr>
            <w:tcW w:w="2520" w:type="dxa"/>
            <w:tcBorders/>
          </w:tcPr>
          <w:p>
            <w:pPr>
              <w:pStyle w:val="Normal"/>
              <w:rPr>
                <w:rFonts w:ascii="Times New Roman" w:hAnsi="Times New Roman" w:cs="Times New Roman"/>
                <w:sz w:val="22"/>
              </w:rPr>
            </w:pPr>
            <w:r>
              <w:rPr>
                <w:rFonts w:cs="Times New Roman" w:ascii="Times New Roman" w:hAnsi="Times New Roman"/>
                <w:sz w:val="22"/>
              </w:rPr>
              <w:t>U.S. $ ______________</w:t>
            </w:r>
          </w:p>
        </w:tc>
        <w:tc>
          <w:tcPr>
            <w:tcW w:w="2381" w:type="dxa"/>
            <w:tcBorders/>
          </w:tcPr>
          <w:p>
            <w:pPr>
              <w:pStyle w:val="Normal"/>
              <w:ind w:start="-18" w:end="0"/>
              <w:rPr>
                <w:rFonts w:ascii="Times New Roman" w:hAnsi="Times New Roman" w:cs="Times New Roman"/>
                <w:sz w:val="22"/>
              </w:rPr>
            </w:pPr>
            <w:r>
              <w:rPr>
                <w:rFonts w:cs="Times New Roman" w:ascii="Times New Roman" w:hAnsi="Times New Roman"/>
                <w:sz w:val="22"/>
              </w:rPr>
              <w:t>BBB+ and BBB</w:t>
            </w:r>
          </w:p>
        </w:tc>
        <w:tc>
          <w:tcPr>
            <w:tcW w:w="2479" w:type="dxa"/>
            <w:tcBorders/>
          </w:tcPr>
          <w:p>
            <w:pPr>
              <w:pStyle w:val="Normal"/>
              <w:rPr>
                <w:rFonts w:ascii="Times New Roman" w:hAnsi="Times New Roman" w:cs="Times New Roman"/>
                <w:sz w:val="22"/>
              </w:rPr>
            </w:pPr>
            <w:r>
              <w:rPr>
                <w:rFonts w:cs="Times New Roman" w:ascii="Times New Roman" w:hAnsi="Times New Roman"/>
                <w:sz w:val="22"/>
              </w:rPr>
              <w:t>Baa1 and Baa2</w:t>
            </w:r>
          </w:p>
        </w:tc>
      </w:tr>
      <w:tr>
        <w:trPr/>
        <w:tc>
          <w:tcPr>
            <w:tcW w:w="2520" w:type="dxa"/>
            <w:tcBorders/>
          </w:tcPr>
          <w:p>
            <w:pPr>
              <w:pStyle w:val="Normal"/>
              <w:rPr>
                <w:rFonts w:ascii="Times New Roman" w:hAnsi="Times New Roman" w:cs="Times New Roman"/>
                <w:sz w:val="22"/>
              </w:rPr>
            </w:pPr>
            <w:r>
              <w:rPr>
                <w:rFonts w:cs="Times New Roman" w:ascii="Times New Roman" w:hAnsi="Times New Roman"/>
                <w:sz w:val="22"/>
              </w:rPr>
              <w:t>U.S. $ _____________</w:t>
            </w:r>
          </w:p>
        </w:tc>
        <w:tc>
          <w:tcPr>
            <w:tcW w:w="2381" w:type="dxa"/>
            <w:tcBorders/>
          </w:tcPr>
          <w:p>
            <w:pPr>
              <w:pStyle w:val="Normal"/>
              <w:ind w:start="-18" w:end="0"/>
              <w:rPr>
                <w:rFonts w:ascii="Times New Roman" w:hAnsi="Times New Roman" w:cs="Times New Roman"/>
                <w:sz w:val="22"/>
              </w:rPr>
            </w:pPr>
            <w:r>
              <w:rPr>
                <w:rFonts w:cs="Times New Roman" w:ascii="Times New Roman" w:hAnsi="Times New Roman"/>
                <w:sz w:val="22"/>
              </w:rPr>
              <w:t>BBB-</w:t>
            </w:r>
          </w:p>
        </w:tc>
        <w:tc>
          <w:tcPr>
            <w:tcW w:w="2479" w:type="dxa"/>
            <w:tcBorders/>
          </w:tcPr>
          <w:p>
            <w:pPr>
              <w:pStyle w:val="Normal"/>
              <w:rPr>
                <w:rFonts w:ascii="Times New Roman" w:hAnsi="Times New Roman" w:cs="Times New Roman"/>
                <w:sz w:val="22"/>
              </w:rPr>
            </w:pPr>
            <w:r>
              <w:rPr>
                <w:rFonts w:cs="Times New Roman" w:ascii="Times New Roman" w:hAnsi="Times New Roman"/>
                <w:sz w:val="22"/>
              </w:rPr>
              <w:t>Baa3</w:t>
            </w:r>
          </w:p>
        </w:tc>
      </w:tr>
      <w:tr>
        <w:trPr/>
        <w:tc>
          <w:tcPr>
            <w:tcW w:w="2520" w:type="dxa"/>
            <w:tcBorders/>
          </w:tcPr>
          <w:p>
            <w:pPr>
              <w:pStyle w:val="Normal"/>
              <w:rPr>
                <w:rFonts w:ascii="Times New Roman" w:hAnsi="Times New Roman" w:cs="Times New Roman"/>
                <w:sz w:val="22"/>
              </w:rPr>
            </w:pPr>
            <w:r>
              <w:rPr>
                <w:rFonts w:cs="Times New Roman" w:ascii="Times New Roman" w:hAnsi="Times New Roman"/>
                <w:sz w:val="22"/>
              </w:rPr>
              <w:t>U.S. $ 0</w:t>
            </w:r>
          </w:p>
        </w:tc>
        <w:tc>
          <w:tcPr>
            <w:tcW w:w="2381" w:type="dxa"/>
            <w:tcBorders/>
          </w:tcPr>
          <w:p>
            <w:pPr>
              <w:pStyle w:val="Normal"/>
              <w:ind w:start="-18" w:end="0"/>
              <w:rPr>
                <w:rFonts w:ascii="Times New Roman" w:hAnsi="Times New Roman" w:cs="Times New Roman"/>
                <w:sz w:val="22"/>
              </w:rPr>
            </w:pPr>
            <w:r>
              <w:rPr>
                <w:rFonts w:cs="Times New Roman" w:ascii="Times New Roman" w:hAnsi="Times New Roman"/>
                <w:sz w:val="22"/>
              </w:rPr>
              <w:t>Below BBB-</w:t>
            </w:r>
          </w:p>
        </w:tc>
        <w:tc>
          <w:tcPr>
            <w:tcW w:w="2479" w:type="dxa"/>
            <w:tcBorders/>
          </w:tcPr>
          <w:p>
            <w:pPr>
              <w:pStyle w:val="Normal"/>
              <w:rPr>
                <w:rFonts w:ascii="Times New Roman" w:hAnsi="Times New Roman" w:cs="Times New Roman"/>
                <w:sz w:val="22"/>
              </w:rPr>
            </w:pPr>
            <w:r>
              <w:rPr>
                <w:rFonts w:cs="Times New Roman" w:ascii="Times New Roman" w:hAnsi="Times New Roman"/>
                <w:sz w:val="22"/>
              </w:rPr>
              <w:t>Below Baa3</w:t>
            </w:r>
          </w:p>
        </w:tc>
      </w:tr>
    </w:tbl>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$____ and the Return Amount will be rounded down to the nearest integral multiple of U.S. $____.</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  ]  the close of business in the city of the Valuation Agent on the Valuation Date or date of calculation, as applicable;</w:t>
      </w:r>
    </w:p>
    <w:p>
      <w:pPr>
        <w:pStyle w:val="Normal"/>
        <w:ind w:hanging="36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[X]  the close of business in the city of the Valuation Agent on the Local Business Day before the Valuation Date or date of calculation, as applicable;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10:00 a.m., Eastern time, on a Local Business Day: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(d)</w:t>
        <w:tab/>
      </w:r>
      <w:r>
        <w:rPr>
          <w:rFonts w:cs="Times New Roman" w:ascii="Times New Roman" w:hAnsi="Times New Roman"/>
          <w:b/>
          <w:sz w:val="22"/>
        </w:rPr>
        <w:t>Conditions Precedent and Secured Party’s Rights and Remedies.</w:t>
      </w:r>
      <w:r>
        <w:rPr>
          <w:rFonts w:cs="Times New Roman" w:ascii="Times New Roman" w:hAnsi="Times New Roman"/>
          <w:sz w:val="22"/>
        </w:rPr>
        <w:t xml:space="preserve">  The following Termination Event(s) will be a </w:t>
      </w:r>
      <w:r>
        <w:rPr>
          <w:rFonts w:cs="Times New Roman" w:ascii="Times New Roman" w:hAnsi="Times New Roman"/>
          <w:b/>
          <w:sz w:val="22"/>
        </w:rPr>
        <w:t>“Specified Condition”</w:t>
      </w:r>
      <w:r>
        <w:rPr>
          <w:rFonts w:cs="Times New Roman" w:ascii="Times New Roman" w:hAnsi="Times New Roman"/>
          <w:sz w:val="22"/>
        </w:rPr>
        <w:t xml:space="preserve"> for the party specified (that party being the Affected Party if the Termination Event occurs with respect to that party):</w:t>
      </w:r>
    </w:p>
    <w:p>
      <w:pPr>
        <w:pStyle w:val="Normal"/>
        <w:ind w:start="2160" w:end="0"/>
        <w:jc w:val="both"/>
        <w:rPr>
          <w:rFonts w:ascii="Times New Roman" w:hAnsi="Times New Roman" w:cs="Times New Roman"/>
          <w:sz w:val="22"/>
        </w:rPr>
      </w:pPr>
      <w:r>
        <w:rPr>
          <w:rFonts w:cs="Times New Roman"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rFonts w:ascii="Times New Roman" w:hAnsi="Times New Roman" w:cs="Times New Roman"/>
                <w:b/>
                <w:sz w:val="22"/>
              </w:rPr>
            </w:pPr>
            <w:r>
              <w:rPr>
                <w:rFonts w:cs="Times New Roman" w:ascii="Times New Roman" w:hAnsi="Times New Roman"/>
                <w:b/>
                <w:sz w:val="22"/>
              </w:rPr>
              <w:t>Specified Condition</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Illegality</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Credit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Additional Termination Event(s):</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r>
    </w:tbl>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Substitution.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pPr>
      <w:r>
        <w:rPr>
          <w:rFonts w:cs="Times New Roman" w:ascii="Times New Roman" w:hAnsi="Times New Roman"/>
          <w:sz w:val="22"/>
        </w:rPr>
        <w:t xml:space="preserve">(i)  </w:t>
      </w:r>
      <w:r>
        <w:rPr>
          <w:rFonts w:cs="Times New Roman" w:ascii="Times New Roman" w:hAnsi="Times New Roman"/>
          <w:b/>
          <w:sz w:val="22"/>
        </w:rPr>
        <w:t>“Substitution Date”</w:t>
      </w:r>
      <w:r>
        <w:rPr>
          <w:rFonts w:cs="Times New Roman" w:ascii="Times New Roman" w:hAnsi="Times New Roman"/>
          <w:sz w:val="22"/>
        </w:rPr>
        <w:t xml:space="preserve"> has the meaning specified in Paragraph 4(d)(ii).</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Consent.</w:t>
      </w:r>
      <w:r>
        <w:rPr>
          <w:rFonts w:cs="Times New Roman" w:ascii="Times New Roman" w:hAnsi="Times New Roman"/>
          <w:sz w:val="22"/>
        </w:rPr>
        <w:t xml:space="preserve">  If specified here as applicable, then the Pledgor must obtain the Secured Party’s consent for any substitution pursuant to Paragraph 4(d):  Inapplicable.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(f)  </w:t>
      </w:r>
      <w:r>
        <w:rPr>
          <w:rFonts w:cs="Times New Roman" w:ascii="Times New Roman" w:hAnsi="Times New Roman"/>
          <w:b/>
          <w:sz w:val="22"/>
        </w:rPr>
        <w:t>Dispute Resolution.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Eastern time, on the third Local Business Day following the date on which notice of the dispute is given under Paragraph 5.</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5(i)(C) and 5(ii), the Value of Posted Credit Support as of the relevant calculation date will be calculated as follows: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With respect to cash, the face amount thereof; and</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 xml:space="preserve">(2)  With respect to any Government Obligations, the sum of (A)(x) the mean of the high bid and low asked prices quoted on such date by two principal market makers of recognized national standing (each a </w:t>
      </w:r>
      <w:r>
        <w:rPr>
          <w:rFonts w:cs="Times New Roman" w:ascii="Times New Roman" w:hAnsi="Times New Roman"/>
          <w:b/>
          <w:sz w:val="22"/>
        </w:rPr>
        <w:t>“Principal Market Maker”</w:t>
      </w:r>
      <w:r>
        <w:rPr>
          <w:rFonts w:cs="Times New Roman"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rFonts w:ascii="Times New Roman" w:hAnsi="Times New Roman" w:cs="Times New Roman"/>
          <w:sz w:val="22"/>
        </w:rPr>
      </w:pPr>
      <w:r>
        <w:rPr>
          <w:rFonts w:cs="Times New Roman" w:ascii="Times New Roman" w:hAnsi="Times New Roman"/>
          <w:sz w:val="22"/>
        </w:rPr>
        <w:t>[(iv)  The provisions of Paragraph 5(i)(B) are hereby amended by inserting the following immediately before the word “and” in line 5 thereof:</w:t>
      </w:r>
    </w:p>
    <w:p>
      <w:pPr>
        <w:pStyle w:val="Normal"/>
        <w:spacing w:before="240" w:after="0"/>
        <w:ind w:start="720" w:end="0"/>
        <w:jc w:val="both"/>
        <w:rPr>
          <w:rFonts w:ascii="Times New Roman" w:hAnsi="Times New Roman" w:cs="Times New Roman"/>
          <w:sz w:val="22"/>
        </w:rPr>
      </w:pPr>
      <w:r>
        <w:rPr>
          <w:rFonts w:cs="Times New Roman" w:ascii="Times New Roman" w:hAnsi="Times New Roman"/>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r>
        <w:rPr>
          <w:rStyle w:val="FootnoteCharacters"/>
          <w:rStyle w:val="FootnoteReference"/>
          <w:sz w:val="22"/>
        </w:rPr>
        <w:footnoteReference w:id="7"/>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Holding and Using Posted Collateral.</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Eligibility to Hold Posted Collateral; Custodians.</w:t>
      </w:r>
      <w:r>
        <w:rPr>
          <w:rFonts w:cs="Times New Roman" w:ascii="Times New Roman" w:hAnsi="Times New Roman"/>
          <w:sz w:val="22"/>
        </w:rPr>
        <w:t xml:space="preserve">  Party A and its Custodian will be entitled to hold Posted Collateral pursuant to Paragraph 6(b);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xml:space="preserve"> the following conditions applicable to it are satisfied:</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Party A is not a Defaulting Party and [Party A’s Credit Support Provider] [Enron Corp.] has a Credit Rating and the lowest Credit Rating for [Party A’s Credit Support Provider] [Enron Corp.] is “BBB-” or higher by S&amp;P[ or “Baa3” or higher by Moody’s].</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(i) Posted Collateral in the form of Cash may be held in any jurisdiction within Canada, (ii) posted Collateral in the form of Government Obligations may be held in any jurisdiction within Canada or the United States., and (iii) Posted Collateral in the form of Letters of Credit may be held in any jurisdiction within Canada or the United States.</w:t>
      </w:r>
      <w:r>
        <w:rPr>
          <w:rStyle w:val="FootnoteCharacters"/>
          <w:rStyle w:val="FootnoteReference"/>
          <w:rFonts w:cs="Times New Roman" w:ascii="Times New Roman" w:hAnsi="Times New Roman"/>
          <w:sz w:val="22"/>
        </w:rPr>
        <w:footnoteReference w:id="8"/>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Party B and its Custodian will be entitled to hold Posted Collateral pursuant to Paragraph 6(b); </w:t>
      </w:r>
      <w:r>
        <w:rPr>
          <w:rFonts w:cs="Times New Roman" w:ascii="Times New Roman" w:hAnsi="Times New Roman"/>
          <w:sz w:val="22"/>
          <w:u w:val="single"/>
        </w:rPr>
        <w:t>provided that</w:t>
      </w:r>
      <w:r>
        <w:rPr>
          <w:rFonts w:cs="Times New Roman" w:ascii="Times New Roman" w:hAnsi="Times New Roman"/>
          <w:sz w:val="22"/>
        </w:rPr>
        <w:t xml:space="preserve"> the following conditions applicable to it are satisfied:</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Party B is not a Defaulting Party and [[it] [its Credit Support Provider] has a Credit Rating and the lowest Credit Rating for [it] [its Credit Support Provider] is “___” or higher by S&amp;P[ or “___” or higher by Moody’s] [or “___” or higher by DBRS] [a Material Adverse Change has not occurred with respect to Party B].</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(i) Posted Collateral may be held only in the following jurisdictions:  (i) Posted Collateral in the form of Cash may be held in any jurisdiction within Canada, (ii) posted Collateral in the form of Government Obligations may be held in any jurisdiction within Canada or the United States, and (iii) Posted Collateral in the form of Letters of Credit may be held in any jurisdiction within Canada or the United States.</w:t>
      </w:r>
      <w:r>
        <w:rPr>
          <w:rStyle w:val="FootnoteCharacters"/>
          <w:rStyle w:val="FootnoteReference"/>
          <w:rFonts w:cs="Times New Roman" w:ascii="Times New Roman" w:hAnsi="Times New Roman"/>
          <w:sz w:val="22"/>
        </w:rPr>
        <w:footnoteReference w:id="9"/>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Use of Posted Collateral.</w:t>
      </w:r>
      <w:r>
        <w:rPr>
          <w:rFonts w:cs="Times New Roman" w:ascii="Times New Roman" w:hAnsi="Times New Roman"/>
          <w:sz w:val="22"/>
        </w:rPr>
        <w:t xml:space="preserve">  The provisions of Paragraph 6(c) will apply to the parties;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if a party is not eligible to hold Posted Collateral pursuant to Paragraph 13(g)(i) (such party shall be the </w:t>
      </w:r>
      <w:r>
        <w:rPr>
          <w:rFonts w:cs="Times New Roman" w:ascii="Times New Roman" w:hAnsi="Times New Roman"/>
          <w:b/>
          <w:sz w:val="22"/>
        </w:rPr>
        <w:t>“Downgraded Party”</w:t>
      </w:r>
      <w:r>
        <w:rPr>
          <w:rFonts w:cs="Times New Roman" w:ascii="Times New Roman" w:hAnsi="Times New Roman"/>
          <w:sz w:val="22"/>
        </w:rPr>
        <w:t xml:space="preserve"> and the event that caused it to be ineligible to hold Posted Collateral shall be a </w:t>
      </w:r>
      <w:r>
        <w:rPr>
          <w:rFonts w:cs="Times New Roman" w:ascii="Times New Roman" w:hAnsi="Times New Roman"/>
          <w:b/>
          <w:sz w:val="22"/>
        </w:rPr>
        <w:t>“Credit Rating Event”</w:t>
      </w:r>
      <w:r>
        <w:rPr>
          <w:rFonts w:cs="Times New Roman" w:ascii="Times New Roman" w:hAnsi="Times New Roman"/>
          <w:sz w:val="22"/>
        </w:rPr>
        <w:t>), then:</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the provisions of Paragraph 6(c) will not apply with respect to the Downgraded Party as the Secured Party; and</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or “A(low”) in the case of DBRS (</w:t>
      </w:r>
      <w:r>
        <w:rPr>
          <w:rFonts w:cs="Times New Roman" w:ascii="Times New Roman" w:hAnsi="Times New Roman"/>
          <w:b/>
          <w:sz w:val="22"/>
        </w:rPr>
        <w:t>“Qualified Institution”</w:t>
      </w:r>
      <w:r>
        <w:rPr>
          <w:rFonts w:cs="Times New Roman" w:ascii="Times New Roman" w:hAnsi="Times New Roman"/>
          <w:sz w:val="22"/>
        </w:rPr>
        <w:t>), approved by the non-Downgraded Party (which approval shall not be unreasonably withheld) to a segregated, safekeeping or custody account (</w:t>
      </w:r>
      <w:r>
        <w:rPr>
          <w:rFonts w:cs="Times New Roman" w:ascii="Times New Roman" w:hAnsi="Times New Roman"/>
          <w:b/>
          <w:sz w:val="22"/>
        </w:rPr>
        <w:t>“Collateral Account”</w:t>
      </w:r>
      <w:r>
        <w:rPr>
          <w:rFonts w:cs="Times New Roman" w:ascii="Times New Roman" w:hAnsi="Times New Roman"/>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Distributions and Interest Amount.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will be:  (i) for Cash in the form of United States Dollars, the Federal Funds Overnight Rate as from time to time in effect, or (ii) for Cash in the form of Canadian Dollars, the Prime Rate.</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third Local Business Day of each calendar month and on any Local Business Day that Posted Collateral in the form of Cash is Transferred to the Pledgor pursuant to Paragraph 3(b).</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6(d)(ii) will apply except as modified below.</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(B)  If Transfer of an Interest Amount (or any portion thereof) to a Pledgor on any day would result in, or increase, a Delivery Amount (treating the day as a Valuation Day, as provided in Paragraph 6(d)(ii)) but the Pledgor would nonetheless have no obligation to make a Transfer pursuant to Paragraph 3(a) on that day if it were a Valuation Day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(iv)</w:t>
        <w:tab/>
        <w:t xml:space="preserve">The definition of </w:t>
      </w:r>
      <w:r>
        <w:rPr>
          <w:rFonts w:cs="Times New Roman" w:ascii="Times New Roman" w:hAnsi="Times New Roman"/>
          <w:b/>
          <w:sz w:val="22"/>
        </w:rPr>
        <w:t>“Interest Amount”</w:t>
      </w:r>
      <w:r>
        <w:rPr>
          <w:rFonts w:cs="Times New Roman" w:ascii="Times New Roman" w:hAnsi="Times New Roman"/>
          <w:sz w:val="22"/>
        </w:rPr>
        <w:t xml:space="preserve"> contained in Paragraph 12 shall be amended to substitute “365/366” for “360” in clause (z).</w:t>
      </w:r>
      <w:r>
        <w:rPr>
          <w:rStyle w:val="FootnoteCharacters"/>
          <w:rStyle w:val="FootnoteReference"/>
          <w:rFonts w:cs="Times New Roman" w:ascii="Times New Roman" w:hAnsi="Times New Roman"/>
          <w:sz w:val="22"/>
        </w:rPr>
        <w:footnoteReference w:id="10"/>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Additional Representation(s) and Covenants.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(j)</w:t>
        <w:tab/>
      </w:r>
      <w:r>
        <w:rPr>
          <w:rFonts w:cs="Times New Roman" w:ascii="Times New Roman" w:hAnsi="Times New Roman"/>
          <w:b/>
          <w:sz w:val="22"/>
        </w:rPr>
        <w:t>Other Eligible Support and Other Posted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“Value”</w:t>
      </w:r>
      <w:r>
        <w:rPr>
          <w:rFonts w:cs="Times New Roman" w:ascii="Times New Roman" w:hAnsi="Times New Roman"/>
          <w:sz w:val="22"/>
        </w:rPr>
        <w:t xml:space="preserve"> with respect to Other Eligible Support and Other Posted Support means:  The stated amount then available under the Letter of Credit to be unconditionally drawn by the Secured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w:t>
      </w:r>
      <w:r>
        <w:rPr>
          <w:rFonts w:cs="Times New Roman"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All Other Eligible Support and Other Posted Support consisting of Letters of Credit shall be issued and maintained in accordance with the provisions set forth in </w:t>
      </w:r>
      <w:r>
        <w:rPr>
          <w:rFonts w:cs="Times New Roman" w:ascii="Times New Roman" w:hAnsi="Times New Roman"/>
          <w:sz w:val="22"/>
          <w:u w:val="single"/>
        </w:rPr>
        <w:t>Exhibit A</w:t>
      </w:r>
      <w:r>
        <w:rPr>
          <w:rFonts w:cs="Times New Roman" w:ascii="Times New Roman" w:hAnsi="Times New Roman"/>
          <w:sz w:val="22"/>
        </w:rPr>
        <w:t xml:space="preserve"> and </w:t>
      </w:r>
      <w:r>
        <w:rPr>
          <w:rFonts w:cs="Times New Roman" w:ascii="Times New Roman" w:hAnsi="Times New Roman"/>
          <w:sz w:val="22"/>
          <w:u w:val="single"/>
        </w:rPr>
        <w:t>Schedule 1</w:t>
      </w:r>
      <w:r>
        <w:rPr>
          <w:rFonts w:cs="Times New Roman" w:ascii="Times New Roman" w:hAnsi="Times New Roman"/>
          <w:sz w:val="22"/>
        </w:rPr>
        <w:t xml:space="preserve"> attached hereto.</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(k)</w:t>
        <w:tab/>
      </w:r>
      <w:r>
        <w:rPr>
          <w:rFonts w:cs="Times New Roman" w:ascii="Times New Roman" w:hAnsi="Times New Roman"/>
          <w:b/>
          <w:sz w:val="22"/>
        </w:rPr>
        <w:t>Demands and Notices.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demands, specifications, and notices under this Annex will be made pursuant to the Notices Section of this Agreement.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(l)</w:t>
        <w:tab/>
      </w:r>
      <w:r>
        <w:rPr>
          <w:rFonts w:cs="Times New Roman" w:ascii="Times New Roman" w:hAnsi="Times New Roman"/>
          <w:b/>
          <w:sz w:val="22"/>
        </w:rPr>
        <w:t>Addresses for Transfers.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1080" w:start="1800" w:end="0"/>
        <w:jc w:val="both"/>
        <w:rPr>
          <w:rFonts w:ascii="Times New Roman" w:hAnsi="Times New Roman" w:cs="Times New Roman"/>
          <w:sz w:val="22"/>
        </w:rPr>
      </w:pPr>
      <w:r>
        <w:rPr>
          <w:rFonts w:cs="Times New Roman" w:ascii="Times New Roman" w:hAnsi="Times New Roman"/>
          <w:sz w:val="22"/>
        </w:rPr>
        <w:t>Party A:     To be provided in notice requesting delivery/return of Eligible Credit Support/Posted Credit Support.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BodyTextIndent"/>
        <w:ind w:hanging="1080" w:start="1800" w:end="0"/>
        <w:rPr/>
      </w:pPr>
      <w:r>
        <w:rPr/>
        <w:t>Party B:    To be provided in notice requesting delivery/return of Eligible Credit Support/Posted Credit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ind w:hanging="720" w:start="720" w:end="0"/>
        <w:jc w:val="both"/>
        <w:rPr>
          <w:rFonts w:ascii="Times New Roman" w:hAnsi="Times New Roman" w:cs="Times New Roman"/>
          <w:sz w:val="22"/>
        </w:rPr>
      </w:pPr>
      <w:r>
        <w:rPr>
          <w:rFonts w:cs="Times New Roman" w:ascii="Times New Roman" w:hAnsi="Times New Roman"/>
          <w:sz w:val="22"/>
        </w:rPr>
        <w:t>(m)</w:t>
        <w:tab/>
      </w:r>
      <w:r>
        <w:rPr>
          <w:rFonts w:cs="Times New Roman" w:ascii="Times New Roman" w:hAnsi="Times New Roman"/>
          <w:b/>
          <w:sz w:val="22"/>
        </w:rPr>
        <w:t>Other Provisions.</w:t>
      </w:r>
    </w:p>
    <w:p>
      <w:pPr>
        <w:pStyle w:val="Normal"/>
        <w:keepNext w:val="true"/>
        <w:ind w:hanging="720" w:start="1440" w:end="0"/>
        <w:jc w:val="both"/>
        <w:rPr>
          <w:rFonts w:ascii="Times New Roman" w:hAnsi="Times New Roman" w:cs="Times New Roman"/>
          <w:sz w:val="22"/>
        </w:rPr>
      </w:pPr>
      <w:r>
        <w:rPr>
          <w:rFonts w:cs="Times New Roman" w:ascii="Times New Roman" w:hAnsi="Times New Roman"/>
          <w:sz w:val="22"/>
        </w:rPr>
      </w:r>
    </w:p>
    <w:p>
      <w:pPr>
        <w:pStyle w:val="Normal"/>
        <w:keepNext w:val="true"/>
        <w:ind w:hanging="720" w:start="1440" w:end="0"/>
        <w:jc w:val="both"/>
        <w:rPr>
          <w:rFonts w:ascii="Times New Roman" w:hAnsi="Times New Roman" w:cs="Times New Roman"/>
          <w:sz w:val="22"/>
        </w:rPr>
      </w:pPr>
      <w:r>
        <w:rPr>
          <w:rFonts w:cs="Times New Roman" w:ascii="Times New Roman" w:hAnsi="Times New Roman"/>
          <w:sz w:val="22"/>
        </w:rPr>
        <w:t>(i)  Paragraph 12 of this Annex is hereby amended by adding the following:</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DBRS or the other specified rating agency or agencies.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DBRS”</w:t>
      </w:r>
      <w:r>
        <w:rPr>
          <w:rFonts w:cs="Times New Roman" w:ascii="Times New Roman" w:hAnsi="Times New Roman"/>
          <w:sz w:val="22"/>
        </w:rPr>
        <w:t xml:space="preserve"> means Dominion Bonds Rating Service Limited or its successor.</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transferable, standby letter of credit, issued by a major Canadian or U.S. commercial bank or foreign bank with a Canadian or U.S. branch office with a Credit Rating of at least “A-” by S&amp;P, “A3” by Moody’s or “A(low)” by DBRS,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this Agreement].</w:t>
      </w:r>
      <w:r>
        <w:rPr>
          <w:rStyle w:val="FootnoteCharacters"/>
          <w:rStyle w:val="FootnoteReference"/>
          <w:sz w:val="22"/>
        </w:rPr>
        <w:footnoteReference w:id="11"/>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________________________________________.</w:t>
      </w:r>
      <w:r>
        <w:rPr>
          <w:rStyle w:val="FootnoteCharacters"/>
          <w:rStyle w:val="FootnoteReference"/>
          <w:rFonts w:cs="Times New Roman" w:ascii="Times New Roman" w:hAnsi="Times New Roman"/>
          <w:sz w:val="22"/>
        </w:rPr>
        <w:footnoteReference w:id="12"/>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Prime Rate”</w:t>
      </w:r>
      <w:r>
        <w:rPr>
          <w:rFonts w:cs="Times New Roman" w:ascii="Times New Roman" w:hAnsi="Times New Roman"/>
          <w:sz w:val="22"/>
        </w:rPr>
        <w:t xml:space="preserve"> means, for any date, the per annum rate of interest identified by the Royal Bank of Canada from time to time as the prime lending rate charged to its most creditworthy customers for commercial loans in Calgary and/or Toronto.</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  Paragraph 6(d)(i) is hereby amended by adding the following sentence: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4(a) and only to the extent contemplated in the previous sentence,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[(iii)  Paragraph 3(b) is hereby amended by adding the following after the phrase “(rounded pursuant to Paragraph 13)” in the fifth line thereof:</w:t>
      </w:r>
    </w:p>
    <w:p>
      <w:pPr>
        <w:pStyle w:val="Normal"/>
        <w:ind w:start="720" w:end="0"/>
        <w:jc w:val="both"/>
        <w:rPr>
          <w:rFonts w:ascii="Times New Roman" w:hAnsi="Times New Roman" w:cs="Times New Roman"/>
          <w:sz w:val="22"/>
        </w:rPr>
      </w:pPr>
      <w:r>
        <w:rPr>
          <w:rFonts w:cs="Times New Roman" w:ascii="Times New Roman" w:hAnsi="Times New Roman"/>
          <w:sz w:val="22"/>
        </w:rPr>
      </w:r>
    </w:p>
    <w:p>
      <w:pPr>
        <w:sectPr>
          <w:footerReference w:type="default" r:id="rId3"/>
          <w:footerReference w:type="first" r:id="rId4"/>
          <w:footnotePr>
            <w:numFmt w:val="decimal"/>
          </w:footnotePr>
          <w:type w:val="nextPage"/>
          <w:pgSz w:w="12240" w:h="15840"/>
          <w:pgMar w:left="1080" w:right="1080" w:gutter="0" w:header="0" w:top="1440" w:footer="720" w:bottom="1440"/>
          <w:pgNumType w:start="1" w:fmt="decimal"/>
          <w:formProt w:val="false"/>
          <w:textDirection w:val="lrTb"/>
          <w:docGrid w:type="default" w:linePitch="360" w:charSpace="0"/>
        </w:sectPr>
        <w:pStyle w:val="Normal"/>
        <w:ind w:start="720" w:end="0"/>
        <w:jc w:val="both"/>
        <w:rPr/>
      </w:pP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the Secured Party will, upon the Pledgor’s request, Transfer to the Pledgor all Posted Credit Support if the amount of such Posted Credit Support is material and if the Pledgor’s Credit Support Amount is zero.”</w:t>
      </w:r>
      <w:r>
        <w:rPr>
          <w:rStyle w:val="FootnoteCharacters"/>
          <w:rFonts w:cs="Times New Roman" w:ascii="Times New Roman" w:hAnsi="Times New Roman"/>
          <w:sz w:val="22"/>
        </w:rPr>
        <w:t xml:space="preserve"> </w:t>
      </w:r>
      <w:r>
        <w:rPr>
          <w:rStyle w:val="FootnoteCharacters"/>
          <w:rStyle w:val="FootnoteReference"/>
          <w:rFonts w:cs="Times New Roman" w:ascii="Times New Roman" w:hAnsi="Times New Roman"/>
          <w:sz w:val="22"/>
        </w:rPr>
        <w:footnoteReference w:id="13"/>
      </w:r>
      <w:r>
        <w:rPr>
          <w:rFonts w:cs="Times New Roman" w:ascii="Times New Roman" w:hAnsi="Times New Roman"/>
          <w:sz w:val="22"/>
        </w:rPr>
        <w:t>]</w:t>
      </w:r>
    </w:p>
    <w:p>
      <w:pPr>
        <w:pStyle w:val="Normal"/>
        <w:jc w:val="center"/>
        <w:rPr>
          <w:rFonts w:ascii="Times New Roman" w:hAnsi="Times New Roman" w:cs="Times New Roman"/>
          <w:b/>
          <w:sz w:val="22"/>
        </w:rPr>
      </w:pPr>
      <w:r>
        <w:rPr>
          <w:rFonts w:cs="Times New Roman" w:ascii="Times New Roman" w:hAnsi="Times New Roman"/>
          <w:b/>
          <w:sz w:val="22"/>
          <w:u w:val="single"/>
        </w:rPr>
        <w:t>EXHIBIT A</w:t>
      </w:r>
    </w:p>
    <w:p>
      <w:pPr>
        <w:pStyle w:val="Normal"/>
        <w:jc w:val="center"/>
        <w:rPr>
          <w:rFonts w:ascii="Times New Roman" w:hAnsi="Times New Roman" w:cs="Times New Roman"/>
          <w:b/>
          <w:sz w:val="22"/>
        </w:rPr>
      </w:pPr>
      <w:r>
        <w:rPr>
          <w:rFonts w:cs="Times New Roman" w:ascii="Times New Roman" w:hAnsi="Times New Roman"/>
          <w:b/>
          <w:sz w:val="22"/>
        </w:rPr>
        <w:t>to Paragraph 13</w:t>
      </w:r>
    </w:p>
    <w:p>
      <w:pPr>
        <w:pStyle w:val="Normal"/>
        <w:jc w:val="center"/>
        <w:rPr>
          <w:rFonts w:ascii="Times New Roman" w:hAnsi="Times New Roman" w:cs="Times New Roman"/>
          <w:sz w:val="22"/>
        </w:rPr>
      </w:pPr>
      <w:r>
        <w:rPr>
          <w:rFonts w:cs="Times New Roman" w:ascii="Times New Roman" w:hAnsi="Times New Roman"/>
          <w:b/>
          <w:sz w:val="22"/>
        </w:rPr>
        <w:t>of Annex A</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b/>
          <w:sz w:val="22"/>
        </w:rPr>
        <w:t>LETTER OF CREDIT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I.  </w:t>
      </w:r>
      <w:r>
        <w:rPr>
          <w:rFonts w:cs="Times New Roman" w:ascii="Times New Roman" w:hAnsi="Times New Roman"/>
          <w:b/>
          <w:sz w:val="22"/>
          <w:u w:val="single"/>
        </w:rPr>
        <w:t>Letters of Credit</w:t>
      </w:r>
      <w:r>
        <w:rPr>
          <w:rFonts w:cs="Times New Roman" w:ascii="Times New Roman" w:hAnsi="Times New Roman"/>
          <w:sz w:val="22"/>
        </w:rPr>
        <w:t>.  Posted Credit Support provided by one party (“X”) for the benefit of the other (“Y”) in the form of a Letter of Credit shall be subject to the following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other than the bank failing to honor the outstanding Letter of Credit, within two (2) Local Business Days after such refusal.</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pPr>
      <w:r>
        <w:rPr>
          <w:rFonts w:cs="Times New Roman" w:ascii="Times New Roman" w:hAnsi="Times New Roman"/>
          <w:sz w:val="22"/>
        </w:rPr>
        <w:t xml:space="preserve">(b)  Upon the occurrence of a Letter of Credit Default, X agrees to deliver a substitute Letter of Credit to Y on or before the second Local Business Day after written demand by Y (or on or before the fifth Local Business Day without the requirement for any demand if only clause (i) under the definition of Letter of Credit Default applies). </w:t>
      </w:r>
      <w:r>
        <w:rPr>
          <w:rFonts w:cs="Times New Roman" w:ascii="Times New Roman" w:hAnsi="Times New Roman"/>
          <w:b/>
          <w:sz w:val="22"/>
        </w:rPr>
        <w:t xml:space="preserve"> “</w:t>
      </w:r>
      <w:r>
        <w:rPr>
          <w:rFonts w:cs="Times New Roman" w:ascii="Times New Roman" w:hAnsi="Times New Roman"/>
          <w:b/>
          <w:sz w:val="22"/>
          <w:u w:val="single"/>
        </w:rPr>
        <w:t>Letter of Credit Default</w:t>
      </w:r>
      <w:r>
        <w:rPr>
          <w:rFonts w:cs="Times New Roman" w:ascii="Times New Roman" w:hAnsi="Times New Roman"/>
          <w:b/>
          <w:sz w:val="22"/>
        </w:rPr>
        <w: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u w:val="single"/>
        </w:rPr>
        <w:t>provided, 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(c)  As one method of providing additional Posted Credit Support, X may increase the amount of an outstanding Letter of Credit or establish one or more additional Letters of Credit.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start="540" w:end="0"/>
        <w:jc w:val="both"/>
        <w:rPr>
          <w:rFonts w:ascii="Times New Roman" w:hAnsi="Times New Roman" w:cs="Times New Roman"/>
          <w:sz w:val="22"/>
        </w:rPr>
      </w:pPr>
      <w:r>
        <w:rPr>
          <w:rFonts w:cs="Times New Roman" w:ascii="Times New Roman" w:hAnsi="Times New Roman"/>
          <w:sz w:val="22"/>
        </w:rPr>
        <w:t>(ii)  If X shall fail to renew, substitute, or sufficiently increase the amount of an outstanding Letter of Credit (as the case may be), or establish one or more additional Letters of Credit, or otherwise provide sufficient Posted Credit Support,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Eligible Credit Support 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rFonts w:ascii="Times New Roman" w:hAnsi="Times New Roman" w:cs="Times New Roman"/>
          <w:sz w:val="22"/>
        </w:rPr>
      </w:pPr>
      <w:r>
        <w:rPr>
          <w:rFonts w:cs="Times New Roman" w:ascii="Times New Roman" w:hAnsi="Times New Roman"/>
          <w:sz w:val="22"/>
        </w:rPr>
      </w:r>
    </w:p>
    <w:p>
      <w:pPr>
        <w:sectPr>
          <w:footerReference w:type="default" r:id="rId5"/>
          <w:footerReference w:type="first" r:id="rId6"/>
          <w:footnotePr>
            <w:numFmt w:val="decimal"/>
          </w:footnotePr>
          <w:type w:val="nextPage"/>
          <w:pgSz w:w="12240" w:h="15840"/>
          <w:pgMar w:left="1080" w:right="1080" w:gutter="0" w:header="0" w:top="1440" w:footer="720" w:bottom="1440"/>
          <w:pgNumType w:start="1" w:fmt="decimal"/>
          <w:formProt w:val="false"/>
          <w:textDirection w:val="lrTb"/>
          <w:docGrid w:type="default" w:linePitch="360" w:charSpace="0"/>
        </w:sectPr>
        <w:pStyle w:val="Normal"/>
        <w:ind w:start="180" w:end="0"/>
        <w:jc w:val="both"/>
        <w:rPr/>
      </w:pPr>
      <w:r>
        <w:rPr>
          <w:rFonts w:cs="Times New Roman" w:ascii="Times New Roman" w:hAnsi="Times New Roman"/>
          <w:sz w:val="22"/>
        </w:rPr>
        <w:t xml:space="preserve">(g)  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agreements for all purposes of this Agreement and this Annex, including Section 5(a)(iii) of this Agreement.</w:t>
      </w:r>
    </w:p>
    <w:p>
      <w:pPr>
        <w:pStyle w:val="Normal"/>
        <w:spacing w:lineRule="exact" w:line="240"/>
        <w:jc w:val="end"/>
        <w:rPr>
          <w:rFonts w:ascii="Times New Roman" w:hAnsi="Times New Roman" w:cs="Times New Roman"/>
          <w:b/>
          <w:sz w:val="22"/>
        </w:rPr>
      </w:pPr>
      <w:r>
        <w:rPr>
          <w:rFonts w:cs="Times New Roman" w:ascii="Times New Roman" w:hAnsi="Times New Roman"/>
          <w:b/>
          <w:sz w:val="22"/>
        </w:rPr>
        <w:t>CANADIAN FORM</w:t>
      </w:r>
    </w:p>
    <w:p>
      <w:pPr>
        <w:pStyle w:val="Normal"/>
        <w:spacing w:lineRule="exact" w:line="240"/>
        <w:jc w:val="end"/>
        <w:rPr>
          <w:rFonts w:ascii="Times New Roman" w:hAnsi="Times New Roman" w:cs="Times New Roman"/>
          <w:sz w:val="22"/>
        </w:rPr>
      </w:pPr>
      <w:r>
        <w:rPr>
          <w:rFonts w:cs="Times New Roman" w:ascii="Times New Roman" w:hAnsi="Times New Roman"/>
          <w:b/>
          <w:sz w:val="22"/>
        </w:rPr>
        <w:t>[Two-Way/Letters of Credit Only Form]</w:t>
      </w:r>
    </w:p>
    <w:p>
      <w:pPr>
        <w:pStyle w:val="Normal"/>
        <w:spacing w:lineRule="exact" w:line="240"/>
        <w:jc w:val="end"/>
        <w:rPr>
          <w:rFonts w:ascii="Times New Roman" w:hAnsi="Times New Roman" w:cs="Times New Roman"/>
          <w:sz w:val="22"/>
        </w:rPr>
      </w:pPr>
      <w:r>
        <w:rPr>
          <w:rFonts w:cs="Times New Roman" w:ascii="Times New Roman" w:hAnsi="Times New Roman"/>
          <w:sz w:val="22"/>
        </w:rPr>
      </w:r>
    </w:p>
    <w:p>
      <w:pPr>
        <w:pStyle w:val="Normal"/>
        <w:spacing w:lineRule="exact" w:line="240"/>
        <w:jc w:val="center"/>
        <w:rPr>
          <w:rFonts w:ascii="Times New Roman" w:hAnsi="Times New Roman" w:cs="Times New Roman"/>
          <w:b/>
          <w:sz w:val="22"/>
        </w:rPr>
      </w:pPr>
      <w:r>
        <w:rPr>
          <w:rFonts w:cs="Times New Roman" w:ascii="Times New Roman" w:hAnsi="Times New Roman"/>
          <w:b/>
          <w:sz w:val="22"/>
          <w:u w:val="single"/>
        </w:rPr>
        <w:t>ANNEX A</w:t>
      </w:r>
    </w:p>
    <w:p>
      <w:pPr>
        <w:pStyle w:val="Normal"/>
        <w:spacing w:lineRule="exact" w:line="240"/>
        <w:jc w:val="center"/>
        <w:rPr>
          <w:rFonts w:ascii="Times New Roman" w:hAnsi="Times New Roman" w:cs="Times New Roman"/>
          <w:b/>
          <w:sz w:val="22"/>
        </w:rPr>
      </w:pPr>
      <w:r>
        <w:rPr>
          <w:rFonts w:cs="Times New Roman" w:ascii="Times New Roman" w:hAnsi="Times New Roman"/>
          <w:b/>
          <w:sz w:val="22"/>
          <w:u w:val="single"/>
        </w:rPr>
        <w:t>COLLATERAL AND EXPOSURE PROVISIONS</w:t>
      </w:r>
    </w:p>
    <w:p>
      <w:pPr>
        <w:pStyle w:val="Normal"/>
        <w:spacing w:lineRule="exact" w:line="240" w:before="240" w:after="0"/>
        <w:ind w:firstLine="180" w:end="0"/>
        <w:jc w:val="both"/>
        <w:rPr>
          <w:rFonts w:ascii="Times New Roman" w:hAnsi="Times New Roman" w:cs="Times New Roman"/>
          <w:sz w:val="22"/>
        </w:rPr>
      </w:pPr>
      <w:r>
        <w:rPr>
          <w:rFonts w:cs="Times New Roman" w:ascii="Times New Roman" w:hAnsi="Times New Roman"/>
          <w:sz w:val="22"/>
        </w:rPr>
        <w:t>This Annex A supplements, forms part of, and is incorporated into, the Agreement (as defined in that certain Master Agreement to which this Annex A is attached).  Capitalized terms used in this Annex A but not defined herein shall have the meanings given such terms in the Master Agreement.  This Annex A is a Credit Support Document for all purposes under the Agreement.</w:t>
      </w:r>
    </w:p>
    <w:p>
      <w:pPr>
        <w:pStyle w:val="Normal"/>
        <w:tabs>
          <w:tab w:val="clear" w:pos="720"/>
          <w:tab w:val="left" w:pos="360" w:leader="none"/>
        </w:tabs>
        <w:spacing w:lineRule="exact" w:line="240" w:before="240" w:after="0"/>
        <w:ind w:hanging="720" w:start="720" w:end="1440"/>
        <w:jc w:val="both"/>
        <w:rPr/>
      </w:pPr>
      <w:r>
        <w:rPr>
          <w:rFonts w:cs="Times New Roman" w:ascii="Times New Roman" w:hAnsi="Times New Roman"/>
          <w:sz w:val="22"/>
        </w:rPr>
        <w:t xml:space="preserve">I.  </w:t>
      </w:r>
      <w:r>
        <w:rPr>
          <w:rFonts w:cs="Times New Roman" w:ascii="Times New Roman" w:hAnsi="Times New Roman"/>
          <w:sz w:val="22"/>
          <w:u w:val="single"/>
        </w:rPr>
        <w:t>Definitions</w:t>
      </w:r>
      <w:r>
        <w:rPr>
          <w:rFonts w:cs="Times New Roman" w:ascii="Times New Roman" w:hAnsi="Times New Roman"/>
          <w:sz w:val="22"/>
        </w:rPr>
        <w:t>.  As used in this Annex A:</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Business Day</w:t>
      </w:r>
      <w:r>
        <w:rPr>
          <w:rFonts w:cs="Times New Roman" w:ascii="Times New Roman" w:hAnsi="Times New Roman"/>
          <w:sz w:val="22"/>
        </w:rPr>
        <w:t>” shall mean a weekday other than a weekday on which commercial banks in Calgary, Alberta, Houston, Texas or New York, New York are required or authorized by law to close for business.</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Collateral Requirement</w:t>
      </w:r>
      <w:r>
        <w:rPr>
          <w:rFonts w:cs="Times New Roman" w:ascii="Times New Roman" w:hAnsi="Times New Roman"/>
          <w:sz w:val="22"/>
        </w:rPr>
        <w:t>” shall have the meaning attributed to it in Section II(b).</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Counterparty</w:t>
      </w:r>
      <w:r>
        <w:rPr>
          <w:rFonts w:cs="Times New Roman" w:ascii="Times New Roman" w:hAnsi="Times New Roman"/>
          <w:sz w:val="22"/>
        </w:rPr>
        <w:t xml:space="preserve">” shall mean </w:t>
      </w:r>
      <w:r>
        <w:rPr>
          <w:rFonts w:cs="Times New Roman" w:ascii="Times New Roman" w:hAnsi="Times New Roman"/>
          <w:sz w:val="22"/>
          <w:u w:val="single"/>
        </w:rPr>
        <w:t>______________________</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shall mean, with respect to a party or entity on any date of determination, the respective rating then assigned to its unsecured and senior long-term debt or deposit obligations (not supported by third party credit enhancement) by S&amp;P, Moody’s, DBRS or the specified rating agency.</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Current Value</w:t>
      </w:r>
      <w:r>
        <w:rPr>
          <w:rFonts w:cs="Times New Roman" w:ascii="Times New Roman" w:hAnsi="Times New Roman"/>
          <w:sz w:val="22"/>
        </w:rPr>
        <w:t>” of an outstanding Transaction, on any date and in respect of a party, shall mean the Market Quotation for such Transaction, calculated by the Exposed Party in good faith and in a commercially reasonable manner as if:</w:t>
      </w:r>
    </w:p>
    <w:p>
      <w:pPr>
        <w:pStyle w:val="Normal"/>
        <w:tabs>
          <w:tab w:val="clear" w:pos="720"/>
          <w:tab w:val="left" w:pos="10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the parties to the Agreement had selected Market Quotation and the Second Method for purposes of Section 6(e) thereof;</w:t>
      </w:r>
    </w:p>
    <w:p>
      <w:pPr>
        <w:pStyle w:val="Normal"/>
        <w:tabs>
          <w:tab w:val="clear" w:pos="720"/>
          <w:tab w:val="left" w:pos="10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an Early Termination Date had been effectively designated in respect of such Transaction as a result of a Termination Event, the Non-Exposed Party was the Affected Party, and Exposed Party was the non-Affected Party;</w:t>
      </w:r>
    </w:p>
    <w:p>
      <w:pPr>
        <w:pStyle w:val="Normal"/>
        <w:tabs>
          <w:tab w:val="clear" w:pos="720"/>
          <w:tab w:val="left" w:pos="10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(c)  the date of calculation was an Early Termination Date; and</w:t>
      </w:r>
    </w:p>
    <w:p>
      <w:pPr>
        <w:pStyle w:val="Normal"/>
        <w:tabs>
          <w:tab w:val="clear" w:pos="720"/>
          <w:tab w:val="left" w:pos="10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(d)  the requirement for four Reference Market-makers was met by having the Exposed Party make a quotation as if the Exposed Party were the sole Reference Market-maker with respect thereto.</w:t>
      </w:r>
    </w:p>
    <w:p>
      <w:pPr>
        <w:pStyle w:val="Normal"/>
        <w:tabs>
          <w:tab w:val="clear" w:pos="720"/>
          <w:tab w:val="left" w:pos="1080" w:leader="none"/>
        </w:tabs>
        <w:spacing w:lineRule="exact" w:line="240" w:before="240" w:after="0"/>
        <w:ind w:start="720" w:end="0"/>
        <w:jc w:val="both"/>
        <w:rPr/>
      </w:pPr>
      <w:r>
        <w:rPr>
          <w:rFonts w:cs="Times New Roman" w:ascii="Times New Roman" w:hAnsi="Times New Roman"/>
          <w:sz w:val="22"/>
        </w:rPr>
        <w:t>“</w:t>
      </w:r>
      <w:r>
        <w:rPr>
          <w:rFonts w:cs="Times New Roman" w:ascii="Times New Roman" w:hAnsi="Times New Roman"/>
          <w:sz w:val="22"/>
          <w:u w:val="single"/>
        </w:rPr>
        <w:t>DBRS</w:t>
      </w:r>
      <w:r>
        <w:rPr>
          <w:rFonts w:cs="Times New Roman" w:ascii="Times New Roman" w:hAnsi="Times New Roman"/>
          <w:sz w:val="22"/>
        </w:rPr>
        <w:t>” shall mean Dominion Bond Rating Service Limited or its successor.</w:t>
      </w:r>
    </w:p>
    <w:p>
      <w:pPr>
        <w:pStyle w:val="Normal"/>
        <w:spacing w:lineRule="exact" w:line="240" w:before="240" w:after="0"/>
        <w:ind w:start="720" w:end="0"/>
        <w:jc w:val="both"/>
        <w:rPr/>
      </w:pPr>
      <w:r>
        <w:rPr>
          <w:rFonts w:cs="Times New Roman" w:ascii="Times New Roman" w:hAnsi="Times New Roman"/>
          <w:sz w:val="22"/>
        </w:rPr>
        <w:t>“</w:t>
      </w:r>
      <w:r>
        <w:rPr>
          <w:rFonts w:cs="Times New Roman" w:ascii="Times New Roman" w:hAnsi="Times New Roman"/>
          <w:sz w:val="22"/>
          <w:u w:val="single"/>
        </w:rPr>
        <w:t>ECT Canada</w:t>
      </w:r>
      <w:r>
        <w:rPr>
          <w:rFonts w:cs="Times New Roman" w:ascii="Times New Roman" w:hAnsi="Times New Roman"/>
          <w:sz w:val="22"/>
        </w:rPr>
        <w:t>” shall mean Enron Capital &amp; Trade Resources Canada Corp.</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Exposed Party</w:t>
      </w:r>
      <w:r>
        <w:rPr>
          <w:rFonts w:cs="Times New Roman" w:ascii="Times New Roman" w:hAnsi="Times New Roman"/>
          <w:sz w:val="22"/>
        </w:rPr>
        <w:t>” shall mean a party that is entitled to receive Performance Assurance from the Non-Exposed Party in the amount of such Non-Exposed Party’s Collateral Requirement.</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Exposure</w:t>
      </w:r>
      <w:r>
        <w:rPr>
          <w:rFonts w:cs="Times New Roman" w:ascii="Times New Roman" w:hAnsi="Times New Roman"/>
          <w:sz w:val="22"/>
        </w:rPr>
        <w:t>” shall mean for each outstanding Transaction, on any date and in respect of a party (the Exposed Party), the aggregate sum of:</w:t>
      </w:r>
    </w:p>
    <w:p>
      <w:pPr>
        <w:pStyle w:val="Normal"/>
        <w:tabs>
          <w:tab w:val="clear" w:pos="720"/>
          <w:tab w:val="left" w:pos="36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the Unpaid Amounts, if any, which shall be calculated as if the date of calculation was the Early Termination Date in respect of the Transaction, owing to such party (the Exposed Party) in respect of such Transaction, with the party (the Exposed Party) owed such amount having Exposure to the other party (the Non-Exposed Party) in such amount; and</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the Current Value of the Transaction, if any, with the party (the Exposed Party) that would be owed such amount from the other party (the Non-Exposed Party) having Exposure to the other party (the Non-Exposed Party) in such an amount.</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Exposure Amount</w:t>
      </w:r>
      <w:r>
        <w:rPr>
          <w:rFonts w:cs="Times New Roman" w:ascii="Times New Roman" w:hAnsi="Times New Roman"/>
          <w:sz w:val="22"/>
        </w:rPr>
        <w:t>” shall have the meaning attributed to it in Section II(a).</w:t>
      </w:r>
    </w:p>
    <w:p>
      <w:pPr>
        <w:pStyle w:val="Normal"/>
        <w:spacing w:lineRule="exact" w:line="240" w:before="240" w:after="0"/>
        <w:ind w:firstLine="630" w:end="0"/>
        <w:jc w:val="both"/>
        <w:rPr/>
      </w:pPr>
      <w:r>
        <w:rPr>
          <w:rFonts w:cs="Times New Roman" w:ascii="Times New Roman" w:hAnsi="Times New Roman"/>
          <w:sz w:val="22"/>
        </w:rPr>
        <w:t>“</w:t>
      </w:r>
      <w:r>
        <w:rPr>
          <w:rFonts w:cs="Times New Roman" w:ascii="Times New Roman" w:hAnsi="Times New Roman"/>
          <w:sz w:val="22"/>
          <w:u w:val="single"/>
        </w:rPr>
        <w:t>Exposure Threshold</w:t>
      </w:r>
      <w:r>
        <w:rPr>
          <w:rFonts w:cs="Times New Roman" w:ascii="Times New Roman" w:hAnsi="Times New Roman"/>
          <w:sz w:val="22"/>
        </w:rPr>
        <w:t>” shall mean, with respect to ECT Canada, U.S. $_________, and with respect to Counterparty, U.S. $_________; provided, however, that the Exposure Threshold for a party shall be zero upon the occurrence and during the continuance of a Material Adverse Change or an Event of Default or Potential Event of Default with respect to such party.</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80" w:end="0"/>
        <w:jc w:val="both"/>
        <w:rPr>
          <w:rFonts w:ascii="Times New Roman" w:hAnsi="Times New Roman" w:cs="Times New Roman"/>
          <w:sz w:val="22"/>
        </w:rPr>
      </w:pPr>
      <w:r>
        <w:rPr>
          <w:rFonts w:cs="Times New Roman" w:ascii="Times New Roman" w:hAnsi="Times New Roman"/>
          <w:sz w:val="22"/>
        </w:rPr>
        <w:t>[If an Exposure Threshold Grid Schedule is used in Collateral Annex, then use the following in lieu of the definition of “Exposure Threshold” above:</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w:t>
      </w:r>
      <w:r>
        <w:rPr>
          <w:rFonts w:cs="Times New Roman" w:ascii="Times New Roman" w:hAnsi="Times New Roman"/>
          <w:sz w:val="22"/>
          <w:u w:val="single"/>
        </w:rPr>
        <w:t>Exposure Threshold</w:t>
      </w:r>
      <w:r>
        <w:rPr>
          <w:rFonts w:cs="Times New Roman" w:ascii="Times New Roman" w:hAnsi="Times New Roman"/>
          <w:sz w:val="22"/>
        </w:rPr>
        <w:t>” shall mean, with respect to a party, (a) the amount set forth opposite the lowest Credit Rating for the party (or [in the case of Counterparty, _________ and] in the case of ECT Canada, Enron Corp.) on the relevant date of determination or (b) zero if on that date the party fails to qualify for such Credit Rating (or does not have a Credit Rating) or [a Material Adverse Change or] an Event of Default or Potential Event of Default with respect to such party has occurred that is still continuing:</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tbl>
      <w:tblPr>
        <w:tblW w:w="8640" w:type="dxa"/>
        <w:jc w:val="start"/>
        <w:tblInd w:w="648" w:type="dxa"/>
        <w:tblLayout w:type="fixed"/>
        <w:tblCellMar>
          <w:top w:w="0" w:type="dxa"/>
          <w:start w:w="108" w:type="dxa"/>
          <w:bottom w:w="0" w:type="dxa"/>
          <w:end w:w="108" w:type="dxa"/>
        </w:tblCellMar>
      </w:tblPr>
      <w:tblGrid>
        <w:gridCol w:w="2880"/>
        <w:gridCol w:w="2705"/>
        <w:gridCol w:w="3055"/>
      </w:tblGrid>
      <w:tr>
        <w:trPr/>
        <w:tc>
          <w:tcPr>
            <w:tcW w:w="2880" w:type="dxa"/>
            <w:tcBorders/>
          </w:tcPr>
          <w:p>
            <w:pPr>
              <w:pStyle w:val="Normal"/>
              <w:spacing w:lineRule="atLeast" w:line="240"/>
              <w:jc w:val="both"/>
              <w:rPr>
                <w:rFonts w:ascii="Times New Roman" w:hAnsi="Times New Roman" w:cs="Times New Roman"/>
                <w:sz w:val="22"/>
                <w:u w:val="single"/>
              </w:rPr>
            </w:pPr>
            <w:r>
              <w:rPr>
                <w:rFonts w:cs="Times New Roman" w:ascii="Times New Roman" w:hAnsi="Times New Roman"/>
                <w:sz w:val="22"/>
                <w:u w:val="single"/>
              </w:rPr>
              <w:t>EXPOSURE THRESHOLD</w:t>
            </w:r>
          </w:p>
        </w:tc>
        <w:tc>
          <w:tcPr>
            <w:tcW w:w="2705" w:type="dxa"/>
            <w:tcBorders/>
          </w:tcPr>
          <w:p>
            <w:pPr>
              <w:pStyle w:val="Normal"/>
              <w:spacing w:lineRule="atLeast" w:line="240"/>
              <w:jc w:val="both"/>
              <w:rPr>
                <w:rFonts w:ascii="Times New Roman" w:hAnsi="Times New Roman" w:cs="Times New Roman"/>
                <w:sz w:val="22"/>
                <w:u w:val="single"/>
              </w:rPr>
            </w:pPr>
            <w:r>
              <w:rPr>
                <w:rFonts w:cs="Times New Roman" w:ascii="Times New Roman" w:hAnsi="Times New Roman"/>
                <w:sz w:val="22"/>
                <w:u w:val="single"/>
              </w:rPr>
              <w:t xml:space="preserve">S&amp;P CREDIT RATING </w:t>
            </w:r>
          </w:p>
        </w:tc>
        <w:tc>
          <w:tcPr>
            <w:tcW w:w="3055" w:type="dxa"/>
            <w:tcBorders/>
          </w:tcPr>
          <w:p>
            <w:pPr>
              <w:pStyle w:val="Normal"/>
              <w:spacing w:lineRule="atLeast" w:line="240"/>
              <w:jc w:val="both"/>
              <w:rPr>
                <w:rFonts w:ascii="Times New Roman" w:hAnsi="Times New Roman" w:cs="Times New Roman"/>
                <w:sz w:val="22"/>
                <w:u w:val="single"/>
              </w:rPr>
            </w:pPr>
            <w:r>
              <w:rPr>
                <w:rFonts w:cs="Times New Roman" w:ascii="Times New Roman" w:hAnsi="Times New Roman"/>
                <w:sz w:val="22"/>
                <w:u w:val="single"/>
              </w:rPr>
              <w:t>MOODY'S CREDIT RATING</w:t>
            </w:r>
          </w:p>
        </w:tc>
      </w:tr>
      <w:tr>
        <w:trPr/>
        <w:tc>
          <w:tcPr>
            <w:tcW w:w="2880" w:type="dxa"/>
            <w:tcBorders/>
          </w:tcPr>
          <w:p>
            <w:pPr>
              <w:pStyle w:val="Normal"/>
              <w:snapToGrid w:val="false"/>
              <w:spacing w:lineRule="atLeast" w:line="240"/>
              <w:jc w:val="both"/>
              <w:rPr>
                <w:rFonts w:ascii="Times New Roman" w:hAnsi="Times New Roman" w:cs="Times New Roman"/>
                <w:sz w:val="22"/>
                <w:u w:val="single"/>
              </w:rPr>
            </w:pPr>
            <w:r>
              <w:rPr>
                <w:rFonts w:cs="Times New Roman" w:ascii="Times New Roman" w:hAnsi="Times New Roman"/>
                <w:sz w:val="22"/>
                <w:u w:val="single"/>
              </w:rPr>
            </w:r>
          </w:p>
        </w:tc>
        <w:tc>
          <w:tcPr>
            <w:tcW w:w="2705" w:type="dxa"/>
            <w:tcBorders/>
          </w:tcPr>
          <w:p>
            <w:pPr>
              <w:pStyle w:val="Normal"/>
              <w:snapToGrid w:val="false"/>
              <w:spacing w:lineRule="atLeast" w:line="240"/>
              <w:jc w:val="both"/>
              <w:rPr>
                <w:rFonts w:ascii="Times New Roman" w:hAnsi="Times New Roman" w:cs="Times New Roman"/>
                <w:sz w:val="22"/>
                <w:u w:val="single"/>
              </w:rPr>
            </w:pPr>
            <w:r>
              <w:rPr>
                <w:rFonts w:cs="Times New Roman" w:ascii="Times New Roman" w:hAnsi="Times New Roman"/>
                <w:sz w:val="22"/>
                <w:u w:val="single"/>
              </w:rPr>
            </w:r>
          </w:p>
        </w:tc>
        <w:tc>
          <w:tcPr>
            <w:tcW w:w="3055" w:type="dxa"/>
            <w:tcBorders/>
          </w:tcPr>
          <w:p>
            <w:pPr>
              <w:pStyle w:val="Normal"/>
              <w:snapToGrid w:val="false"/>
              <w:spacing w:lineRule="atLeast" w:line="240"/>
              <w:jc w:val="both"/>
              <w:rPr>
                <w:rFonts w:ascii="Times New Roman" w:hAnsi="Times New Roman" w:cs="Times New Roman"/>
                <w:sz w:val="22"/>
                <w:u w:val="single"/>
              </w:rPr>
            </w:pPr>
            <w:r>
              <w:rPr>
                <w:rFonts w:cs="Times New Roman" w:ascii="Times New Roman" w:hAnsi="Times New Roman"/>
                <w:sz w:val="22"/>
                <w:u w:val="single"/>
              </w:rPr>
            </w:r>
          </w:p>
        </w:tc>
      </w:tr>
      <w:tr>
        <w:trPr/>
        <w:tc>
          <w:tcPr>
            <w:tcW w:w="2880"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U.S. $ _______________</w:t>
            </w:r>
          </w:p>
        </w:tc>
        <w:tc>
          <w:tcPr>
            <w:tcW w:w="270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AA (or above)</w:t>
            </w:r>
          </w:p>
        </w:tc>
        <w:tc>
          <w:tcPr>
            <w:tcW w:w="305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Aa2 (or above)</w:t>
            </w:r>
          </w:p>
        </w:tc>
      </w:tr>
      <w:tr>
        <w:trPr/>
        <w:tc>
          <w:tcPr>
            <w:tcW w:w="2880"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U.S. $ _______________</w:t>
            </w:r>
          </w:p>
        </w:tc>
        <w:tc>
          <w:tcPr>
            <w:tcW w:w="270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AA- to A-</w:t>
            </w:r>
          </w:p>
        </w:tc>
        <w:tc>
          <w:tcPr>
            <w:tcW w:w="305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Aa3 to A3</w:t>
            </w:r>
          </w:p>
        </w:tc>
      </w:tr>
      <w:tr>
        <w:trPr/>
        <w:tc>
          <w:tcPr>
            <w:tcW w:w="2880"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U.S. $ _______________</w:t>
            </w:r>
          </w:p>
        </w:tc>
        <w:tc>
          <w:tcPr>
            <w:tcW w:w="270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BBB+ and BBB</w:t>
            </w:r>
          </w:p>
        </w:tc>
        <w:tc>
          <w:tcPr>
            <w:tcW w:w="305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Baa1 to Baa2</w:t>
            </w:r>
          </w:p>
        </w:tc>
      </w:tr>
      <w:tr>
        <w:trPr/>
        <w:tc>
          <w:tcPr>
            <w:tcW w:w="2880"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U.S. $ _______________</w:t>
            </w:r>
          </w:p>
        </w:tc>
        <w:tc>
          <w:tcPr>
            <w:tcW w:w="270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BBB-</w:t>
            </w:r>
          </w:p>
        </w:tc>
        <w:tc>
          <w:tcPr>
            <w:tcW w:w="305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Baa3</w:t>
            </w:r>
          </w:p>
        </w:tc>
      </w:tr>
      <w:tr>
        <w:trPr/>
        <w:tc>
          <w:tcPr>
            <w:tcW w:w="2880"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U.S. $ _______________</w:t>
            </w:r>
          </w:p>
        </w:tc>
        <w:tc>
          <w:tcPr>
            <w:tcW w:w="270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below BBB-</w:t>
            </w:r>
          </w:p>
        </w:tc>
        <w:tc>
          <w:tcPr>
            <w:tcW w:w="3055" w:type="dxa"/>
            <w:tcBorders/>
          </w:tcPr>
          <w:p>
            <w:pPr>
              <w:pStyle w:val="Normal"/>
              <w:spacing w:lineRule="atLeast" w:line="240"/>
              <w:jc w:val="both"/>
              <w:rPr>
                <w:rFonts w:ascii="Times New Roman" w:hAnsi="Times New Roman" w:cs="Times New Roman"/>
                <w:sz w:val="22"/>
              </w:rPr>
            </w:pPr>
            <w:r>
              <w:rPr>
                <w:rFonts w:cs="Times New Roman" w:ascii="Times New Roman" w:hAnsi="Times New Roman"/>
                <w:sz w:val="22"/>
              </w:rPr>
              <w:t>below Baa3</w:t>
            </w:r>
          </w:p>
        </w:tc>
      </w:tr>
    </w:tbl>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Letter of Credit</w:t>
      </w:r>
      <w:r>
        <w:rPr>
          <w:rFonts w:cs="Times New Roman" w:ascii="Times New Roman" w:hAnsi="Times New Roman"/>
          <w:sz w:val="22"/>
        </w:rPr>
        <w:t xml:space="preserve">” shall mean an irrevocable, transferable, standby letter of credit, issued by a major Canadian or U.S. commercial bank or foreign bank with a Canadian branch office, with such bank having a Credit Rating of at least “A-” by S&amp;P or “A3” by Moody’s, or “A(low)” by DBRS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the Agreement.</w:t>
      </w:r>
      <w:r>
        <w:rPr>
          <w:rStyle w:val="FootnoteCharacters"/>
          <w:rFonts w:cs="Times New Roman" w:ascii="Times New Roman" w:hAnsi="Times New Roman"/>
          <w:sz w:val="22"/>
        </w:rPr>
        <w:t xml:space="preserve"> </w:t>
      </w:r>
      <w:r>
        <w:rPr>
          <w:rStyle w:val="FootnoteCharacters"/>
          <w:rStyle w:val="FootnoteReference"/>
          <w:sz w:val="22"/>
        </w:rPr>
        <w:footnoteReference w:id="14"/>
      </w:r>
      <w:r>
        <w:rPr>
          <w:rFonts w:cs="Times New Roman" w:ascii="Times New Roman" w:hAnsi="Times New Roman"/>
          <w:sz w:val="22"/>
        </w:rPr>
        <w:t>]</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Letter of Credit Default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“A3” by Moody’s or “A(low)” by DBRS;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5(a)(vii) of the Agreement shall occur with respect to the issuer of such Letter of Credit;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the Non-Exposed Party in accordance with the terms of this Annex.]</w:t>
      </w:r>
      <w:r>
        <w:rPr>
          <w:rStyle w:val="FootnoteCharacters"/>
          <w:rStyle w:val="FootnoteReference"/>
          <w:sz w:val="22"/>
        </w:rPr>
        <w:footnoteReference w:id="15"/>
      </w:r>
    </w:p>
    <w:p>
      <w:pPr>
        <w:pStyle w:val="Normal"/>
        <w:spacing w:lineRule="atLeast" w:line="240"/>
        <w:ind w:firstLine="18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w:t>
      </w:r>
      <w:r>
        <w:rPr>
          <w:rFonts w:cs="Times New Roman" w:ascii="Times New Roman" w:hAnsi="Times New Roman"/>
          <w:sz w:val="22"/>
          <w:u w:val="single"/>
        </w:rPr>
        <w:t>Material Adverse Change</w:t>
      </w:r>
      <w:r>
        <w:rPr>
          <w:rFonts w:cs="Times New Roman" w:ascii="Times New Roman" w:hAnsi="Times New Roman"/>
          <w:sz w:val="22"/>
        </w:rPr>
        <w:t>” shall mean ______________________________.</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Moody’s</w:t>
      </w:r>
      <w:r>
        <w:rPr>
          <w:rFonts w:cs="Times New Roman" w:ascii="Times New Roman" w:hAnsi="Times New Roman"/>
          <w:sz w:val="22"/>
        </w:rPr>
        <w:t>” shall mean Moody’s Investors Service, Inc. or its successor.</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Net Exposure</w:t>
      </w:r>
      <w:r>
        <w:rPr>
          <w:rFonts w:cs="Times New Roman" w:ascii="Times New Roman" w:hAnsi="Times New Roman"/>
          <w:sz w:val="22"/>
        </w:rPr>
        <w:t>” shall have the meaning attributed to it in Section II(a).</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Non-Exposed Party</w:t>
      </w:r>
      <w:r>
        <w:rPr>
          <w:rFonts w:cs="Times New Roman" w:ascii="Times New Roman" w:hAnsi="Times New Roman"/>
          <w:sz w:val="22"/>
        </w:rPr>
        <w:t>” shall mean a party that is obligated to provide Performance Assurance to the Exposed Party in an amount equal to the Non-Exposed Party’s Collateral Requirement.</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Non-Requesting Party</w:t>
      </w:r>
      <w:r>
        <w:rPr>
          <w:rFonts w:cs="Times New Roman" w:ascii="Times New Roman" w:hAnsi="Times New Roman"/>
          <w:sz w:val="22"/>
        </w:rPr>
        <w:t>” shall mean the party to which a request is made to reduce the amount of Performance Assurance previously provided by the Requesting Party for the benefit of the Non-Requesting Party.</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Performance Assurance</w:t>
      </w:r>
      <w:r>
        <w:rPr>
          <w:rFonts w:cs="Times New Roman" w:ascii="Times New Roman" w:hAnsi="Times New Roman"/>
          <w:sz w:val="22"/>
        </w:rPr>
        <w:t>” shall mean one or more Letters of Credit.</w:t>
      </w:r>
    </w:p>
    <w:p>
      <w:pPr>
        <w:pStyle w:val="Normal"/>
        <w:spacing w:lineRule="exact" w:line="240" w:before="240" w:after="0"/>
        <w:ind w:firstLine="720" w:end="0"/>
        <w:jc w:val="both"/>
        <w:rPr/>
      </w:pPr>
      <w:r>
        <w:rPr>
          <w:rFonts w:cs="Times New Roman" w:ascii="Times New Roman" w:hAnsi="Times New Roman"/>
          <w:sz w:val="22"/>
        </w:rPr>
        <w:t>“</w:t>
      </w:r>
      <w:r>
        <w:rPr>
          <w:rFonts w:cs="Times New Roman" w:ascii="Times New Roman" w:hAnsi="Times New Roman"/>
          <w:sz w:val="22"/>
          <w:u w:val="single"/>
        </w:rPr>
        <w:t>Requesting Party</w:t>
      </w:r>
      <w:r>
        <w:rPr>
          <w:rFonts w:cs="Times New Roman" w:ascii="Times New Roman" w:hAnsi="Times New Roman"/>
          <w:sz w:val="22"/>
        </w:rPr>
        <w:t>” shall mean the party requesting a reduction in the amount of Performance Assurance previously provided by the Requesting Party for the benefit of the Non-Requesting Party.</w:t>
      </w:r>
    </w:p>
    <w:p>
      <w:pPr>
        <w:pStyle w:val="Normal"/>
        <w:spacing w:lineRule="exact" w:line="240"/>
        <w:ind w:firstLine="144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end="0"/>
        <w:jc w:val="both"/>
        <w:rPr>
          <w:rFonts w:ascii="Times New Roman" w:hAnsi="Times New Roman" w:cs="Times New Roman"/>
          <w:sz w:val="22"/>
          <w:u w:val="single"/>
        </w:rPr>
      </w:pPr>
      <w:r>
        <w:rPr>
          <w:rFonts w:cs="Times New Roman" w:ascii="Times New Roman" w:hAnsi="Times New Roman"/>
          <w:sz w:val="22"/>
        </w:rPr>
        <w:t>“</w:t>
      </w:r>
      <w:r>
        <w:rPr>
          <w:rFonts w:cs="Times New Roman" w:ascii="Times New Roman" w:hAnsi="Times New Roman"/>
          <w:sz w:val="22"/>
          <w:u w:val="single"/>
        </w:rPr>
        <w:t>S&amp;P</w:t>
      </w:r>
      <w:r>
        <w:rPr>
          <w:rFonts w:cs="Times New Roman" w:ascii="Times New Roman" w:hAnsi="Times New Roman"/>
          <w:sz w:val="22"/>
        </w:rPr>
        <w:t>” shall mean the Standard &amp; Poor’s Rating Group (a division of McGraw-Hill, Inc.) or its successor.</w:t>
      </w:r>
    </w:p>
    <w:p>
      <w:pPr>
        <w:pStyle w:val="Normal"/>
        <w:tabs>
          <w:tab w:val="clear" w:pos="720"/>
          <w:tab w:val="left" w:pos="360" w:leader="none"/>
          <w:tab w:val="left" w:pos="1620" w:leader="none"/>
          <w:tab w:val="left" w:pos="1980" w:leader="none"/>
        </w:tabs>
        <w:spacing w:lineRule="exact" w:line="240" w:before="240" w:after="0"/>
        <w:jc w:val="both"/>
        <w:rPr/>
      </w:pPr>
      <w:r>
        <w:rPr>
          <w:rFonts w:cs="Times New Roman" w:ascii="Times New Roman" w:hAnsi="Times New Roman"/>
          <w:sz w:val="22"/>
        </w:rPr>
        <w:t xml:space="preserve">II.  </w:t>
      </w:r>
      <w:r>
        <w:rPr>
          <w:rFonts w:cs="Times New Roman" w:ascii="Times New Roman" w:hAnsi="Times New Roman"/>
          <w:sz w:val="22"/>
          <w:u w:val="single"/>
        </w:rPr>
        <w:t>Calculations</w:t>
      </w:r>
      <w:r>
        <w:rPr>
          <w:rFonts w:cs="Times New Roman" w:ascii="Times New Roman" w:hAnsi="Times New Roman"/>
          <w:sz w:val="22"/>
        </w:rPr>
        <w:t>.  (a)  The “</w:t>
      </w:r>
      <w:r>
        <w:rPr>
          <w:rFonts w:cs="Times New Roman" w:ascii="Times New Roman" w:hAnsi="Times New Roman"/>
          <w:sz w:val="22"/>
          <w:u w:val="single"/>
        </w:rPr>
        <w:t>Exposure Amount</w:t>
      </w:r>
      <w:r>
        <w:rPr>
          <w:rFonts w:cs="Times New Roman" w:ascii="Times New Roman" w:hAnsi="Times New Roman"/>
          <w:sz w:val="22"/>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Times New Roman" w:ascii="Times New Roman" w:hAnsi="Times New Roman"/>
          <w:sz w:val="22"/>
          <w:u w:val="single"/>
        </w:rPr>
        <w:t>Net Exposure</w:t>
      </w:r>
      <w:r>
        <w:rPr>
          <w:rFonts w:cs="Times New Roman" w:ascii="Times New Roman" w:hAnsi="Times New Roman"/>
          <w:sz w:val="22"/>
        </w:rPr>
        <w:t>” to the other party (the Non-Exposed Party) equal to the difference between its Exposure Amount and the other party’s Exposure Amount.</w:t>
      </w:r>
    </w:p>
    <w:p>
      <w:pPr>
        <w:pStyle w:val="Normal"/>
        <w:spacing w:lineRule="exact" w:line="240" w:before="240" w:after="0"/>
        <w:jc w:val="both"/>
        <w:rPr/>
      </w:pPr>
      <w:r>
        <w:rPr>
          <w:rFonts w:cs="Times New Roman" w:ascii="Times New Roman" w:hAnsi="Times New Roman"/>
          <w:sz w:val="22"/>
        </w:rPr>
        <w:t>(b)</w:t>
        <w:tab/>
        <w:t>The “</w:t>
      </w:r>
      <w:r>
        <w:rPr>
          <w:rFonts w:cs="Times New Roman" w:ascii="Times New Roman" w:hAnsi="Times New Roman"/>
          <w:sz w:val="22"/>
          <w:u w:val="single"/>
        </w:rPr>
        <w:t>Collateral Requirement</w:t>
      </w:r>
      <w:r>
        <w:rPr>
          <w:rFonts w:cs="Times New Roman" w:ascii="Times New Roman" w:hAnsi="Times New Roman"/>
          <w:sz w:val="22"/>
        </w:rPr>
        <w:t>” for a Non-Exposed Party shall mean the excess, if any, of the Exposed Party’s Net Exposure over the sum of:</w:t>
      </w:r>
    </w:p>
    <w:p>
      <w:pPr>
        <w:pStyle w:val="Normal"/>
        <w:tabs>
          <w:tab w:val="clear" w:pos="720"/>
          <w:tab w:val="left" w:pos="1440" w:leader="none"/>
        </w:tabs>
        <w:spacing w:lineRule="exact" w:line="240" w:before="240" w:after="0"/>
        <w:ind w:hanging="2160" w:start="2880" w:end="0"/>
        <w:jc w:val="both"/>
        <w:rPr>
          <w:rFonts w:ascii="Times New Roman" w:hAnsi="Times New Roman" w:cs="Times New Roman"/>
          <w:sz w:val="22"/>
        </w:rPr>
      </w:pPr>
      <w:r>
        <w:rPr>
          <w:rFonts w:cs="Times New Roman" w:ascii="Times New Roman" w:hAnsi="Times New Roman"/>
          <w:sz w:val="22"/>
        </w:rPr>
        <w:t>(i)</w:t>
        <w:tab/>
        <w:t>the Non-Exposed Party’s Exposure Threshold; and</w:t>
      </w:r>
    </w:p>
    <w:p>
      <w:pPr>
        <w:pStyle w:val="Normal"/>
        <w:tabs>
          <w:tab w:val="clear" w:pos="720"/>
          <w:tab w:val="left" w:pos="1440" w:leader="none"/>
        </w:tabs>
        <w:spacing w:lineRule="exact" w:line="240" w:before="240" w:after="0"/>
        <w:ind w:hanging="720" w:start="1440" w:end="0"/>
        <w:jc w:val="both"/>
        <w:rPr>
          <w:rFonts w:ascii="Times New Roman" w:hAnsi="Times New Roman" w:cs="Times New Roman"/>
          <w:sz w:val="22"/>
        </w:rPr>
      </w:pPr>
      <w:r>
        <w:rPr>
          <w:rFonts w:cs="Times New Roman" w:ascii="Times New Roman" w:hAnsi="Times New Roman"/>
          <w:sz w:val="22"/>
        </w:rPr>
        <w:t>(ii)</w:t>
        <w:tab/>
        <w:t>the remaining, undrawn portion of any outstanding Letter of Credit maintained by the Non-Exposed Party for the benefit of the Exposed Party.</w:t>
      </w:r>
    </w:p>
    <w:p>
      <w:pPr>
        <w:pStyle w:val="Normal"/>
        <w:tabs>
          <w:tab w:val="clear" w:pos="720"/>
          <w:tab w:val="left" w:pos="360" w:leader="none"/>
          <w:tab w:val="left" w:pos="3060" w:leader="none"/>
        </w:tabs>
        <w:spacing w:lineRule="exact" w:line="240" w:before="240" w:after="0"/>
        <w:jc w:val="both"/>
        <w:rPr/>
      </w:pPr>
      <w:r>
        <w:rPr>
          <w:rFonts w:cs="Times New Roman" w:ascii="Times New Roman" w:hAnsi="Times New Roman"/>
          <w:sz w:val="22"/>
        </w:rPr>
        <w:t xml:space="preserve">III.  </w:t>
      </w:r>
      <w:r>
        <w:rPr>
          <w:rFonts w:cs="Times New Roman" w:ascii="Times New Roman" w:hAnsi="Times New Roman"/>
          <w:sz w:val="22"/>
          <w:u w:val="single"/>
        </w:rPr>
        <w:t>Performance Assurance</w:t>
      </w:r>
      <w:r>
        <w:rPr>
          <w:rFonts w:cs="Times New Roman" w:ascii="Times New Roman" w:hAnsi="Times New Roman"/>
          <w:sz w:val="22"/>
        </w:rPr>
        <w:t>.  (a)  If, on any Business Day, a Non-Exposed Party’s Collateral Requirement shall exceed United States One Dollar (U.S. $1.00) and provided that (i) no Event of Default or Potential Event of Default or Termination Event with respect to the Exposed Party shall have occurred and be continuing and (ii) no Early Termination Date has occurred or been designated as a result of an Event of Default or a Termination Event with respect to the Exposed Party for which any unsatisfied payment obligations of the Exposed Party exist, then the Exposed Party may demand that the Non-Exposed Party establish and maintain, so long as there is a Collateral Requirement in excess of United States One Dollar (U.S.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U.S. $</w:t>
      </w:r>
      <w:r>
        <w:rPr>
          <w:rFonts w:cs="Times New Roman" w:ascii="Times New Roman" w:hAnsi="Times New Roman"/>
          <w:sz w:val="22"/>
          <w:u w:val="single"/>
        </w:rPr>
        <w:t>__________</w:t>
      </w:r>
      <w:r>
        <w:rPr>
          <w:rFonts w:cs="Times New Roman" w:ascii="Times New Roman" w:hAnsi="Times New Roman"/>
          <w:sz w:val="22"/>
        </w:rPr>
        <w:t>.</w:t>
      </w:r>
    </w:p>
    <w:p>
      <w:pPr>
        <w:pStyle w:val="Normal"/>
        <w:tabs>
          <w:tab w:val="clear" w:pos="720"/>
          <w:tab w:val="left" w:pos="360" w:leader="none"/>
        </w:tabs>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On any Business Day (but no more frequently than weekly),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(i) no Event of Default or Potential Event of Default or Termination Event with respect to the Requesting Party shall have occurred and be continuing and (ii) no Early Termination Date for which any unsatisfied payment obligations of the Requesting Party exist has occurred or been designated as a result of an Event of Default or Termination Event with respect to the Requesting Party.</w:t>
      </w:r>
    </w:p>
    <w:p>
      <w:pPr>
        <w:pStyle w:val="Normal"/>
        <w:tabs>
          <w:tab w:val="clear" w:pos="720"/>
          <w:tab w:val="left" w:pos="360" w:leader="none"/>
        </w:tabs>
        <w:spacing w:lineRule="exact" w:line="240" w:before="240" w:after="0"/>
        <w:jc w:val="both"/>
        <w:rPr/>
      </w:pPr>
      <w:r>
        <w:rPr>
          <w:rFonts w:cs="Times New Roman" w:ascii="Times New Roman" w:hAnsi="Times New Roman"/>
          <w:sz w:val="22"/>
        </w:rPr>
        <w:t xml:space="preserve">IV.  </w:t>
      </w:r>
      <w:r>
        <w:rPr>
          <w:rFonts w:cs="Times New Roman" w:ascii="Times New Roman" w:hAnsi="Times New Roman"/>
          <w:sz w:val="22"/>
          <w:u w:val="single"/>
        </w:rPr>
        <w:t>Delivery</w:t>
      </w:r>
      <w:r>
        <w:rPr>
          <w:rFonts w:cs="Times New Roman" w:ascii="Times New Roman" w:hAnsi="Times New Roman"/>
          <w:sz w:val="22"/>
        </w:rPr>
        <w:t>.  Unless otherwise agreed in writing by the parties, Performance Assurance demanded of a Non-Exposed Party by 10:00 a.m., Eastern time, on a Business Day shall be provided by the close of business on the second succeeding Business Day.  Any Letter of Credit shall be delivered to such address as the Exposed Party shall specify.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tabs>
          <w:tab w:val="clear" w:pos="720"/>
          <w:tab w:val="left" w:pos="180" w:leader="none"/>
          <w:tab w:val="left" w:pos="360" w:leader="none"/>
          <w:tab w:val="left" w:pos="2160" w:leader="none"/>
          <w:tab w:val="left" w:pos="2520" w:leader="none"/>
        </w:tabs>
        <w:spacing w:lineRule="exact" w:line="240" w:before="240" w:after="0"/>
        <w:jc w:val="both"/>
        <w:rPr/>
      </w:pPr>
      <w:r>
        <w:rPr>
          <w:rFonts w:cs="Times New Roman" w:ascii="Times New Roman" w:hAnsi="Times New Roman"/>
          <w:sz w:val="22"/>
        </w:rPr>
        <w:t xml:space="preserve">V.  </w:t>
      </w:r>
      <w:r>
        <w:rPr>
          <w:rFonts w:cs="Times New Roman" w:ascii="Times New Roman" w:hAnsi="Times New Roman"/>
          <w:sz w:val="22"/>
          <w:u w:val="single"/>
        </w:rPr>
        <w:t>Exposure Disputes</w:t>
      </w:r>
      <w:r>
        <w:rPr>
          <w:rFonts w:cs="Times New Roman" w:ascii="Times New Roman" w:hAnsi="Times New Roman"/>
          <w:sz w:val="22"/>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 Exposed Party shall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Exposed Party shall inform the Non-Exposed Party of the results of such recalculation (in reasonable detail).  Performance Assurance shall thereupon be provided or reduced, if necessary, in accordance with the results of such recalculation.</w:t>
      </w:r>
    </w:p>
    <w:p>
      <w:pPr>
        <w:pStyle w:val="Normal"/>
        <w:spacing w:lineRule="exact" w:line="240" w:before="240" w:after="0"/>
        <w:ind w:firstLine="630" w:end="0"/>
        <w:jc w:val="both"/>
        <w:rPr>
          <w:rFonts w:ascii="Times New Roman" w:hAnsi="Times New Roman" w:cs="Times New Roman"/>
          <w:sz w:val="22"/>
        </w:rPr>
      </w:pPr>
      <w:r>
        <w:rPr>
          <w:rFonts w:cs="Times New Roman" w:ascii="Times New Roman" w:hAnsi="Times New Roman"/>
          <w:sz w:val="22"/>
        </w:rPr>
        <w:t>(b)  If the 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its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Non-Requesting Party shall inform the Requesting Party of the results of such recalculation (in reasonable detail).  Performance Assurance shall thereupon be reduced, if necessary, in accordance with the results of such recalculation.</w:t>
      </w:r>
    </w:p>
    <w:p>
      <w:pPr>
        <w:pStyle w:val="Normal"/>
        <w:tabs>
          <w:tab w:val="clear" w:pos="720"/>
          <w:tab w:val="left" w:pos="360" w:leader="none"/>
        </w:tabs>
        <w:spacing w:lineRule="exact" w:line="240" w:before="240" w:after="0"/>
        <w:jc w:val="both"/>
        <w:rPr/>
      </w:pPr>
      <w:r>
        <w:rPr>
          <w:rFonts w:cs="Times New Roman" w:ascii="Times New Roman" w:hAnsi="Times New Roman"/>
          <w:sz w:val="22"/>
        </w:rPr>
        <w:t xml:space="preserve">VI.  </w:t>
      </w:r>
      <w:r>
        <w:rPr>
          <w:rFonts w:cs="Times New Roman" w:ascii="Times New Roman" w:hAnsi="Times New Roman"/>
          <w:sz w:val="22"/>
          <w:u w:val="single"/>
        </w:rPr>
        <w:t>Letters of Credit</w:t>
      </w:r>
      <w:r>
        <w:rPr>
          <w:rFonts w:cs="Times New Roman" w:ascii="Times New Roman" w:hAnsi="Times New Roman"/>
          <w:sz w:val="22"/>
        </w:rPr>
        <w:t>.  Performance Assurance in the form of a Letter of Credit shall be subject to the following provisions.</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When providing Performance Assurance, the Non-Exposed Party may increase the amount of an outstanding Letter of Credit or establish one or more additional Letters of Credit.</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(c)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(ii) If the Non-Exposed Party shall fail to establish, renew, substitute, or sufficiently increase the amount of (as the case may be) one or more Letters of Credit and the Non-Exposed Party’s Collateral Requirement would be greater than zero as a result of such failure, then the Exposed Party may draw on the entire, undrawn portion of any outstanding Letter of Credit upon submission to the bank issuing such Letter of Credit of one or more certificates specifying the amounts payable to the Exposed Party in accordance with the specific requirements of the Letter of Credit.  The Non-Exposed Party shall remain liable for any amounts payable to the Exposed Party and remaining unpaid after the application of the amounts so drawn by the Exposed Party.</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(d)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 Letter of Credit shall be in effect).</w:t>
      </w:r>
    </w:p>
    <w:p>
      <w:pPr>
        <w:pStyle w:val="Normal"/>
        <w:spacing w:lineRule="exact" w:line="240" w:before="240" w:after="0"/>
        <w:ind w:firstLine="630" w:end="0"/>
        <w:jc w:val="both"/>
        <w:rPr>
          <w:rFonts w:ascii="Times New Roman" w:hAnsi="Times New Roman" w:cs="Times New Roman"/>
          <w:sz w:val="22"/>
        </w:rPr>
      </w:pPr>
      <w:r>
        <w:rPr>
          <w:rFonts w:cs="Times New Roman" w:ascii="Times New Roman" w:hAnsi="Times New Roman"/>
          <w:sz w:val="22"/>
        </w:rPr>
        <w:t>(e)  Upon or at any time after the occurrence or deemed occurrence of an Early Termination Date as a result of an Event of Default or a Termination Event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(f)  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(g)  Upon the occurrence of a Letter of Credit Default, the Non-Exposed Party agrees to deliver a substitute Letter of Credit to the Exposed Party on or before the second Business Day after written demand by the Exposed Party (or the fifth Business Day if only clause (i) under the definition of Letter of Credit Default applies).</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(h)  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sectPr>
          <w:headerReference w:type="default" r:id="rId7"/>
          <w:footerReference w:type="default" r:id="rId8"/>
          <w:footerReference w:type="first" r:id="rId9"/>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360" w:leader="none"/>
        </w:tabs>
        <w:spacing w:lineRule="exact" w:line="240" w:before="240" w:after="0"/>
        <w:jc w:val="both"/>
        <w:rPr/>
      </w:pPr>
      <w:r>
        <w:rPr>
          <w:rFonts w:cs="Times New Roman" w:ascii="Times New Roman" w:hAnsi="Times New Roman"/>
          <w:sz w:val="22"/>
        </w:rPr>
        <w:t xml:space="preserve">VII.  </w:t>
      </w:r>
      <w:r>
        <w:rPr>
          <w:rFonts w:cs="Times New Roman" w:ascii="Times New Roman" w:hAnsi="Times New Roman"/>
          <w:sz w:val="22"/>
          <w:u w:val="single"/>
        </w:rPr>
        <w:t>Additional Representation</w:t>
      </w:r>
      <w:r>
        <w:rPr>
          <w:rFonts w:cs="Times New Roman" w:ascii="Times New Roman" w:hAnsi="Times New Roman"/>
          <w:sz w:val="22"/>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lineRule="exact" w:line="240"/>
        <w:jc w:val="end"/>
        <w:rPr>
          <w:rFonts w:ascii="Times New Roman" w:hAnsi="Times New Roman" w:cs="Times New Roman"/>
          <w:b/>
          <w:sz w:val="22"/>
        </w:rPr>
      </w:pPr>
      <w:r>
        <w:rPr>
          <w:rFonts w:cs="Times New Roman" w:ascii="Times New Roman" w:hAnsi="Times New Roman"/>
          <w:b/>
          <w:sz w:val="22"/>
        </w:rPr>
        <w:t>[Two-Way Cash, Treasury Securities,</w:t>
      </w:r>
    </w:p>
    <w:p>
      <w:pPr>
        <w:pStyle w:val="Normal"/>
        <w:spacing w:lineRule="exact" w:line="240"/>
        <w:jc w:val="end"/>
        <w:rPr>
          <w:rFonts w:ascii="Times New Roman" w:hAnsi="Times New Roman" w:cs="Times New Roman"/>
          <w:b/>
          <w:sz w:val="22"/>
        </w:rPr>
      </w:pPr>
      <w:r>
        <w:rPr>
          <w:rFonts w:cs="Times New Roman" w:ascii="Times New Roman" w:hAnsi="Times New Roman"/>
          <w:b/>
          <w:sz w:val="22"/>
        </w:rPr>
        <w:t>and Letters of Credit Form]</w:t>
      </w:r>
    </w:p>
    <w:p>
      <w:pPr>
        <w:pStyle w:val="Normal"/>
        <w:keepNext w:val="true"/>
        <w:spacing w:lineRule="exact" w:line="240"/>
        <w:jc w:val="center"/>
        <w:rPr>
          <w:rFonts w:ascii="Times New Roman" w:hAnsi="Times New Roman" w:cs="Times New Roman"/>
          <w:b/>
          <w:sz w:val="22"/>
        </w:rPr>
      </w:pPr>
      <w:r>
        <w:rPr>
          <w:rFonts w:cs="Times New Roman" w:ascii="Times New Roman" w:hAnsi="Times New Roman"/>
          <w:b/>
          <w:sz w:val="22"/>
        </w:rPr>
      </w:r>
    </w:p>
    <w:p>
      <w:pPr>
        <w:pStyle w:val="Normal"/>
        <w:keepNext w:val="true"/>
        <w:spacing w:lineRule="exact" w:line="240"/>
        <w:jc w:val="center"/>
        <w:rPr>
          <w:rFonts w:ascii="Times New Roman" w:hAnsi="Times New Roman" w:cs="Times New Roman"/>
          <w:b/>
          <w:sz w:val="22"/>
        </w:rPr>
      </w:pPr>
      <w:r>
        <w:rPr>
          <w:rFonts w:cs="Times New Roman" w:ascii="Times New Roman" w:hAnsi="Times New Roman"/>
          <w:b/>
          <w:sz w:val="22"/>
        </w:rPr>
        <w:t>ANNEX A</w:t>
        <w:br/>
      </w:r>
      <w:r>
        <w:rPr>
          <w:rFonts w:cs="Times New Roman" w:ascii="Times New Roman" w:hAnsi="Times New Roman"/>
          <w:b/>
          <w:sz w:val="22"/>
          <w:u w:val="single"/>
        </w:rPr>
        <w:t>COLLATERAL AND EXPOSURE PROVISIONS</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This Collateral Annex supplements, forms part of, and is incorporated into, the Agreement (as defined in that certain Master Agreement to which this Annex A is attached).  Capitalized terms used in this Annex but not defined herein shall have the meanings given such terms in the Agreement.</w:t>
      </w:r>
    </w:p>
    <w:p>
      <w:pPr>
        <w:pStyle w:val="Normal"/>
        <w:spacing w:lineRule="exact" w:line="240" w:before="240" w:after="0"/>
        <w:ind w:hanging="720" w:start="720" w:end="1440"/>
        <w:jc w:val="both"/>
        <w:rPr/>
      </w:pPr>
      <w:r>
        <w:rPr>
          <w:rFonts w:cs="Times New Roman" w:ascii="Times New Roman" w:hAnsi="Times New Roman"/>
          <w:sz w:val="22"/>
        </w:rPr>
        <w:t>I.</w:t>
        <w:tab/>
      </w:r>
      <w:r>
        <w:rPr>
          <w:rFonts w:cs="Times New Roman" w:ascii="Times New Roman" w:hAnsi="Times New Roman"/>
          <w:sz w:val="22"/>
          <w:u w:val="single"/>
        </w:rPr>
        <w:t>Definitions</w:t>
      </w:r>
      <w:r>
        <w:rPr>
          <w:rFonts w:cs="Times New Roman" w:ascii="Times New Roman" w:hAnsi="Times New Roman"/>
          <w:sz w:val="22"/>
        </w:rPr>
        <w:t>.  As used in this Annex A:</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Business Day</w:t>
      </w:r>
      <w:r>
        <w:rPr>
          <w:rFonts w:cs="Times New Roman" w:ascii="Times New Roman" w:hAnsi="Times New Roman"/>
          <w:sz w:val="22"/>
        </w:rPr>
        <w:t>” shall mean a weekday other than a weekday on which commercial banks in the City of New York, New York, Houston, Texas or [Toronto, Ontario][Calgary, Alberta] are required or authorized by law to close for business.</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Cash Collateral</w:t>
      </w:r>
      <w:r>
        <w:rPr>
          <w:rFonts w:cs="Times New Roman" w:ascii="Times New Roman" w:hAnsi="Times New Roman"/>
          <w:sz w:val="22"/>
        </w:rPr>
        <w:t>" shall mean collateral provided in the form of cash in [Canadian or</w:t>
      </w:r>
      <w:r>
        <w:rPr>
          <w:rStyle w:val="FootnoteCharacters"/>
          <w:rStyle w:val="FootnoteReference"/>
          <w:rFonts w:cs="Times New Roman" w:ascii="Times New Roman" w:hAnsi="Times New Roman"/>
          <w:sz w:val="22"/>
        </w:rPr>
        <w:footnoteReference w:id="16"/>
      </w:r>
      <w:r>
        <w:rPr>
          <w:rFonts w:cs="Times New Roman" w:ascii="Times New Roman" w:hAnsi="Times New Roman"/>
          <w:sz w:val="22"/>
        </w:rPr>
        <w:t>] United States dollars.</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Cash Equivalent Collateral</w:t>
      </w:r>
      <w:r>
        <w:rPr>
          <w:rFonts w:cs="Times New Roman" w:ascii="Times New Roman" w:hAnsi="Times New Roman"/>
          <w:sz w:val="22"/>
        </w:rPr>
        <w:t>" shall mean collateral provided in the form of book-entry United States Treasury Securities [or Government of Canada Treasury Securities] having an original maturity at issuance of not more than one year.</w:t>
      </w:r>
      <w:r>
        <w:rPr>
          <w:rStyle w:val="FootnoteCharacters"/>
          <w:rStyle w:val="FootnoteReference"/>
          <w:rFonts w:cs="Times New Roman" w:ascii="Times New Roman" w:hAnsi="Times New Roman"/>
          <w:sz w:val="22"/>
        </w:rPr>
        <w:footnoteReference w:id="17"/>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Collateral</w:t>
      </w:r>
      <w:r>
        <w:rPr>
          <w:rFonts w:cs="Times New Roman" w:ascii="Times New Roman" w:hAnsi="Times New Roman"/>
          <w:sz w:val="22"/>
        </w:rPr>
        <w:t>" shall mean (a) Cash Collateral, and/or (b) Cash Equivalent Collateral.</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Collateral Requirement</w:t>
      </w:r>
      <w:r>
        <w:rPr>
          <w:rFonts w:cs="Times New Roman" w:ascii="Times New Roman" w:hAnsi="Times New Roman"/>
          <w:sz w:val="22"/>
        </w:rPr>
        <w:t>" shall have the meaning attributed to it in Section II(b).</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Counterparty</w:t>
      </w:r>
      <w:r>
        <w:rPr>
          <w:rFonts w:cs="Times New Roman" w:ascii="Times New Roman" w:hAnsi="Times New Roman"/>
          <w:sz w:val="22"/>
        </w:rPr>
        <w:t>" shall mean ___________________________.</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shall mean, with respect to a party or entity on any date of determination, the respective rating then assigned to its unsecured and senior long-term debt or deposit obligations (not supported by third party credit enhancement) by S&amp;P, Moody's, DBRS or the specified rating agency.</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Credit Support Provider</w:t>
      </w:r>
      <w:r>
        <w:rPr>
          <w:rFonts w:cs="Times New Roman" w:ascii="Times New Roman" w:hAnsi="Times New Roman"/>
          <w:sz w:val="22"/>
        </w:rPr>
        <w:t>" shall mean, with respect to ECT Canada, ___________ and with respect to Counterparty, __________.</w:t>
      </w:r>
    </w:p>
    <w:p>
      <w:pPr>
        <w:pStyle w:val="Normal"/>
        <w:spacing w:lineRule="atLeas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Current Value</w:t>
      </w:r>
      <w:r>
        <w:rPr>
          <w:rFonts w:cs="Times New Roman" w:ascii="Times New Roman" w:hAnsi="Times New Roman"/>
          <w:sz w:val="22"/>
        </w:rPr>
        <w:t>" of an outstanding Transaction, on any date, shall mean the amount, as calculated by the Exposed Party in good faith and in a commercially reasonable manner, which a party to the Agreement would pay to or receive from a third party in an arm's-length transaction as consideration for the third party's entering into a new Transaction with such party to the Agreement in which:</w:t>
      </w:r>
    </w:p>
    <w:p>
      <w:pPr>
        <w:pStyle w:val="Normal"/>
        <w:spacing w:lineRule="atLeast" w:line="240"/>
        <w:ind w:firstLine="720"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start="720" w:end="0"/>
        <w:jc w:val="both"/>
        <w:rPr>
          <w:rFonts w:ascii="Times New Roman" w:hAnsi="Times New Roman" w:cs="Times New Roman"/>
          <w:sz w:val="22"/>
        </w:rPr>
      </w:pPr>
      <w:r>
        <w:rPr>
          <w:rFonts w:cs="Times New Roman" w:ascii="Times New Roman" w:hAnsi="Times New Roman"/>
          <w:sz w:val="22"/>
        </w:rPr>
        <w:t>(a)</w:t>
        <w:tab/>
        <w:t>the party to the Agreement holds the same position as it currently holds in the outstanding Transaction;</w:t>
      </w:r>
    </w:p>
    <w:p>
      <w:pPr>
        <w:pStyle w:val="Normal"/>
        <w:spacing w:lineRule="atLeast" w:line="240"/>
        <w:ind w:firstLine="720"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start="720" w:end="0"/>
        <w:jc w:val="both"/>
        <w:rPr>
          <w:rFonts w:ascii="Times New Roman" w:hAnsi="Times New Roman" w:cs="Times New Roman"/>
          <w:sz w:val="22"/>
        </w:rPr>
      </w:pPr>
      <w:r>
        <w:rPr>
          <w:rFonts w:cs="Times New Roman" w:ascii="Times New Roman" w:hAnsi="Times New Roman"/>
          <w:sz w:val="22"/>
        </w:rPr>
        <w:t>(b)</w:t>
        <w:tab/>
        <w:t>the third party holds the same position as the other party to the Agreement in the outstanding Transaction; and</w:t>
      </w:r>
    </w:p>
    <w:p>
      <w:pPr>
        <w:pStyle w:val="Normal"/>
        <w:spacing w:lineRule="atLeast" w:line="240"/>
        <w:ind w:firstLine="720"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start="720" w:end="0"/>
        <w:jc w:val="both"/>
        <w:rPr>
          <w:rFonts w:ascii="Times New Roman" w:hAnsi="Times New Roman" w:cs="Times New Roman"/>
          <w:sz w:val="22"/>
        </w:rPr>
      </w:pPr>
      <w:r>
        <w:rPr>
          <w:rFonts w:cs="Times New Roman" w:ascii="Times New Roman" w:hAnsi="Times New Roman"/>
          <w:sz w:val="22"/>
        </w:rPr>
        <w:t>(c)</w:t>
        <w:tab/>
        <w:t>the new Transaction has economic and other terms and conditions identical in all respects to the terms and conditions of the outstanding Transaction, except that</w:t>
      </w:r>
    </w:p>
    <w:p>
      <w:pPr>
        <w:pStyle w:val="Normal"/>
        <w:spacing w:lineRule="atLeast" w:line="240"/>
        <w:ind w:firstLine="720"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2160" w:end="0"/>
        <w:jc w:val="both"/>
        <w:rPr>
          <w:rFonts w:ascii="Times New Roman" w:hAnsi="Times New Roman" w:cs="Times New Roman"/>
          <w:sz w:val="22"/>
        </w:rPr>
      </w:pPr>
      <w:r>
        <w:rPr>
          <w:rFonts w:cs="Times New Roman" w:ascii="Times New Roman" w:hAnsi="Times New Roman"/>
          <w:sz w:val="22"/>
        </w:rPr>
        <w:t>(i)</w:t>
        <w:tab/>
        <w:t>the date of calculation shall be deemed to be the date of commencement of the new Transaction (or, if later, the date specified as the effective or commencement date of the outstanding Transaction in the related Confirmation), and</w:t>
      </w:r>
    </w:p>
    <w:p>
      <w:pPr>
        <w:pStyle w:val="Normal"/>
        <w:spacing w:lineRule="atLeast" w:line="240"/>
        <w:ind w:firstLine="216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2160" w:end="0"/>
        <w:jc w:val="both"/>
        <w:rPr>
          <w:rFonts w:ascii="Times New Roman" w:hAnsi="Times New Roman" w:cs="Times New Roman"/>
          <w:sz w:val="22"/>
        </w:rPr>
      </w:pPr>
      <w:r>
        <w:rPr>
          <w:rFonts w:cs="Times New Roman" w:ascii="Times New Roman" w:hAnsi="Times New Roman"/>
          <w:sz w:val="22"/>
        </w:rPr>
        <w:t>(ii)</w:t>
        <w:tab/>
        <w:t>the first Determination Period for the new Transaction shall end on the date that the then-current Determination Period, if any, for the outstanding Transaction would have ended.</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DBRS</w:t>
      </w:r>
      <w:r>
        <w:rPr>
          <w:rFonts w:cs="Times New Roman" w:ascii="Times New Roman" w:hAnsi="Times New Roman"/>
          <w:sz w:val="22"/>
        </w:rPr>
        <w:t>” shall mean Dominion Bond Rating Service Limited or its successor.</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Distribution</w:t>
      </w:r>
      <w:r>
        <w:rPr>
          <w:rFonts w:cs="Times New Roman" w:ascii="Times New Roman" w:hAnsi="Times New Roman"/>
          <w:sz w:val="22"/>
        </w:rPr>
        <w:t>" shall have the meaning attributed to it in Section VII(c).</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ECT Canada</w:t>
      </w:r>
      <w:r>
        <w:rPr>
          <w:rFonts w:cs="Times New Roman" w:ascii="Times New Roman" w:hAnsi="Times New Roman"/>
          <w:sz w:val="22"/>
        </w:rPr>
        <w:t>" shall mean Enron Capital &amp; Trade Resources Canada Corp.</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Exposed Party</w:t>
      </w:r>
      <w:r>
        <w:rPr>
          <w:rFonts w:cs="Times New Roman" w:ascii="Times New Roman" w:hAnsi="Times New Roman"/>
          <w:sz w:val="22"/>
        </w:rPr>
        <w:t>" shall mean a party that has received, or that is entitled to receive Performance Assurance from the Non-Exposed Party.</w:t>
      </w:r>
    </w:p>
    <w:p>
      <w:pPr>
        <w:pStyle w:val="Normal"/>
        <w:spacing w:lineRule="atLeast" w:line="240" w:before="240" w:after="0"/>
        <w:ind w:firstLine="720" w:start="720" w:end="0"/>
        <w:jc w:val="both"/>
        <w:rPr/>
      </w:pPr>
      <w:r>
        <w:rPr>
          <w:rFonts w:cs="Times New Roman" w:ascii="Times New Roman" w:hAnsi="Times New Roman"/>
          <w:sz w:val="22"/>
        </w:rPr>
        <w:t>"</w:t>
      </w:r>
      <w:r>
        <w:rPr>
          <w:rFonts w:cs="Times New Roman" w:ascii="Times New Roman" w:hAnsi="Times New Roman"/>
          <w:sz w:val="22"/>
          <w:u w:val="single"/>
        </w:rPr>
        <w:t>Exposure</w:t>
      </w:r>
      <w:r>
        <w:rPr>
          <w:rFonts w:cs="Times New Roman" w:ascii="Times New Roman" w:hAnsi="Times New Roman"/>
          <w:sz w:val="22"/>
        </w:rPr>
        <w:t>" for each Transaction shall mean (without duplication):</w:t>
      </w:r>
    </w:p>
    <w:p>
      <w:pPr>
        <w:pStyle w:val="Normal"/>
        <w:spacing w:lineRule="atLeast" w:line="240"/>
        <w:ind w:firstLine="720"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t>(a)</w:t>
        <w:tab/>
        <w:t>in respect of a Transaction for which a payment pursuant to the Agreement has been determined and is due and owing but not yet paid, the amount of such payment, with the party (the Exposed Party) due and owed such amount having Exposure to the other party (the Non-Exposed Party) in such amount; and</w:t>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t>(b)</w:t>
        <w:tab/>
        <w:t>the Current Value of a Transaction, with the party (the Exposed Party) that would be due and owed such amount from the other party (the Non-Exposed Party) having Exposure to the other party (the Non-Exposed Party) in such amount.</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Exposure Amount</w:t>
      </w:r>
      <w:r>
        <w:rPr>
          <w:rFonts w:cs="Times New Roman" w:ascii="Times New Roman" w:hAnsi="Times New Roman"/>
          <w:sz w:val="22"/>
        </w:rPr>
        <w:t>" shall have the meaning attributed to it in Section II(a).</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Exposure Threshold</w:t>
      </w:r>
      <w:r>
        <w:rPr>
          <w:rFonts w:cs="Times New Roman" w:ascii="Times New Roman" w:hAnsi="Times New Roman"/>
          <w:sz w:val="22"/>
        </w:rPr>
        <w:t xml:space="preserve">" shall mean, with respect to ECT Canada , U.S. $___________ and with respect to Counterparty, U.S. $__________; </w:t>
      </w:r>
      <w:r>
        <w:rPr>
          <w:rFonts w:cs="Times New Roman" w:ascii="Times New Roman" w:hAnsi="Times New Roman"/>
          <w:sz w:val="22"/>
          <w:u w:val="single"/>
        </w:rPr>
        <w:t>provided, however</w:t>
      </w:r>
      <w:r>
        <w:rPr>
          <w:rFonts w:cs="Times New Roman" w:ascii="Times New Roman" w:hAnsi="Times New Roman"/>
          <w:sz w:val="22"/>
        </w:rPr>
        <w:t>, that the Exposure Threshold for a party shall be zero upon the occurrence and during the continuance of an Event of Default or a Potential Event of Default or a Material Adverse Change with respect to such party.</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t>[If an Exposure Threshold Grid Schedule is used in the Collateral Annex, then use the following in lieu of the definition of "Exposure Threshold" above:</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440" w:end="0"/>
        <w:jc w:val="both"/>
        <w:rPr/>
      </w:pPr>
      <w:r>
        <w:rPr>
          <w:rFonts w:cs="Times New Roman" w:ascii="Times New Roman" w:hAnsi="Times New Roman"/>
          <w:sz w:val="22"/>
        </w:rPr>
        <w:t>"</w:t>
      </w:r>
      <w:r>
        <w:rPr>
          <w:rFonts w:cs="Times New Roman" w:ascii="Times New Roman" w:hAnsi="Times New Roman"/>
          <w:sz w:val="22"/>
          <w:u w:val="single"/>
        </w:rPr>
        <w:t>Exposure Threshold</w:t>
      </w:r>
      <w:r>
        <w:rPr>
          <w:rFonts w:cs="Times New Roman" w:ascii="Times New Roman" w:hAnsi="Times New Roman"/>
          <w:sz w:val="22"/>
        </w:rPr>
        <w:t>" shall mean, with respect to a party, (a) the amount set forth opposite the lowest Credit Rating for the party (or [in the case of Counterparty, _________ and] in the case of ECT Canada, Enron Corp.)</w:t>
      </w:r>
      <w:r>
        <w:rPr>
          <w:rStyle w:val="FootnoteCharacters"/>
          <w:rStyle w:val="FootnoteReference"/>
          <w:rFonts w:cs="Times New Roman" w:ascii="Times New Roman" w:hAnsi="Times New Roman"/>
          <w:sz w:val="22"/>
        </w:rPr>
        <w:footnoteReference w:id="18"/>
      </w:r>
      <w:r>
        <w:rPr>
          <w:rFonts w:cs="Times New Roman" w:ascii="Times New Roman" w:hAnsi="Times New Roman"/>
          <w:sz w:val="22"/>
        </w:rPr>
        <w:t xml:space="preserve"> on the relevant date of determination or (b) zero if on the relevant date of determination the party fails to qualify for a Credit Rating (or does not have a Credit Rating)</w:t>
      </w:r>
      <w:r>
        <w:rPr>
          <w:rStyle w:val="FootnoteCharacters"/>
          <w:rStyle w:val="FootnoteReference"/>
          <w:rFonts w:cs="Times New Roman" w:ascii="Times New Roman" w:hAnsi="Times New Roman"/>
          <w:sz w:val="22"/>
        </w:rPr>
        <w:footnoteReference w:id="19"/>
      </w:r>
      <w:r>
        <w:rPr>
          <w:rFonts w:cs="Times New Roman" w:ascii="Times New Roman" w:hAnsi="Times New Roman"/>
          <w:sz w:val="22"/>
        </w:rPr>
        <w:t xml:space="preserve"> or an Event of Default or a Potential Event of Default with respect to such party has occurred and is continuing:</w:t>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r>
    </w:p>
    <w:tbl>
      <w:tblPr>
        <w:tblW w:w="9540" w:type="dxa"/>
        <w:jc w:val="start"/>
        <w:tblInd w:w="108" w:type="dxa"/>
        <w:tblLayout w:type="fixed"/>
        <w:tblCellMar>
          <w:top w:w="0" w:type="dxa"/>
          <w:start w:w="108" w:type="dxa"/>
          <w:bottom w:w="0" w:type="dxa"/>
          <w:end w:w="108" w:type="dxa"/>
        </w:tblCellMar>
      </w:tblPr>
      <w:tblGrid>
        <w:gridCol w:w="3600"/>
        <w:gridCol w:w="2700"/>
        <w:gridCol w:w="3240"/>
      </w:tblGrid>
      <w:tr>
        <w:trPr/>
        <w:tc>
          <w:tcPr>
            <w:tcW w:w="3600" w:type="dxa"/>
            <w:tcBorders/>
          </w:tcPr>
          <w:p>
            <w:pPr>
              <w:pStyle w:val="Normal"/>
              <w:rPr>
                <w:rFonts w:ascii="Times New Roman" w:hAnsi="Times New Roman" w:cs="Times New Roman"/>
                <w:sz w:val="22"/>
              </w:rPr>
            </w:pPr>
            <w:r>
              <w:rPr>
                <w:rFonts w:cs="Times New Roman" w:ascii="Times New Roman" w:hAnsi="Times New Roman"/>
                <w:b/>
                <w:sz w:val="22"/>
                <w:u w:val="single"/>
              </w:rPr>
              <w:t>EXPOSURE THRESHOLD</w:t>
            </w:r>
          </w:p>
        </w:tc>
        <w:tc>
          <w:tcPr>
            <w:tcW w:w="2700" w:type="dxa"/>
            <w:tcBorders/>
          </w:tcPr>
          <w:p>
            <w:pPr>
              <w:pStyle w:val="Normal"/>
              <w:ind w:start="-18" w:end="0"/>
              <w:rPr>
                <w:rFonts w:ascii="Times New Roman" w:hAnsi="Times New Roman" w:cs="Times New Roman"/>
                <w:b/>
                <w:sz w:val="22"/>
                <w:u w:val="single"/>
              </w:rPr>
            </w:pPr>
            <w:r>
              <w:rPr>
                <w:rFonts w:cs="Times New Roman" w:ascii="Times New Roman" w:hAnsi="Times New Roman"/>
                <w:b/>
                <w:sz w:val="22"/>
                <w:u w:val="single"/>
              </w:rPr>
              <w:t>S&amp;P CREDIT RATING</w:t>
            </w:r>
          </w:p>
          <w:p>
            <w:pPr>
              <w:pStyle w:val="Normal"/>
              <w:ind w:start="-18" w:end="0"/>
              <w:rPr>
                <w:rFonts w:ascii="Times New Roman" w:hAnsi="Times New Roman" w:cs="Times New Roman"/>
                <w:b/>
                <w:sz w:val="22"/>
                <w:u w:val="single"/>
              </w:rPr>
            </w:pPr>
            <w:r>
              <w:rPr>
                <w:rFonts w:cs="Times New Roman" w:ascii="Times New Roman" w:hAnsi="Times New Roman"/>
                <w:b/>
                <w:sz w:val="22"/>
                <w:u w:val="single"/>
              </w:rPr>
            </w:r>
          </w:p>
        </w:tc>
        <w:tc>
          <w:tcPr>
            <w:tcW w:w="3240" w:type="dxa"/>
            <w:tcBorders/>
          </w:tcPr>
          <w:p>
            <w:pPr>
              <w:pStyle w:val="Normal"/>
              <w:rPr>
                <w:rFonts w:ascii="Times New Roman" w:hAnsi="Times New Roman" w:cs="Times New Roman"/>
                <w:b/>
                <w:sz w:val="22"/>
                <w:u w:val="single"/>
              </w:rPr>
            </w:pPr>
            <w:r>
              <w:rPr>
                <w:rFonts w:cs="Times New Roman" w:ascii="Times New Roman" w:hAnsi="Times New Roman"/>
                <w:b/>
                <w:sz w:val="22"/>
                <w:u w:val="single"/>
              </w:rPr>
              <w:t>MOODY'S CREDIT RATING</w:t>
            </w:r>
          </w:p>
          <w:p>
            <w:pPr>
              <w:pStyle w:val="Normal"/>
              <w:rPr>
                <w:rFonts w:ascii="Times New Roman" w:hAnsi="Times New Roman" w:cs="Times New Roman"/>
                <w:b/>
                <w:sz w:val="22"/>
                <w:u w:val="single"/>
              </w:rPr>
            </w:pPr>
            <w:r>
              <w:rPr>
                <w:rFonts w:cs="Times New Roman" w:ascii="Times New Roman" w:hAnsi="Times New Roman"/>
                <w:b/>
                <w:sz w:val="22"/>
                <w:u w:val="single"/>
              </w:rPr>
            </w:r>
          </w:p>
        </w:tc>
      </w:tr>
      <w:tr>
        <w:trPr/>
        <w:tc>
          <w:tcPr>
            <w:tcW w:w="3600" w:type="dxa"/>
            <w:tcBorders/>
          </w:tcPr>
          <w:p>
            <w:pPr>
              <w:pStyle w:val="Normal"/>
              <w:rPr>
                <w:rFonts w:ascii="Times New Roman" w:hAnsi="Times New Roman" w:cs="Times New Roman"/>
                <w:sz w:val="22"/>
              </w:rPr>
            </w:pPr>
            <w:r>
              <w:rPr>
                <w:rFonts w:cs="Times New Roman" w:ascii="Times New Roman" w:hAnsi="Times New Roman"/>
                <w:sz w:val="22"/>
              </w:rPr>
              <w:t>$_______________________</w:t>
            </w:r>
          </w:p>
        </w:tc>
        <w:tc>
          <w:tcPr>
            <w:tcW w:w="2700" w:type="dxa"/>
            <w:tcBorders/>
          </w:tcPr>
          <w:p>
            <w:pPr>
              <w:pStyle w:val="Normal"/>
              <w:ind w:start="-18" w:end="0"/>
              <w:rPr>
                <w:rFonts w:ascii="Times New Roman" w:hAnsi="Times New Roman" w:cs="Times New Roman"/>
                <w:sz w:val="22"/>
              </w:rPr>
            </w:pPr>
            <w:r>
              <w:rPr>
                <w:rFonts w:cs="Times New Roman" w:ascii="Times New Roman" w:hAnsi="Times New Roman"/>
                <w:sz w:val="22"/>
              </w:rPr>
              <w:t>AA (or above)</w:t>
            </w:r>
          </w:p>
        </w:tc>
        <w:tc>
          <w:tcPr>
            <w:tcW w:w="3240" w:type="dxa"/>
            <w:tcBorders/>
          </w:tcPr>
          <w:p>
            <w:pPr>
              <w:pStyle w:val="Normal"/>
              <w:rPr>
                <w:rFonts w:ascii="Times New Roman" w:hAnsi="Times New Roman" w:cs="Times New Roman"/>
                <w:sz w:val="22"/>
              </w:rPr>
            </w:pPr>
            <w:r>
              <w:rPr>
                <w:rFonts w:cs="Times New Roman" w:ascii="Times New Roman" w:hAnsi="Times New Roman"/>
                <w:sz w:val="22"/>
              </w:rPr>
              <w:t>Aa2 (or above)</w:t>
            </w:r>
          </w:p>
        </w:tc>
      </w:tr>
      <w:tr>
        <w:trPr/>
        <w:tc>
          <w:tcPr>
            <w:tcW w:w="3600" w:type="dxa"/>
            <w:tcBorders/>
          </w:tcPr>
          <w:p>
            <w:pPr>
              <w:pStyle w:val="Normal"/>
              <w:rPr>
                <w:rFonts w:ascii="Times New Roman" w:hAnsi="Times New Roman" w:cs="Times New Roman"/>
                <w:sz w:val="22"/>
              </w:rPr>
            </w:pPr>
            <w:r>
              <w:rPr>
                <w:rFonts w:cs="Times New Roman" w:ascii="Times New Roman" w:hAnsi="Times New Roman"/>
                <w:sz w:val="22"/>
              </w:rPr>
              <w:t>$_______________________</w:t>
            </w:r>
          </w:p>
        </w:tc>
        <w:tc>
          <w:tcPr>
            <w:tcW w:w="2700" w:type="dxa"/>
            <w:tcBorders/>
          </w:tcPr>
          <w:p>
            <w:pPr>
              <w:pStyle w:val="Normal"/>
              <w:ind w:start="-18" w:end="0"/>
              <w:rPr>
                <w:rFonts w:ascii="Times New Roman" w:hAnsi="Times New Roman" w:cs="Times New Roman"/>
                <w:sz w:val="22"/>
              </w:rPr>
            </w:pPr>
            <w:r>
              <w:rPr>
                <w:rFonts w:cs="Times New Roman" w:ascii="Times New Roman" w:hAnsi="Times New Roman"/>
                <w:sz w:val="22"/>
              </w:rPr>
              <w:t>AA- to A-</w:t>
            </w:r>
          </w:p>
        </w:tc>
        <w:tc>
          <w:tcPr>
            <w:tcW w:w="3240" w:type="dxa"/>
            <w:tcBorders/>
          </w:tcPr>
          <w:p>
            <w:pPr>
              <w:pStyle w:val="Normal"/>
              <w:rPr>
                <w:rFonts w:ascii="Times New Roman" w:hAnsi="Times New Roman" w:cs="Times New Roman"/>
                <w:sz w:val="22"/>
              </w:rPr>
            </w:pPr>
            <w:r>
              <w:rPr>
                <w:rFonts w:cs="Times New Roman" w:ascii="Times New Roman" w:hAnsi="Times New Roman"/>
                <w:sz w:val="22"/>
              </w:rPr>
              <w:t>Aa3 to A3</w:t>
            </w:r>
          </w:p>
        </w:tc>
      </w:tr>
      <w:tr>
        <w:trPr/>
        <w:tc>
          <w:tcPr>
            <w:tcW w:w="3600" w:type="dxa"/>
            <w:tcBorders/>
          </w:tcPr>
          <w:p>
            <w:pPr>
              <w:pStyle w:val="Normal"/>
              <w:rPr>
                <w:rFonts w:ascii="Times New Roman" w:hAnsi="Times New Roman" w:cs="Times New Roman"/>
                <w:sz w:val="22"/>
              </w:rPr>
            </w:pPr>
            <w:r>
              <w:rPr>
                <w:rFonts w:cs="Times New Roman" w:ascii="Times New Roman" w:hAnsi="Times New Roman"/>
                <w:sz w:val="22"/>
              </w:rPr>
              <w:t>$_______________________</w:t>
            </w:r>
          </w:p>
        </w:tc>
        <w:tc>
          <w:tcPr>
            <w:tcW w:w="2700" w:type="dxa"/>
            <w:tcBorders/>
          </w:tcPr>
          <w:p>
            <w:pPr>
              <w:pStyle w:val="Normal"/>
              <w:ind w:start="-18" w:end="0"/>
              <w:rPr>
                <w:rFonts w:ascii="Times New Roman" w:hAnsi="Times New Roman" w:cs="Times New Roman"/>
                <w:sz w:val="22"/>
              </w:rPr>
            </w:pPr>
            <w:r>
              <w:rPr>
                <w:rFonts w:cs="Times New Roman" w:ascii="Times New Roman" w:hAnsi="Times New Roman"/>
                <w:sz w:val="22"/>
              </w:rPr>
              <w:t>BBB+ and BBB</w:t>
            </w:r>
          </w:p>
        </w:tc>
        <w:tc>
          <w:tcPr>
            <w:tcW w:w="3240" w:type="dxa"/>
            <w:tcBorders/>
          </w:tcPr>
          <w:p>
            <w:pPr>
              <w:pStyle w:val="Normal"/>
              <w:rPr>
                <w:rFonts w:ascii="Times New Roman" w:hAnsi="Times New Roman" w:cs="Times New Roman"/>
                <w:sz w:val="22"/>
              </w:rPr>
            </w:pPr>
            <w:r>
              <w:rPr>
                <w:rFonts w:cs="Times New Roman" w:ascii="Times New Roman" w:hAnsi="Times New Roman"/>
                <w:sz w:val="22"/>
              </w:rPr>
              <w:t>Baa1 and Baa2</w:t>
            </w:r>
          </w:p>
        </w:tc>
      </w:tr>
      <w:tr>
        <w:trPr/>
        <w:tc>
          <w:tcPr>
            <w:tcW w:w="3600" w:type="dxa"/>
            <w:tcBorders/>
          </w:tcPr>
          <w:p>
            <w:pPr>
              <w:pStyle w:val="Normal"/>
              <w:rPr>
                <w:rFonts w:ascii="Times New Roman" w:hAnsi="Times New Roman" w:cs="Times New Roman"/>
                <w:sz w:val="22"/>
              </w:rPr>
            </w:pPr>
            <w:r>
              <w:rPr>
                <w:rFonts w:cs="Times New Roman" w:ascii="Times New Roman" w:hAnsi="Times New Roman"/>
                <w:sz w:val="22"/>
              </w:rPr>
              <w:t>$_______________________</w:t>
            </w:r>
          </w:p>
        </w:tc>
        <w:tc>
          <w:tcPr>
            <w:tcW w:w="2700" w:type="dxa"/>
            <w:tcBorders/>
          </w:tcPr>
          <w:p>
            <w:pPr>
              <w:pStyle w:val="Normal"/>
              <w:ind w:start="-18" w:end="0"/>
              <w:rPr>
                <w:rFonts w:ascii="Times New Roman" w:hAnsi="Times New Roman" w:cs="Times New Roman"/>
                <w:sz w:val="22"/>
              </w:rPr>
            </w:pPr>
            <w:r>
              <w:rPr>
                <w:rFonts w:cs="Times New Roman" w:ascii="Times New Roman" w:hAnsi="Times New Roman"/>
                <w:sz w:val="22"/>
              </w:rPr>
              <w:t>BBB-</w:t>
            </w:r>
          </w:p>
        </w:tc>
        <w:tc>
          <w:tcPr>
            <w:tcW w:w="3240" w:type="dxa"/>
            <w:tcBorders/>
          </w:tcPr>
          <w:p>
            <w:pPr>
              <w:pStyle w:val="Normal"/>
              <w:rPr>
                <w:rFonts w:ascii="Times New Roman" w:hAnsi="Times New Roman" w:cs="Times New Roman"/>
                <w:sz w:val="22"/>
              </w:rPr>
            </w:pPr>
            <w:r>
              <w:rPr>
                <w:rFonts w:cs="Times New Roman" w:ascii="Times New Roman" w:hAnsi="Times New Roman"/>
                <w:sz w:val="22"/>
              </w:rPr>
              <w:t>Baa3</w:t>
            </w:r>
          </w:p>
        </w:tc>
      </w:tr>
      <w:tr>
        <w:trPr/>
        <w:tc>
          <w:tcPr>
            <w:tcW w:w="3600" w:type="dxa"/>
            <w:tcBorders/>
          </w:tcPr>
          <w:p>
            <w:pPr>
              <w:pStyle w:val="Normal"/>
              <w:rPr>
                <w:rFonts w:ascii="Times New Roman" w:hAnsi="Times New Roman" w:cs="Times New Roman"/>
                <w:sz w:val="22"/>
              </w:rPr>
            </w:pPr>
            <w:r>
              <w:rPr>
                <w:rFonts w:cs="Times New Roman" w:ascii="Times New Roman" w:hAnsi="Times New Roman"/>
                <w:sz w:val="22"/>
              </w:rPr>
              <w:t>$_______________________</w:t>
            </w:r>
          </w:p>
        </w:tc>
        <w:tc>
          <w:tcPr>
            <w:tcW w:w="2700" w:type="dxa"/>
            <w:tcBorders/>
          </w:tcPr>
          <w:p>
            <w:pPr>
              <w:pStyle w:val="Normal"/>
              <w:ind w:start="-18" w:end="0"/>
              <w:rPr>
                <w:rFonts w:ascii="Times New Roman" w:hAnsi="Times New Roman" w:cs="Times New Roman"/>
                <w:sz w:val="22"/>
              </w:rPr>
            </w:pPr>
            <w:r>
              <w:rPr>
                <w:rFonts w:cs="Times New Roman" w:ascii="Times New Roman" w:hAnsi="Times New Roman"/>
                <w:sz w:val="22"/>
              </w:rPr>
              <w:t>Below BBB-</w:t>
            </w:r>
          </w:p>
        </w:tc>
        <w:tc>
          <w:tcPr>
            <w:tcW w:w="3240" w:type="dxa"/>
            <w:tcBorders/>
          </w:tcPr>
          <w:p>
            <w:pPr>
              <w:pStyle w:val="Normal"/>
              <w:rPr>
                <w:rFonts w:ascii="Times New Roman" w:hAnsi="Times New Roman" w:cs="Times New Roman"/>
                <w:sz w:val="22"/>
              </w:rPr>
            </w:pPr>
            <w:r>
              <w:rPr>
                <w:rFonts w:cs="Times New Roman" w:ascii="Times New Roman" w:hAnsi="Times New Roman"/>
                <w:sz w:val="22"/>
              </w:rPr>
              <w:t>Below Baa3]</w:t>
            </w:r>
          </w:p>
        </w:tc>
      </w:tr>
    </w:tbl>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440" w:end="0"/>
        <w:jc w:val="both"/>
        <w:rPr/>
      </w:pPr>
      <w:r>
        <w:rPr>
          <w:rFonts w:cs="Times New Roman" w:ascii="Times New Roman" w:hAnsi="Times New Roman"/>
          <w:sz w:val="22"/>
        </w:rPr>
        <w:t>"</w:t>
      </w:r>
      <w:r>
        <w:rPr>
          <w:rFonts w:cs="Times New Roman" w:ascii="Times New Roman" w:hAnsi="Times New Roman"/>
          <w:sz w:val="22"/>
          <w:u w:val="single"/>
        </w:rPr>
        <w:t>Federal Funds Overnight Rate</w:t>
      </w:r>
      <w:r>
        <w:rPr>
          <w:rFonts w:cs="Times New Roman" w:ascii="Times New Roman" w:hAnsi="Times New Roman"/>
          <w:sz w:val="22"/>
        </w:rPr>
        <w:t>" shall have the meaning attributed to it in Section VII(c).</w:t>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440" w:end="0"/>
        <w:jc w:val="both"/>
        <w:rPr/>
      </w:pPr>
      <w:r>
        <w:rPr>
          <w:rFonts w:cs="Times New Roman" w:ascii="Times New Roman" w:hAnsi="Times New Roman"/>
          <w:sz w:val="22"/>
        </w:rPr>
        <w:t>"</w:t>
      </w:r>
      <w:r>
        <w:rPr>
          <w:rFonts w:cs="Times New Roman" w:ascii="Times New Roman" w:hAnsi="Times New Roman"/>
          <w:sz w:val="22"/>
          <w:u w:val="single"/>
        </w:rPr>
        <w:t>Interest Amount</w:t>
      </w:r>
      <w:r>
        <w:rPr>
          <w:rFonts w:cs="Times New Roman" w:ascii="Times New Roman" w:hAnsi="Times New Roman"/>
          <w:sz w:val="22"/>
        </w:rPr>
        <w:t>" shall have the meaning attributed to it in Section VII(c).</w:t>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440" w:end="0"/>
        <w:jc w:val="both"/>
        <w:rPr/>
      </w:pPr>
      <w:r>
        <w:rPr>
          <w:rFonts w:cs="Times New Roman" w:ascii="Times New Roman" w:hAnsi="Times New Roman"/>
          <w:sz w:val="22"/>
        </w:rPr>
        <w:t>"</w:t>
      </w:r>
      <w:r>
        <w:rPr>
          <w:rFonts w:cs="Times New Roman" w:ascii="Times New Roman" w:hAnsi="Times New Roman"/>
          <w:sz w:val="22"/>
          <w:u w:val="single"/>
        </w:rPr>
        <w:t>Interest Period</w:t>
      </w:r>
      <w:r>
        <w:rPr>
          <w:rFonts w:cs="Times New Roman" w:ascii="Times New Roman" w:hAnsi="Times New Roman"/>
          <w:sz w:val="22"/>
        </w:rPr>
        <w:t>" shall have the meaning attributed to it in Section VII(c).</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Letter of Credit</w:t>
      </w:r>
      <w:r>
        <w:rPr>
          <w:rFonts w:cs="Times New Roman" w:ascii="Times New Roman" w:hAnsi="Times New Roman"/>
          <w:sz w:val="22"/>
        </w:rPr>
        <w:t xml:space="preserve">" shall mean an irrevocable, transferable, standby letter of credit, issued by a major Canadian or U.S. commercial bank with a Credit Rating of at least "A-" by S&amp;P, "A3" by Moody's, or “A(low)” by DBRS,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w:t>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Letter of Credit Default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“A3” by Moody’s, or “A(low)” by DBRS;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(v) the issuer of such Letter of Credit has given notice that it does not intend to renew the Letter of Credit and the Non-Exposed Party has not provided a substitute Letter of Credit at least twenty (20) Business Days prior to the expiration of such Letter of Credit, or (vi) any event analogous to an event specified in Section 5(a)(4) of the Agreement shall occur with respect to the issuer of such Letter of Credit;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the Non-Exposed Party in accordance with the terms of this Annex.]</w:t>
      </w:r>
      <w:r>
        <w:rPr>
          <w:rStyle w:val="FootnoteCharacters"/>
          <w:rStyle w:val="FootnoteReference"/>
          <w:rFonts w:cs="Times New Roman" w:ascii="Times New Roman" w:hAnsi="Times New Roman"/>
          <w:sz w:val="22"/>
        </w:rPr>
        <w:footnoteReference w:id="20"/>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Moody's</w:t>
      </w:r>
      <w:r>
        <w:rPr>
          <w:rFonts w:cs="Times New Roman" w:ascii="Times New Roman" w:hAnsi="Times New Roman"/>
          <w:sz w:val="22"/>
        </w:rPr>
        <w:t xml:space="preserve"> shall mean Moody's Investors Services, Inc. or its successor.</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Net Exposure</w:t>
      </w:r>
      <w:r>
        <w:rPr>
          <w:rFonts w:cs="Times New Roman" w:ascii="Times New Roman" w:hAnsi="Times New Roman"/>
          <w:sz w:val="22"/>
        </w:rPr>
        <w:t>" shall have the meaning attributed to it in Section II(a).</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Non</w:t>
        <w:noBreakHyphen/>
        <w:t>Exposed Party</w:t>
      </w:r>
      <w:r>
        <w:rPr>
          <w:rFonts w:cs="Times New Roman" w:ascii="Times New Roman" w:hAnsi="Times New Roman"/>
          <w:sz w:val="22"/>
        </w:rPr>
        <w:t>" shall mean a party that has provided, or that is obligated to provide Performance Assurance.</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Non-Requesting Party</w:t>
      </w:r>
      <w:r>
        <w:rPr>
          <w:rFonts w:cs="Times New Roman" w:ascii="Times New Roman" w:hAnsi="Times New Roman"/>
          <w:sz w:val="22"/>
        </w:rPr>
        <w:t>" shall mean the party to which a request is made to reduce the amount of Performance Assurance previously provided by the Requesting Party for the benefit of the Non-Requesting Party.</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Performance Assurance</w:t>
      </w:r>
      <w:r>
        <w:rPr>
          <w:rFonts w:cs="Times New Roman" w:ascii="Times New Roman" w:hAnsi="Times New Roman"/>
          <w:sz w:val="22"/>
        </w:rPr>
        <w:t>" shall mean (i) one or more Letters of Credit, and/or (ii) Collateral.</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Potential Event of Default</w:t>
      </w:r>
      <w:r>
        <w:rPr>
          <w:rFonts w:cs="Times New Roman" w:ascii="Times New Roman" w:hAnsi="Times New Roman"/>
          <w:sz w:val="22"/>
        </w:rPr>
        <w:t>" shall mean an event that would constitute an Event of Default with the lapse of time or giving of notice or both.</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Prime Rate</w:t>
      </w:r>
      <w:r>
        <w:rPr>
          <w:rFonts w:cs="Times New Roman" w:ascii="Times New Roman" w:hAnsi="Times New Roman"/>
          <w:sz w:val="22"/>
        </w:rPr>
        <w:t>” shall have the meaning attributed to it in Section VII(c).</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shall have the meaning attributed to it in Section VII(b).</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Requesting Party</w:t>
      </w:r>
      <w:r>
        <w:rPr>
          <w:rFonts w:cs="Times New Roman" w:ascii="Times New Roman" w:hAnsi="Times New Roman"/>
          <w:sz w:val="22"/>
        </w:rPr>
        <w:t>" shall mean the party requesting a reduction in the amount of Performance Assurance previously provided by the Requesting Party for the benefit of the Non-Requesting Party.</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S&amp;P</w:t>
      </w:r>
      <w:r>
        <w:rPr>
          <w:rFonts w:cs="Times New Roman" w:ascii="Times New Roman" w:hAnsi="Times New Roman"/>
          <w:sz w:val="22"/>
        </w:rPr>
        <w:t>" shall mean the Standard &amp; Poor's Rating Group (a division of McGraw-Hill, Inc.) or its successor.</w:t>
      </w:r>
    </w:p>
    <w:p>
      <w:pPr>
        <w:pStyle w:val="Normal"/>
        <w:spacing w:lineRule="exact" w:line="240" w:before="240" w:after="0"/>
        <w:ind w:firstLine="1440" w:end="0"/>
        <w:jc w:val="both"/>
        <w:rPr/>
      </w:pPr>
      <w:r>
        <w:rPr>
          <w:rFonts w:cs="Times New Roman" w:ascii="Times New Roman" w:hAnsi="Times New Roman"/>
          <w:sz w:val="22"/>
        </w:rPr>
        <w:t>"</w:t>
      </w:r>
      <w:r>
        <w:rPr>
          <w:rFonts w:cs="Times New Roman" w:ascii="Times New Roman" w:hAnsi="Times New Roman"/>
          <w:sz w:val="22"/>
          <w:u w:val="single"/>
        </w:rPr>
        <w:t>Transfer</w:t>
      </w:r>
      <w:r>
        <w:rPr>
          <w:rFonts w:cs="Times New Roman" w:ascii="Times New Roman" w:hAnsi="Times New Roman"/>
          <w:sz w:val="22"/>
        </w:rPr>
        <w:t>" shall mean, with respect to any Performance Assurance, Distribution or Interest Amount, and in accordance with the instructions of the Exposed Party, the Non-Exposed Party or the Requesting Party, as applicable:</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(i) in the case of cash, payment or delivery by wire transfer into one or more bank accounts specified by the recipient;</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(ii)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(iii) 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(iv) in the case of Letters of Credit, delivery of the Letter of Credit or an amendment thereto to the recipient.</w:t>
      </w:r>
    </w:p>
    <w:p>
      <w:pPr>
        <w:pStyle w:val="Normal"/>
        <w:spacing w:lineRule="exact" w:line="240" w:before="240" w:after="0"/>
        <w:jc w:val="both"/>
        <w:rPr/>
      </w:pPr>
      <w:r>
        <w:rPr>
          <w:rFonts w:cs="Times New Roman" w:ascii="Times New Roman" w:hAnsi="Times New Roman"/>
          <w:sz w:val="22"/>
        </w:rPr>
        <w:t>II.</w:t>
        <w:tab/>
      </w:r>
      <w:r>
        <w:rPr>
          <w:rFonts w:cs="Times New Roman" w:ascii="Times New Roman" w:hAnsi="Times New Roman"/>
          <w:sz w:val="22"/>
          <w:u w:val="single"/>
        </w:rPr>
        <w:t>Calculations</w:t>
      </w:r>
      <w:r>
        <w:rPr>
          <w:rFonts w:cs="Times New Roman" w:ascii="Times New Roman" w:hAnsi="Times New Roman"/>
          <w:sz w:val="22"/>
        </w:rPr>
        <w:t>.</w:t>
        <w:tab/>
        <w:t>(a)</w:t>
        <w:tab/>
        <w:t>The "</w:t>
      </w:r>
      <w:r>
        <w:rPr>
          <w:rFonts w:cs="Times New Roman" w:ascii="Times New Roman" w:hAnsi="Times New Roman"/>
          <w:sz w:val="22"/>
          <w:u w:val="single"/>
        </w:rPr>
        <w:t>Exposure Amount</w:t>
      </w:r>
      <w:r>
        <w:rPr>
          <w:rFonts w:cs="Times New Roman" w:ascii="Times New Roman" w:hAnsi="Times New Roman"/>
          <w:sz w:val="22"/>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Times New Roman" w:ascii="Times New Roman" w:hAnsi="Times New Roman"/>
          <w:sz w:val="22"/>
          <w:u w:val="single"/>
        </w:rPr>
        <w:t>Net Exposure</w:t>
      </w:r>
      <w:r>
        <w:rPr>
          <w:rFonts w:cs="Times New Roman" w:ascii="Times New Roman" w:hAnsi="Times New Roman"/>
          <w:sz w:val="22"/>
        </w:rPr>
        <w:t>" to the other party (the Non-Exposed Party) equal to the difference between its Exposure Amount and the other party's Exposure Amount.</w:t>
      </w:r>
    </w:p>
    <w:p>
      <w:pPr>
        <w:pStyle w:val="Normal"/>
        <w:spacing w:lineRule="exact" w:line="240" w:before="240" w:after="0"/>
        <w:ind w:firstLine="1440" w:end="0"/>
        <w:jc w:val="both"/>
        <w:rPr/>
      </w:pPr>
      <w:r>
        <w:rPr>
          <w:rFonts w:cs="Times New Roman" w:ascii="Times New Roman" w:hAnsi="Times New Roman"/>
          <w:sz w:val="22"/>
        </w:rPr>
        <w:t>(b)</w:t>
        <w:tab/>
        <w:t>The "</w:t>
      </w:r>
      <w:r>
        <w:rPr>
          <w:rFonts w:cs="Times New Roman" w:ascii="Times New Roman" w:hAnsi="Times New Roman"/>
          <w:sz w:val="22"/>
          <w:u w:val="single"/>
        </w:rPr>
        <w:t>Collateral Requirement</w:t>
      </w:r>
      <w:r>
        <w:rPr>
          <w:rFonts w:cs="Times New Roman" w:ascii="Times New Roman" w:hAnsi="Times New Roman"/>
          <w:sz w:val="22"/>
        </w:rPr>
        <w:t>" for a Non-Exposed Party shall mean the excess, if any, of the Exposed Party's Net Exposure over the sum of:</w:t>
      </w:r>
    </w:p>
    <w:p>
      <w:pPr>
        <w:pStyle w:val="Normal"/>
        <w:tabs>
          <w:tab w:val="clear" w:pos="720"/>
          <w:tab w:val="left" w:pos="2160" w:leader="none"/>
        </w:tabs>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(i) the Non-Exposed Party's Exposure Threshold;</w:t>
      </w:r>
    </w:p>
    <w:p>
      <w:pPr>
        <w:pStyle w:val="Normal"/>
        <w:tabs>
          <w:tab w:val="clear" w:pos="720"/>
          <w:tab w:val="left" w:pos="2160" w:leader="none"/>
        </w:tabs>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(ii) the amount of Cash Collateral previously delivered by the Non-Exposed Party and any Interest Amount that has not yet been delivered to the Non-Exposed Party;</w:t>
      </w:r>
    </w:p>
    <w:p>
      <w:pPr>
        <w:pStyle w:val="Normal"/>
        <w:tabs>
          <w:tab w:val="clear" w:pos="720"/>
          <w:tab w:val="left" w:pos="2160" w:leader="none"/>
        </w:tabs>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(iii) the market value of Cash Equivalent Collateral, determined by the Exposed Party in good faith and in a commercially reasonable manner, previously delivered by the Non-Exposed Party and any Distributions and/or Interest Amount that have not yet been delivered to the Non-Exposed Party; and</w:t>
      </w:r>
    </w:p>
    <w:p>
      <w:pPr>
        <w:pStyle w:val="Normal"/>
        <w:tabs>
          <w:tab w:val="clear" w:pos="720"/>
          <w:tab w:val="left" w:pos="2160" w:leader="none"/>
        </w:tabs>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(iv) the remaining, undrawn portion of any outstanding Letter of Credit maintained by the Non-Exposed Party for the benefit of the Exposed Party.</w:t>
      </w:r>
    </w:p>
    <w:p>
      <w:pPr>
        <w:pStyle w:val="Normal"/>
        <w:spacing w:lineRule="exact" w:line="240" w:before="240" w:after="0"/>
        <w:jc w:val="both"/>
        <w:rPr/>
      </w:pPr>
      <w:r>
        <w:rPr>
          <w:rFonts w:cs="Times New Roman" w:ascii="Times New Roman" w:hAnsi="Times New Roman"/>
          <w:sz w:val="22"/>
        </w:rPr>
        <w:t>III.</w:t>
        <w:tab/>
      </w:r>
      <w:r>
        <w:rPr>
          <w:rFonts w:cs="Times New Roman" w:ascii="Times New Roman" w:hAnsi="Times New Roman"/>
          <w:sz w:val="22"/>
          <w:u w:val="single"/>
        </w:rPr>
        <w:t>Performance Assurance</w:t>
      </w:r>
      <w:r>
        <w:rPr>
          <w:rFonts w:cs="Times New Roman" w:ascii="Times New Roman" w:hAnsi="Times New Roman"/>
          <w:sz w:val="22"/>
        </w:rPr>
        <w:t>.</w:t>
        <w:tab/>
        <w:t>(a)</w:t>
        <w:tab/>
        <w:t>If, on any Business Day, a Non-Exposed Party's Collateral Requirement shall exceed One Dollar ($1.00) and provided that (i) no Event of Default or Potential Event of Default or Accelerated Termination Date as a result of an Event of Change with respect to the Exposed Party shall have occurred and be continuing and (ii) no Early Termination Date or Accelerated Termination Date has occurred or been designated as a result of an Event of Default or an Event of Change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U.S. $___________.</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(b)</w:t>
        <w:tab/>
        <w:t>On any Business Day (but no more frequently than weekly with respect to Letters of Credit and daily with respect to Cash Collateral and Cash Equivalent Collateral),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(i) no Event of Default or Potential Event of Default or Accelerated Termination Date as a result of an Event of Change with respect to the Requesting Party shall have occurred and be continuing and (ii) no Early Termination Date or Accelerated Termination Date for which any unsatisfied payment obligations of the Requesting Party exist has occurred or been designated as a result of an Event of Default or an Event of Change with respect to the Requesting Party.  A permitted reduction in Performance Assurance may be effected by the Transfer of Collateral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Collateral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p>
    <w:p>
      <w:pPr>
        <w:pStyle w:val="Normal"/>
        <w:spacing w:lineRule="exact" w:line="240" w:before="240" w:after="0"/>
        <w:jc w:val="both"/>
        <w:rPr/>
      </w:pPr>
      <w:r>
        <w:rPr>
          <w:rFonts w:cs="Times New Roman" w:ascii="Times New Roman" w:hAnsi="Times New Roman"/>
          <w:sz w:val="22"/>
        </w:rPr>
        <w:t>IV.</w:t>
        <w:tab/>
      </w:r>
      <w:r>
        <w:rPr>
          <w:rFonts w:cs="Times New Roman" w:ascii="Times New Roman" w:hAnsi="Times New Roman"/>
          <w:sz w:val="22"/>
          <w:u w:val="single"/>
        </w:rPr>
        <w:t>Delivery</w:t>
      </w:r>
      <w:r>
        <w:rPr>
          <w:rFonts w:cs="Times New Roman" w:ascii="Times New Roman" w:hAnsi="Times New Roman"/>
          <w:sz w:val="22"/>
        </w:rPr>
        <w:t>.  Unless otherwise agreed in writing by the parties, Performance Assurance demanded of a Non-Exposed Party by 10:00 a.m., Eastern time, on a Business Day shall be provided by the close of business on the next succeeding Business Day; provided, however, that Letters of Credit shall be Transferred by the close of business on the second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Cash Collateral and Cash Equivalent Collateral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spacing w:lineRule="exact" w:line="240" w:before="240" w:after="0"/>
        <w:jc w:val="both"/>
        <w:rPr/>
      </w:pPr>
      <w:r>
        <w:rPr>
          <w:rFonts w:cs="Times New Roman" w:ascii="Times New Roman" w:hAnsi="Times New Roman"/>
          <w:sz w:val="22"/>
        </w:rPr>
        <w:t>V.</w:t>
        <w:tab/>
      </w:r>
      <w:r>
        <w:rPr>
          <w:rFonts w:cs="Times New Roman" w:ascii="Times New Roman" w:hAnsi="Times New Roman"/>
          <w:sz w:val="22"/>
          <w:u w:val="single"/>
        </w:rPr>
        <w:t>Exposure Disputes</w:t>
      </w:r>
      <w:r>
        <w:rPr>
          <w:rFonts w:cs="Times New Roman" w:ascii="Times New Roman" w:hAnsi="Times New Roman"/>
          <w:sz w:val="22"/>
        </w:rPr>
        <w:t>.</w:t>
        <w:tab/>
        <w:t>(a)</w:t>
        <w:tab/>
        <w:t>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accordance with Section II.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(b)</w:t>
        <w:tab/>
        <w:t>If the Non-Requesting Party shall dispute the amount of Performance Assurance requested to be reduced and such dispute relates to the amount of the Net Exposure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in an amount equal to the Non-Requesting Party's own estimate, made in good faith and in a commercially reasonable manner, of the Requesting Party’s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Requesting Party shall inform the Non-Requesting Party of the results of such recalculation (in reasonable detail).  Performance Assurance shall thereupon be provided, returned, or reduced, if necessary, in accordance with the results of such recalculation.</w:t>
      </w:r>
    </w:p>
    <w:p>
      <w:pPr>
        <w:pStyle w:val="Normal"/>
        <w:spacing w:lineRule="exact" w:line="240" w:before="240" w:after="0"/>
        <w:jc w:val="both"/>
        <w:rPr/>
      </w:pPr>
      <w:r>
        <w:rPr>
          <w:rFonts w:cs="Times New Roman" w:ascii="Times New Roman" w:hAnsi="Times New Roman"/>
          <w:sz w:val="22"/>
        </w:rPr>
        <w:t>VI.</w:t>
        <w:tab/>
      </w:r>
      <w:r>
        <w:rPr>
          <w:rFonts w:cs="Times New Roman" w:ascii="Times New Roman" w:hAnsi="Times New Roman"/>
          <w:sz w:val="22"/>
          <w:u w:val="single"/>
        </w:rPr>
        <w:t>Letters of Credit</w:t>
      </w:r>
      <w:r>
        <w:rPr>
          <w:rFonts w:cs="Times New Roman" w:ascii="Times New Roman" w:hAnsi="Times New Roman"/>
          <w:sz w:val="22"/>
        </w:rPr>
        <w:t>.  Performance Assurance provided in the form of a Letter of Credit shall be subject to the following provisions.</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(a)</w:t>
        <w:tab/>
        <w:t>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acceptable to the Exposed Party,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(b)</w:t>
        <w:tab/>
        <w:t>As one method of providing Performance Assurance, the Non-Exposed Party may increase the amount of an outstanding Letter of Credit or establish one or more additional Letters of Credit.</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(c)</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(ii) If the Non-Exposed Party shall fail to renew, substitute, or sufficiently increase the amount of an outstanding Letter of Credit (as the case may be), or establish one or more additional Letters of Credit, or otherwise provide sufficient Performance Assurance in the form of Collateral so as to eliminate its Collateral Requirement, then the Exposed Party may draw on the entire, undrawn portion of any outstanding Letter of Credit upon submission to the bank issuing such Letter of Credit of one or more certificates specifying the amounts due and owing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(d)</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(e)</w:t>
        <w:tab/>
        <w:t>Upon or at any time after the occurrence or deemed occurrence of an Early Termination Date or Accelerated Termination Date as a result of an Event of Default or an Event of Change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(f)</w:t>
        <w:tab/>
        <w:t>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1440" w:end="0"/>
        <w:jc w:val="both"/>
        <w:rPr>
          <w:rFonts w:ascii="Times New Roman" w:hAnsi="Times New Roman" w:cs="Times New Roman"/>
          <w:sz w:val="22"/>
        </w:rPr>
      </w:pPr>
      <w:r>
        <w:rPr>
          <w:rFonts w:cs="Times New Roman" w:ascii="Times New Roman" w:hAnsi="Times New Roman"/>
          <w:sz w:val="22"/>
        </w:rPr>
        <w:t>[(g)</w:t>
        <w:tab/>
        <w:t>Upon the occurrence of a Letter of Credit Default, the Non-Exposed Party agrees to deliver a substitute Letter of Credit to the Exposed Party on or before the second Business Day after written demand by the Exposed Party (or the fifth (5) Business Day if only clause (i) under the definition of Letter of Credit Default applies).]</w:t>
      </w:r>
      <w:r>
        <w:rPr>
          <w:rStyle w:val="FootnoteCharacters"/>
          <w:rStyle w:val="FootnoteReference"/>
          <w:rFonts w:cs="Times New Roman" w:ascii="Times New Roman" w:hAnsi="Times New Roman"/>
          <w:sz w:val="22"/>
        </w:rPr>
        <w:footnoteReference w:id="21"/>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[(g)][(h)]</w:t>
        <w:tab/>
        <w:t>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lineRule="exact" w:line="240" w:before="240" w:after="0"/>
        <w:jc w:val="both"/>
        <w:rPr/>
      </w:pPr>
      <w:r>
        <w:rPr>
          <w:rFonts w:cs="Times New Roman" w:ascii="Times New Roman" w:hAnsi="Times New Roman"/>
          <w:sz w:val="22"/>
        </w:rPr>
        <w:t>VII.</w:t>
        <w:tab/>
      </w:r>
      <w:r>
        <w:rPr>
          <w:rFonts w:cs="Times New Roman" w:ascii="Times New Roman" w:hAnsi="Times New Roman"/>
          <w:sz w:val="22"/>
          <w:u w:val="single"/>
        </w:rPr>
        <w:t>Collateral</w:t>
      </w:r>
      <w:r>
        <w:rPr>
          <w:rFonts w:cs="Times New Roman" w:ascii="Times New Roman" w:hAnsi="Times New Roman"/>
          <w:sz w:val="22"/>
        </w:rPr>
        <w:t>.  Performance Assurance provided in the form of Collateral shall be subject to the following provisions.</w:t>
      </w:r>
    </w:p>
    <w:p>
      <w:pPr>
        <w:pStyle w:val="Normal"/>
        <w:spacing w:lineRule="exact" w:line="240" w:before="240" w:after="0"/>
        <w:ind w:firstLine="1440" w:end="0"/>
        <w:jc w:val="both"/>
        <w:rPr/>
      </w:pPr>
      <w:r>
        <w:rPr>
          <w:rFonts w:cs="Times New Roman" w:ascii="Times New Roman" w:hAnsi="Times New Roman"/>
          <w:sz w:val="22"/>
        </w:rPr>
        <w:t>(a)</w:t>
        <w:tab/>
      </w:r>
      <w:r>
        <w:rPr>
          <w:rFonts w:cs="Times New Roman" w:ascii="Times New Roman" w:hAnsi="Times New Roman"/>
          <w:sz w:val="22"/>
          <w:u w:val="single"/>
        </w:rPr>
        <w:t>Eligibility to Hold Collateral</w:t>
      </w:r>
      <w:r>
        <w:rPr>
          <w:rFonts w:cs="Times New Roman" w:ascii="Times New Roman" w:hAnsi="Times New Roman"/>
          <w:sz w:val="22"/>
        </w:rPr>
        <w:t>.  The Exposed Party will be entitled to hold Collateral or to appoint an agent (a "Custodian") to hold Collateral for the Exposed Party provided that the following conditions applicable to it are satisfied: (i) the Exposed Party is not a Defaulting Party, (ii) if ECT Canada is the Exposed Party, [Enron Corp.] [its Credit Support Provider] has a Credit Rating and the lowest Credit Rating for [Enron Corp.] [its Credit Support Provider] is "BBB-" or higher by S&amp;P [or "Baa3" or higher by Moody's] and if Counterparty is the Exposed Party, [[it] [its Credit Support Provider] has a Credit Rating and the lowest Credit Rating for [it] [its Credit Support Provider] is "___" or higher by S&amp;P[, "___" or higher by Moody's] [or “___” or higher by DBRS] [no Material Adverse Change has occurred with respect to such party], and (iii) Collateral is held only in [any jurisdiction within Canada or the United States].  Upon notice by the Exposed Party to the Non-Exposed Party of the appointment of a Custodian, the Non-Exposed Party's obligations to make any Transfer will be discharged by making the Transfer to that Custodian.  The holding of Collateral by a Custodian will be deemed to be the holding of Collateral by the Exposed Party for which the Custodian is acting.  If the Exposed Party fails to satisfy any conditions for holding Collateral as set forth above, then the Exposed Party will Transfer or cause the Custodian to Transfer the Collateral to a Qualified Institution (as defined herein) and the Collateral shall be maintained in accordance with Sections VII(b) and (c), with the party not eligible to hold Collateral being considered the "Downgraded Party" (as defined in Section VII(b)).  The Exposed Party will be liable for the acts or omissions of its Custodian to the same extent that the Exposed Party would be liable hereunder for its own acts or omissions.</w:t>
      </w:r>
    </w:p>
    <w:p>
      <w:pPr>
        <w:pStyle w:val="Normal"/>
        <w:spacing w:lineRule="exact" w:line="240" w:before="240" w:after="0"/>
        <w:ind w:firstLine="1440" w:end="0"/>
        <w:jc w:val="both"/>
        <w:rPr/>
      </w:pPr>
      <w:r>
        <w:rPr>
          <w:rFonts w:cs="Times New Roman" w:ascii="Times New Roman" w:hAnsi="Times New Roman"/>
          <w:sz w:val="22"/>
        </w:rPr>
        <w:t>(b)</w:t>
        <w:tab/>
      </w:r>
      <w:r>
        <w:rPr>
          <w:rFonts w:cs="Times New Roman" w:ascii="Times New Roman" w:hAnsi="Times New Roman"/>
          <w:sz w:val="22"/>
          <w:u w:val="single"/>
        </w:rPr>
        <w:t>Use of Collateral</w:t>
      </w:r>
      <w:r>
        <w:rPr>
          <w:rFonts w:cs="Times New Roman" w:ascii="Times New Roman" w:hAnsi="Times New Roman"/>
          <w:sz w:val="22"/>
        </w:rPr>
        <w:t xml:space="preserve">.  Notwithstanding the provisions of applicable law, if the Exposed Party is not a Defaulting Party, no Event of Change has occurred with respect to the Exposed Party and no Early Termination Date or Accelerated Termination Date has occurred or been designated as a result of an Event of Default or an Event of Change with respect to the Exposed Party, then the Exposed Party shall have the right to (i) sell, pledge, rehypothecate, assign, invest, use, commingle or otherwise dispose of, or otherwise use in its business any Collateral it holds, free from any claim or right of any nature whatsoever of the Non-Exposed Party, including any equity or right of redemption by the Non-Exposed Party, and (ii) register any Collateral in the name of the Exposed Party, its Custodian or a nominee for either; </w:t>
      </w:r>
      <w:r>
        <w:rPr>
          <w:rFonts w:cs="Times New Roman" w:ascii="Times New Roman" w:hAnsi="Times New Roman"/>
          <w:sz w:val="22"/>
          <w:u w:val="single"/>
        </w:rPr>
        <w:t>provided, however</w:t>
      </w:r>
      <w:r>
        <w:rPr>
          <w:rFonts w:cs="Times New Roman" w:ascii="Times New Roman" w:hAnsi="Times New Roman"/>
          <w:sz w:val="22"/>
        </w:rPr>
        <w:t>, that if a party is not eligible to hold Collateral pursuant to Section VII(a) (such party shall be the "Downgraded Party" and the event that caused it to be ineligible to hold Collateral shall be a "Credit Rating Event") then:</w:t>
      </w:r>
    </w:p>
    <w:p>
      <w:pPr>
        <w:pStyle w:val="Normal"/>
        <w:spacing w:lineRule="exact" w:line="240" w:before="240" w:after="0"/>
        <w:ind w:hanging="720" w:start="2160" w:end="0"/>
        <w:jc w:val="both"/>
        <w:rPr>
          <w:rFonts w:ascii="Times New Roman" w:hAnsi="Times New Roman" w:cs="Times New Roman"/>
          <w:sz w:val="22"/>
        </w:rPr>
      </w:pPr>
      <w:r>
        <w:rPr>
          <w:rFonts w:cs="Times New Roman" w:ascii="Times New Roman" w:hAnsi="Times New Roman"/>
          <w:sz w:val="22"/>
        </w:rPr>
        <w:t>(1)</w:t>
        <w:tab/>
        <w:t>the provisions of this Section VII(b) will not apply with respect to the Downgraded Party; and</w:t>
      </w:r>
    </w:p>
    <w:p>
      <w:pPr>
        <w:pStyle w:val="Normal"/>
        <w:spacing w:lineRule="exact" w:line="240" w:before="240" w:after="0"/>
        <w:ind w:hanging="720" w:start="2160" w:end="0"/>
        <w:jc w:val="both"/>
        <w:rPr>
          <w:rFonts w:ascii="Times New Roman" w:hAnsi="Times New Roman" w:cs="Times New Roman"/>
          <w:sz w:val="22"/>
        </w:rPr>
      </w:pPr>
      <w:r>
        <w:rPr>
          <w:rFonts w:cs="Times New Roman" w:ascii="Times New Roman" w:hAnsi="Times New Roman"/>
          <w:sz w:val="22"/>
        </w:rPr>
        <w:t>(2)</w:t>
        <w:tab/>
        <w:t>the Downgraded Party shall be required to deliver (or cause to be delivered) not later than the close of business on the second Business Day following such Credit Rating Event all Collateral in its possession or held on its behalf to a commercial bank or trust company organized under the law of Canada or the United States or a political subdivision thereof, with a Credit Rating of at least "A-" by S&amp;P, "A3" by Moody's, or “A(low”) by DBRS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Collateral for the Downgraded Party.  The Qualified Institution shall serve as Custodian with respect to the Collateral in the Collateral Account, and shall hold such Collateral in accordance with the terms of this Annex and for the security interest of the Downgraded Party and, subject to such security interest, for the ownership of the non-Downgraded Party.</w:t>
      </w:r>
    </w:p>
    <w:p>
      <w:pPr>
        <w:pStyle w:val="Normal"/>
        <w:spacing w:lineRule="exact" w:line="240" w:before="240" w:after="0"/>
        <w:ind w:firstLine="1440" w:end="0"/>
        <w:jc w:val="both"/>
        <w:rPr/>
      </w:pPr>
      <w:r>
        <w:rPr>
          <w:rFonts w:cs="Times New Roman" w:ascii="Times New Roman" w:hAnsi="Times New Roman"/>
          <w:sz w:val="22"/>
        </w:rPr>
        <w:t>(c)</w:t>
        <w:tab/>
      </w:r>
      <w:r>
        <w:rPr>
          <w:rFonts w:cs="Times New Roman" w:ascii="Times New Roman" w:hAnsi="Times New Roman"/>
          <w:sz w:val="22"/>
          <w:u w:val="single"/>
        </w:rPr>
        <w:t>Distributions and Interest Payments on Collateral</w:t>
      </w:r>
      <w:r>
        <w:rPr>
          <w:rFonts w:cs="Times New Roman" w:ascii="Times New Roman" w:hAnsi="Times New Roman"/>
          <w:sz w:val="22"/>
        </w:rPr>
        <w:t>.  (i) Subject to the provisions of Section VII(c)(ii) below and so long as no Event of Default, Potential Event of Default or Event of Change with respect to the Non-Exposed Party has occurred and is continuing, and no Early Termination Date or Accelerated Termination Date for which any unsatisfied payment obligations of the Non-Exposed Party exist has occurred or been designated as the result of an Event of Default or an Event of Change with respect to the Non-Exposed Party and to the extent that an obligation to deliver Performance Assurance would not be created or increased by the Transfer, the Exposed Party will (1) Transfer to the Non-Exposed Party, in lieu of any interest, dividends or other amounts paid or deemed to have been paid with respect to the Cash Collateral (all of which may be retained by the Exposed Party), the Interest Amount (as defined below) on the last Business Day of each calendar month and (2) if the Exposed Party receives or is deemed to receive Distributions (as defined below) with respect to Cash Equivalent Collateral, Transfer to the Non-Exposed Party not later than the following Business Day such Distributions it receives or is deemed to receive.  On or after the occurrence of an Event of Default or an Event of Change with respect to the Non-Exposed Party or an Early Termination Date or Accelerated Termination Date as a result of an Event of Default or an Event of Change with respect to the Non-Exposed Party, the Exposed Party shall retain any such Interest Amount or Distributions as additional Collateral hereunder until the obligations of the Non-Exposed Party under the Agreement have been satisfied.</w:t>
      </w:r>
    </w:p>
    <w:p>
      <w:pPr>
        <w:pStyle w:val="Normal"/>
        <w:spacing w:lineRule="exact" w:line="240" w:before="240" w:after="0"/>
        <w:ind w:firstLine="1440" w:end="0"/>
        <w:jc w:val="both"/>
        <w:rPr/>
      </w:pPr>
      <w:r>
        <w:rPr>
          <w:rFonts w:cs="Times New Roman" w:ascii="Times New Roman" w:hAnsi="Times New Roman"/>
          <w:sz w:val="22"/>
        </w:rPr>
        <w:t>The term "Interest Amount" shall mean with respect to an "Interest Period" (as defined herein), the aggregate sum of the amounts of interest calculated for each day in that Interest Period on the principal amount of Cash Collateral held by the Exposed Party on that day, determined by the Exposed Party for each such day as follows: (x) the amount of cash on that day; multiplied by (y) the Interest Rate (as defined herein) for that day: divided by (z) 365 (or 366 in a leap year)</w:t>
      </w:r>
      <w:r>
        <w:rPr>
          <w:rStyle w:val="FootnoteCharacters"/>
          <w:rStyle w:val="FootnoteReference"/>
          <w:rFonts w:cs="Times New Roman" w:ascii="Times New Roman" w:hAnsi="Times New Roman"/>
          <w:sz w:val="22"/>
        </w:rPr>
        <w:footnoteReference w:id="22"/>
      </w:r>
      <w:r>
        <w:rPr>
          <w:rFonts w:cs="Times New Roman" w:ascii="Times New Roman" w:hAnsi="Times New Roman"/>
          <w:sz w:val="22"/>
        </w:rPr>
        <w:t>.  "Interest Period" means the period from (and including) the last Business Day on which an Interest Amount was Transferred (or if no Interest Amount has yet been Transferred, the Business Day on which Cash Collateral was Transferred to the Exposed Party) to (but excluding) the Business Day on which the current Interest Amount is to be Transferred.  "Interest Rate" shall be (i) for Cash Collateral provided in the form of cash in United States Dollars, the Federal Funds Overnight Rate as from time to time in effect[, and (ii) for Cash Collateral provided in the form of cash in Canadian Dollars, the Prime Rate.  "Federal Funds Overnight Rate" means the rate for that day opposite the caption "Federal Funds (Effective)" as set forth in the weekly statistical release designated as H.15(519), or any successor publication, published by the Board of Governors of the Federal Reserve System.  “Prime Rate” means, for any date, the per annum rate of interest identified by the Royal Bank of Canada from time to time as the prime lending rate charged to its most creditworthy customers for commercial loans in Calgary and/or Toronto.</w:t>
      </w:r>
    </w:p>
    <w:p>
      <w:pPr>
        <w:pStyle w:val="Normal"/>
        <w:spacing w:lineRule="exact" w:line="240" w:before="240" w:after="0"/>
        <w:ind w:firstLine="1440" w:end="0"/>
        <w:jc w:val="both"/>
        <w:rPr>
          <w:rFonts w:ascii="Times New Roman" w:hAnsi="Times New Roman" w:cs="Times New Roman"/>
          <w:sz w:val="22"/>
        </w:rPr>
      </w:pPr>
      <w:r>
        <w:rPr>
          <w:rFonts w:cs="Times New Roman" w:ascii="Times New Roman" w:hAnsi="Times New Roman"/>
          <w:sz w:val="22"/>
        </w:rPr>
        <w:t>The term "Distributions" shall mean with respect to Cash Equivalent Collateral, all principal, interest and other payments and distributions of cash or other property, with respect thereto, regardless of whether the Exposed Party has disposed of that Collateral under Section VII(b).  Distributions will not include any item of property acquired by the Exposed Party upon any disposition or liquidation of Collateral or, with respect to any Cash Collateral, any distributions on that Collateral, unless otherwise specified herein.</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(ii) If in accordance with the provisions of Section VII(b), a party is not permitted to use Collateral as a result of a Credit Rating Event, the provisions of Section VII(c)(i) will not apply with respect to Collateral; Cash Equivalent Collateral, including all Distributions with respect thereto, shall be maintained in the Collateral Account by the Qualified Institution pursuant to Section VII(b); and the investment of Cash Collateral shall be governed as follows:</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The Qualified Institution holding the Cash Collateral will invest and reinvest or procure the investment and reinvestment of the Cash Collateral in accordance with the written instructions of the Non-Exposed Party, subject to the approval of such instructions by the Exposed Party (which approval shall not be unreasonably withheld), provided that the Exposed Party shall not be required to so invest or reinvest or procure such investment or reinvestment if an Event of Default, Potential Event of Default or Accelerated Termination Date as a result of an Event of Change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spacing w:lineRule="exact" w:line="240" w:before="240" w:after="0"/>
        <w:ind w:firstLine="1440" w:end="0"/>
        <w:jc w:val="both"/>
        <w:rPr/>
      </w:pPr>
      <w:r>
        <w:rPr>
          <w:rFonts w:cs="Times New Roman" w:ascii="Times New Roman" w:hAnsi="Times New Roman"/>
          <w:sz w:val="22"/>
        </w:rPr>
        <w:t>(d)</w:t>
        <w:tab/>
      </w:r>
      <w:r>
        <w:rPr>
          <w:rFonts w:cs="Times New Roman" w:ascii="Times New Roman" w:hAnsi="Times New Roman"/>
          <w:sz w:val="22"/>
          <w:u w:val="single"/>
        </w:rPr>
        <w:t>Care of Posted Collateral</w:t>
      </w:r>
      <w:r>
        <w:rPr>
          <w:rFonts w:cs="Times New Roman" w:ascii="Times New Roman" w:hAnsi="Times New Roman"/>
          <w:sz w:val="22"/>
        </w:rPr>
        <w:t>.  Without limiting the Exposed Party's rights under Paragraph VII(b), the Exposed Party will exercise reasonable care to assure the safe custody of all Collateral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Collateral, including, without limitation, any duty to collect any Distributions, or enforce or preserve any rights pertaining thereto.</w:t>
      </w:r>
    </w:p>
    <w:p>
      <w:pPr>
        <w:pStyle w:val="Normal"/>
        <w:spacing w:lineRule="exact" w:line="240" w:before="240" w:after="0"/>
        <w:jc w:val="both"/>
        <w:rPr/>
      </w:pPr>
      <w:r>
        <w:rPr>
          <w:rFonts w:cs="Times New Roman" w:ascii="Times New Roman" w:hAnsi="Times New Roman"/>
          <w:sz w:val="22"/>
        </w:rPr>
        <w:t>VIII.</w:t>
        <w:tab/>
      </w:r>
      <w:r>
        <w:rPr>
          <w:rFonts w:cs="Times New Roman" w:ascii="Times New Roman" w:hAnsi="Times New Roman"/>
          <w:sz w:val="22"/>
          <w:u w:val="single"/>
        </w:rPr>
        <w:t>Representations</w:t>
      </w:r>
      <w:r>
        <w:rPr>
          <w:rFonts w:cs="Times New Roman" w:ascii="Times New Roman" w:hAnsi="Times New Roman"/>
          <w:sz w:val="22"/>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Collateral that it provides as the Non-Exposed Party and has taken all necessary actions to authorize the granting of that security interest and lien; (b) as of each date on which it, as the Non-Exposed Party, delivers Collateral to the Exposed Party or to any agent of the Exposed Party for the benefit of the Exposed Party (or, in the case of after-acquired Collateral, at the time the Exposed Party or its agent acquires rights therein), it will have title to and will be the sole owner of such Collateral, free and clear of any security interest, lien, pledge, charge, encumbrance, or other interests or restrictions other than the security interest granted to the Exposed Party hereby; (c) the Exposed Party will have a valid and perfected first-priority security interest in, and lien on, all Cash Collateral and Cash Equivalent Collateral upon receipt thereof; (d) the performance by it of its obligations under this Annex will not result in the creation of any security interest, lien or other encumbrance on any Collateral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lineRule="exact" w:line="240" w:before="240" w:after="0"/>
        <w:jc w:val="both"/>
        <w:rPr/>
      </w:pPr>
      <w:r>
        <w:rPr>
          <w:rFonts w:cs="Times New Roman" w:ascii="Times New Roman" w:hAnsi="Times New Roman"/>
          <w:sz w:val="22"/>
        </w:rPr>
        <w:t>IX.</w:t>
        <w:tab/>
      </w:r>
      <w:r>
        <w:rPr>
          <w:rFonts w:cs="Times New Roman" w:ascii="Times New Roman" w:hAnsi="Times New Roman"/>
          <w:sz w:val="22"/>
          <w:u w:val="single"/>
        </w:rPr>
        <w:t>Certain Rights and Remedies</w:t>
      </w:r>
      <w:r>
        <w:rPr>
          <w:rFonts w:cs="Times New Roman" w:ascii="Times New Roman" w:hAnsi="Times New Roman"/>
          <w:sz w:val="22"/>
        </w:rPr>
        <w:t>.</w:t>
      </w:r>
    </w:p>
    <w:p>
      <w:pPr>
        <w:pStyle w:val="Normal"/>
        <w:spacing w:lineRule="exact" w:line="240" w:before="240" w:after="0"/>
        <w:ind w:firstLine="1440" w:end="0"/>
        <w:jc w:val="both"/>
        <w:rPr/>
      </w:pPr>
      <w:r>
        <w:rPr>
          <w:rFonts w:cs="Times New Roman" w:ascii="Times New Roman" w:hAnsi="Times New Roman"/>
          <w:sz w:val="22"/>
        </w:rPr>
        <w:t>(a)</w:t>
        <w:tab/>
      </w:r>
      <w:r>
        <w:rPr>
          <w:rFonts w:cs="Times New Roman" w:ascii="Times New Roman" w:hAnsi="Times New Roman"/>
          <w:sz w:val="22"/>
          <w:u w:val="single"/>
        </w:rPr>
        <w:t>Exposed Party's Rights and Remedies</w:t>
      </w:r>
      <w:r>
        <w:rPr>
          <w:rFonts w:cs="Times New Roman" w:ascii="Times New Roman" w:hAnsi="Times New Roman"/>
          <w:sz w:val="22"/>
        </w:rPr>
        <w:t>.  If at any time (i) an Event of Default or Event of Change with respect to the Non-Exposed Party has occurred and is continuing or (ii) an Early Termination Date or Accelerated Termination Date has occurred or been designated as a result of an Event of Default or an Event of Change with respect to the Non-Exposed Party, then, unless the Non-Exposed Party has made all payments due and owing to the Exposed Party in accordance with the terms of the Agreement (including any related grace or notice period or both):</w:t>
      </w:r>
    </w:p>
    <w:p>
      <w:pPr>
        <w:pStyle w:val="Normal"/>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(1)</w:t>
        <w:tab/>
        <w:t>the Exposed Party may do any one or more of the following: (x) exercise any of the rights and remedies of a secured party with respect to the Collateral, including any such rights and remedies under law then in effect; exercise its rights of setoff against any and all property of the Non-Exposed Party in the possession of the Exposed Party or its agent; (y) draw on any outstanding Letter of Credit issued for its benefit; and (z) liquidate all Collateral then held for the benefit of the Exposed Party (free from any claim or right of any nature whatsoever of the Non-Exposed Party, including any equity or right of purchase or redemption by the Non-Exposed Party).  The Exposed Party shall apply the proceeds of the Collateral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and</w:t>
      </w:r>
    </w:p>
    <w:p>
      <w:pPr>
        <w:pStyle w:val="Normal"/>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(2)</w:t>
        <w:tab/>
        <w:t>the liquidation of Cash Equivalent Collateral shall be accomplished by a public or private sale conducted by the Exposed Party in a commercially reasonable manner.</w:t>
      </w:r>
    </w:p>
    <w:p>
      <w:pPr>
        <w:pStyle w:val="Normal"/>
        <w:spacing w:lineRule="exact" w:line="240" w:before="240" w:after="0"/>
        <w:jc w:val="both"/>
        <w:rPr>
          <w:rFonts w:ascii="Times New Roman" w:hAnsi="Times New Roman" w:cs="Times New Roman"/>
          <w:sz w:val="22"/>
        </w:rPr>
      </w:pPr>
      <w:r>
        <w:rPr>
          <w:rFonts w:cs="Times New Roman" w:ascii="Times New Roman" w:hAnsi="Times New Roman"/>
          <w:sz w:val="22"/>
        </w:rPr>
        <w:t>The parties acknowledge and agree that Cash Equivalent Collateral may decline speedily in value and is comprised of securities customarily sold on a recognized market.  Accordingly, the Non-Exposed Party shall not be entitled to prior notification of any sale or disposition of Cash Equivalent Collateral by the Exposed Party effected in accordance with the terms and conditions hereof unless otherwise required by applicable law.  The Exposed Party may be the purchaser of any or all of the Cash Equivalent Collateral to be sold.</w:t>
      </w:r>
    </w:p>
    <w:p>
      <w:pPr>
        <w:pStyle w:val="Normal"/>
        <w:spacing w:lineRule="exact" w:line="240" w:before="240" w:after="0"/>
        <w:ind w:firstLine="1440" w:end="0"/>
        <w:jc w:val="both"/>
        <w:rPr/>
      </w:pPr>
      <w:r>
        <w:rPr>
          <w:rFonts w:cs="Times New Roman" w:ascii="Times New Roman" w:hAnsi="Times New Roman"/>
          <w:sz w:val="22"/>
        </w:rPr>
        <w:t>(b)</w:t>
        <w:tab/>
      </w:r>
      <w:r>
        <w:rPr>
          <w:rFonts w:cs="Times New Roman" w:ascii="Times New Roman" w:hAnsi="Times New Roman"/>
          <w:sz w:val="22"/>
          <w:u w:val="single"/>
        </w:rPr>
        <w:t>Non-Exposed Party's Rights and Remedies</w:t>
      </w:r>
      <w:r>
        <w:rPr>
          <w:rFonts w:cs="Times New Roman" w:ascii="Times New Roman" w:hAnsi="Times New Roman"/>
          <w:sz w:val="22"/>
        </w:rPr>
        <w:t>.  If at any time an Early Termination Date or Accelerated Termination Date has occurred or been designated as the result of an Event of Default or Event of Change with respect to the Exposed Party, then, unless the Early Termination Date relates to less than all Transactions where the Exposed Party has made all payments due and owing to the Non-Exposed Party:</w:t>
      </w:r>
    </w:p>
    <w:p>
      <w:pPr>
        <w:pStyle w:val="Normal"/>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(1)</w:t>
        <w:tab/>
        <w:t>the Exposed Party will be obligated immediately to Transfer all Collateral and the Interest Amount, if any, to the Non-Exposed Party; and</w:t>
      </w:r>
    </w:p>
    <w:p>
      <w:pPr>
        <w:pStyle w:val="Normal"/>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(2)</w:t>
        <w:tab/>
        <w:t>the Non-Exposed Party may do any one or more of the following: (x) exercise any of the rights and remedies of a pledgor with respect to the Collateral, including any such rights and remedies under law then in effect; (y) to the extent that the Collateral or the Interest Amount is not Transferred to the Non-Exposed Party as required in (1) above, setoff amounts payable to the Exposed Party against Cash Collateral held by the Exposed Party or to the extent its rights to setoff are not exercised, withhold payment of any remaining amounts payable by the Non-Exposed Party, up to the value of any remaining Collateral held by the Exposed Party, until the Collateral is Transferred to the Non-Exposed Party; and (z) exercise rights and remedies available to the Non-Exposed Party under the terms of the Letter of Credit.</w:t>
      </w:r>
    </w:p>
    <w:p>
      <w:pPr>
        <w:pStyle w:val="Normal"/>
        <w:spacing w:lineRule="exact" w:line="240" w:before="240" w:after="0"/>
        <w:jc w:val="both"/>
        <w:rPr/>
      </w:pPr>
      <w:r>
        <w:rPr>
          <w:rFonts w:cs="Times New Roman" w:ascii="Times New Roman" w:hAnsi="Times New Roman"/>
          <w:sz w:val="22"/>
        </w:rPr>
        <w:t>X.</w:t>
        <w:tab/>
      </w:r>
      <w:r>
        <w:rPr>
          <w:rFonts w:cs="Times New Roman" w:ascii="Times New Roman" w:hAnsi="Times New Roman"/>
          <w:sz w:val="22"/>
          <w:u w:val="single"/>
        </w:rPr>
        <w:t>General</w:t>
      </w:r>
      <w:r>
        <w:rPr>
          <w:rFonts w:cs="Times New Roman" w:ascii="Times New Roman" w:hAnsi="Times New Roman"/>
          <w:sz w:val="22"/>
        </w:rPr>
        <w:t>.</w:t>
      </w:r>
    </w:p>
    <w:p>
      <w:pPr>
        <w:pStyle w:val="Normal"/>
        <w:spacing w:lineRule="exact" w:line="240" w:before="240" w:after="0"/>
        <w:ind w:firstLine="1440" w:end="0"/>
        <w:jc w:val="both"/>
        <w:rPr/>
      </w:pPr>
      <w:r>
        <w:rPr>
          <w:rFonts w:cs="Times New Roman" w:ascii="Times New Roman" w:hAnsi="Times New Roman"/>
          <w:sz w:val="22"/>
        </w:rPr>
        <w:t>(a)</w:t>
        <w:tab/>
      </w:r>
      <w:r>
        <w:rPr>
          <w:rFonts w:cs="Times New Roman" w:ascii="Times New Roman" w:hAnsi="Times New Roman"/>
          <w:sz w:val="22"/>
          <w:u w:val="single"/>
        </w:rPr>
        <w:t>Security Interest</w:t>
      </w:r>
      <w:r>
        <w:rPr>
          <w:rFonts w:cs="Times New Roman" w:ascii="Times New Roman" w:hAnsi="Times New Roman"/>
          <w:sz w:val="22"/>
        </w:rPr>
        <w:t>.  To secure its obligations under the Agreement and all outstanding Transactions, each party hereby grants to the other party a present and continuing first-priority security interest in, and lien on (and right of setoff against), all collateral and any and all proceeds, to the extent not otherwise Transferred to the other party, resulting from such Collateral or the liquidation thereof,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Collateral and any and all proceeds resulting from such Collateral or the liquidation thereof.</w:t>
      </w:r>
    </w:p>
    <w:p>
      <w:pPr>
        <w:pStyle w:val="Normal"/>
        <w:spacing w:lineRule="exact" w:line="240" w:before="240" w:after="0"/>
        <w:ind w:firstLine="1440" w:end="0"/>
        <w:jc w:val="both"/>
        <w:rPr/>
      </w:pPr>
      <w:r>
        <w:rPr>
          <w:rFonts w:cs="Times New Roman" w:ascii="Times New Roman" w:hAnsi="Times New Roman"/>
          <w:sz w:val="22"/>
        </w:rPr>
        <w:t>(b)</w:t>
        <w:tab/>
      </w:r>
      <w:r>
        <w:rPr>
          <w:rFonts w:cs="Times New Roman" w:ascii="Times New Roman" w:hAnsi="Times New Roman"/>
          <w:sz w:val="22"/>
          <w:u w:val="single"/>
        </w:rPr>
        <w:t>Substitutions</w:t>
      </w:r>
      <w:r>
        <w:rPr>
          <w:rFonts w:cs="Times New Roman" w:ascii="Times New Roman" w:hAnsi="Times New Roman"/>
          <w:sz w:val="22"/>
        </w:rPr>
        <w:t>.</w:t>
        <w:tab/>
        <w:t>(i)</w:t>
        <w:tab/>
        <w:t>Upon notice to the Exposed Party specifying the items of Performance Assurance to be exchanged, the Non-Exposed Party may, on any Business Day, Transfer to the Exposed Party substitute Performance Assurance (the "Substitute Performance Assurance"); and</w:t>
      </w:r>
    </w:p>
    <w:p>
      <w:pPr>
        <w:pStyle w:val="Normal"/>
        <w:spacing w:lineRule="exact" w:line="240" w:before="240" w:after="0"/>
        <w:ind w:firstLine="2160" w:end="0"/>
        <w:jc w:val="both"/>
        <w:rPr/>
      </w:pPr>
      <w:r>
        <w:rPr>
          <w:rFonts w:cs="Times New Roman" w:ascii="Times New Roman" w:hAnsi="Times New Roman"/>
          <w:sz w:val="22"/>
        </w:rPr>
        <w:t>(ii)</w:t>
        <w:tab/>
        <w:t xml:space="preserve">Provided that no Event of Default or Potential Event of Default or Event of Change has occurred and is continuing with respect to the Non-Exposed Party and that no Early Termination Date or Accelerated Termination Date has occurred or been designated as the result of an Event of Default or Event of Change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rFonts w:cs="Times New Roman" w:ascii="Times New Roman" w:hAnsi="Times New Roman"/>
          <w:sz w:val="22"/>
          <w:u w:val="single"/>
        </w:rPr>
        <w:t>provided</w:t>
      </w:r>
      <w:r>
        <w:rPr>
          <w:rFonts w:cs="Times New Roman" w:ascii="Times New Roman" w:hAnsi="Times New Roman"/>
          <w:sz w:val="22"/>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spacing w:lineRule="exact" w:line="240" w:before="240" w:after="0"/>
        <w:ind w:firstLine="1440" w:end="0"/>
        <w:jc w:val="both"/>
        <w:rPr/>
      </w:pPr>
      <w:r>
        <w:rPr>
          <w:rFonts w:cs="Times New Roman" w:ascii="Times New Roman" w:hAnsi="Times New Roman"/>
          <w:sz w:val="22"/>
        </w:rPr>
        <w:t>(c)</w:t>
        <w:tab/>
      </w:r>
      <w:r>
        <w:rPr>
          <w:rFonts w:cs="Times New Roman" w:ascii="Times New Roman" w:hAnsi="Times New Roman"/>
          <w:sz w:val="22"/>
          <w:u w:val="single"/>
        </w:rPr>
        <w:t>Expenses</w:t>
      </w:r>
      <w:r>
        <w:rPr>
          <w:rFonts w:cs="Times New Roman" w:ascii="Times New Roman" w:hAnsi="Times New Roman"/>
          <w:sz w:val="22"/>
        </w:rPr>
        <w:t>.  (i) Except as expressly set forth in this Annex or the Agreement, each party will pay its own costs and expenses in connection with performing its obligations under this Annex and neither party will be liable for any costs or expenses incurred by the other party in connection herewith.</w:t>
      </w:r>
    </w:p>
    <w:p>
      <w:pPr>
        <w:pStyle w:val="Normal"/>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(ii)</w:t>
        <w:tab/>
        <w:t>The Non-Exposed Party will promptly pay when due all taxes, assessments or charges of any nature that are imposed with respect to Collateral held by the Exposed Party upon becoming aware of the same, regardless of whether any portion of that Collateral is subsequently disposed of under Section VII(c), except for those taxes, assessments and charges that result from the exercise of the Exposed Party's rights under Section VII.</w:t>
      </w:r>
    </w:p>
    <w:p>
      <w:pPr>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spacing w:lineRule="exact" w:line="240" w:before="240" w:after="0"/>
        <w:ind w:firstLine="2160" w:end="0"/>
        <w:jc w:val="both"/>
        <w:rPr>
          <w:rFonts w:ascii="Times New Roman" w:hAnsi="Times New Roman" w:cs="Times New Roman"/>
          <w:sz w:val="22"/>
        </w:rPr>
      </w:pPr>
      <w:r>
        <w:rPr>
          <w:rFonts w:cs="Times New Roman" w:ascii="Times New Roman" w:hAnsi="Times New Roman"/>
          <w:sz w:val="22"/>
        </w:rPr>
        <w:t>(iii)</w:t>
        <w:tab/>
        <w:t>All reasonable costs and expenses incurred by or on behalf of the Exposed Party or the Non-Exposed Party in connection with the liquidation and/or application of any Performance Assurance under Section IX will be payable, on demand and pursuant to this Agreement, by the Defaulting Party or, if there is no Defaulting Party, equally by the parties.</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and/or this letter of credit has twenty (20) days or less until expiry".</w:t>
      </w:r>
    </w:p>
    <w:p>
      <w:pPr>
        <w:pStyle w:val="Normal"/>
        <w:tabs>
          <w:tab w:val="left" w:pos="720" w:leader="none"/>
        </w:tabs>
        <w:ind w:hanging="1440" w:start="1440" w:end="0"/>
        <w:jc w:val="both"/>
        <w:rPr>
          <w:sz w:val="22"/>
        </w:rPr>
      </w:pPr>
      <w:r>
        <w:rPr>
          <w:sz w:val="22"/>
        </w:rPr>
        <w:tab/>
        <w:t>or</w:t>
      </w:r>
    </w:p>
    <w:p>
      <w:pPr>
        <w:pStyle w:val="Normal"/>
        <w:tabs>
          <w:tab w:val="left" w:pos="720" w:leader="none"/>
        </w:tabs>
        <w:ind w:hanging="1440" w:start="1440" w:end="0"/>
        <w:jc w:val="both"/>
        <w:rPr>
          <w:sz w:val="22"/>
        </w:rPr>
      </w:pPr>
      <w:r>
        <w:rPr>
          <w:sz w:val="22"/>
        </w:rPr>
      </w:r>
    </w:p>
    <w:p>
      <w:pPr>
        <w:pStyle w:val="Normal"/>
        <w:tabs>
          <w:tab w:val="left" w:pos="720" w:leader="none"/>
        </w:tabs>
        <w:ind w:hanging="720" w:start="720" w:end="0"/>
        <w:jc w:val="both"/>
        <w:rPr>
          <w:sz w:val="22"/>
        </w:rPr>
      </w:pPr>
      <w:r>
        <w:rPr>
          <w:sz w:val="22"/>
        </w:rPr>
        <w:t>2.</w:t>
        <w:tab/>
        <w:t>"Account Party has failed to pay to the beneficiary in accordance with the terms and provisions of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2"/>
        </w:rPr>
      </w:pPr>
      <w:r>
        <w:rPr>
          <w:sz w:val="22"/>
        </w:rPr>
      </w:r>
    </w:p>
    <w:p>
      <w:pPr>
        <w:sectPr>
          <w:headerReference w:type="default" r:id="rId14"/>
          <w:headerReference w:type="first" r:id="rId15"/>
          <w:footerReference w:type="default" r:id="rId16"/>
          <w:footerReference w:type="first" r:id="rId17"/>
          <w:footnotePr>
            <w:numFmt w:val="decimal"/>
          </w:footnotePr>
          <w:type w:val="nextPage"/>
          <w:pgSz w:w="12240" w:h="15840"/>
          <w:pgMar w:left="1008" w:right="1008" w:gutter="0" w:header="720" w:top="1008" w:footer="720" w:bottom="1008"/>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ind w:end="180"/>
        <w:jc w:val="center"/>
        <w:rPr>
          <w:rFonts w:ascii="Times New Roman" w:hAnsi="Times New Roman" w:cs="Times New Roman"/>
          <w:b/>
          <w:sz w:val="22"/>
        </w:rPr>
      </w:pPr>
      <w:r>
        <w:rPr>
          <w:rFonts w:cs="Times New Roman" w:ascii="Times New Roman" w:hAnsi="Times New Roman"/>
          <w:b/>
          <w:sz w:val="22"/>
          <w:u w:val="single"/>
        </w:rPr>
        <w:t>EXHIBIT A</w:t>
      </w:r>
    </w:p>
    <w:p>
      <w:pPr>
        <w:pStyle w:val="Normal"/>
        <w:ind w:end="180"/>
        <w:jc w:val="center"/>
        <w:rPr>
          <w:rFonts w:ascii="Times New Roman" w:hAnsi="Times New Roman" w:cs="Times New Roman"/>
          <w:b/>
          <w:sz w:val="22"/>
        </w:rPr>
      </w:pPr>
      <w:r>
        <w:rPr>
          <w:rFonts w:cs="Times New Roman" w:ascii="Times New Roman" w:hAnsi="Times New Roman"/>
          <w:b/>
          <w:sz w:val="22"/>
        </w:rPr>
      </w:r>
    </w:p>
    <w:p>
      <w:pPr>
        <w:pStyle w:val="Normal"/>
        <w:ind w:end="180"/>
        <w:jc w:val="center"/>
        <w:rPr>
          <w:rFonts w:ascii="Times New Roman" w:hAnsi="Times New Roman" w:cs="Times New Roman"/>
          <w:b/>
          <w:sz w:val="22"/>
        </w:rPr>
      </w:pPr>
      <w:r>
        <w:rPr>
          <w:rFonts w:cs="Times New Roman" w:ascii="Times New Roman" w:hAnsi="Times New Roman"/>
          <w:b/>
          <w:sz w:val="22"/>
        </w:rPr>
        <w:t>ENRON CORP.</w:t>
      </w:r>
    </w:p>
    <w:p>
      <w:pPr>
        <w:pStyle w:val="Norma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spacing w:lineRule="exact" w:line="240"/>
        <w:ind w:end="180"/>
        <w:jc w:val="center"/>
        <w:rPr>
          <w:rFonts w:ascii="Times New Roman" w:hAnsi="Times New Roman" w:cs="Times New Roman"/>
          <w:sz w:val="22"/>
        </w:rPr>
      </w:pPr>
      <w:r>
        <w:rPr>
          <w:rFonts w:cs="Times New Roman" w:ascii="Times New Roman" w:hAnsi="Times New Roman"/>
          <w:sz w:val="22"/>
          <w:u w:val="single"/>
        </w:rPr>
        <w:t>Guaranty</w:t>
      </w:r>
    </w:p>
    <w:p>
      <w:pPr>
        <w:pStyle w:val="Normal"/>
        <w:spacing w:lineRule="exact" w:line="48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This Guaranty (the “Guaranty”), dated as of </w:t>
      </w:r>
      <w:r>
        <w:rPr>
          <w:rFonts w:cs="Times New Roman" w:ascii="Times New Roman" w:hAnsi="Times New Roman"/>
          <w:sz w:val="22"/>
          <w:u w:val="single"/>
        </w:rPr>
        <w:tab/>
        <w:tab/>
      </w:r>
      <w:r>
        <w:rPr>
          <w:rFonts w:cs="Times New Roman" w:ascii="Times New Roman" w:hAnsi="Times New Roman"/>
          <w:sz w:val="22"/>
        </w:rPr>
        <w:t xml:space="preserve">, 199__, is made and entered into by </w:t>
      </w:r>
      <w:r>
        <w:rPr>
          <w:rFonts w:cs="Times New Roman" w:ascii="Times New Roman" w:hAnsi="Times New Roman"/>
          <w:caps/>
          <w:sz w:val="22"/>
        </w:rPr>
        <w:t>Enron Corp.</w:t>
      </w:r>
      <w:r>
        <w:rPr>
          <w:rFonts w:cs="Times New Roman" w:ascii="Times New Roman" w:hAnsi="Times New Roman"/>
          <w:sz w:val="22"/>
        </w:rPr>
        <w:t>, an Oregon corporation (“Guarantor”).</w:t>
      </w:r>
    </w:p>
    <w:p>
      <w:pPr>
        <w:pStyle w:val="Normal"/>
        <w:keepNext w:val="true"/>
        <w:spacing w:lineRule="exact" w:line="240" w:before="480" w:after="0"/>
        <w:jc w:val="center"/>
        <w:rPr>
          <w:rFonts w:ascii="Times New Roman" w:hAnsi="Times New Roman" w:cs="Times New Roman"/>
          <w:b/>
          <w:caps/>
          <w:sz w:val="22"/>
        </w:rPr>
      </w:pPr>
      <w:r>
        <w:rPr>
          <w:rFonts w:cs="Times New Roman" w:ascii="Times New Roman" w:hAnsi="Times New Roman"/>
          <w:b/>
          <w:caps/>
          <w:sz w:val="22"/>
        </w:rPr>
        <w:t>W I T N E S S E T H:</w:t>
      </w:r>
    </w:p>
    <w:p>
      <w:pPr>
        <w:pStyle w:val="Norma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spacing w:lineRule="atLeast" w:line="240"/>
        <w:ind w:firstLine="720" w:end="0"/>
        <w:jc w:val="both"/>
        <w:rPr/>
      </w:pPr>
      <w:r>
        <w:rPr>
          <w:rFonts w:cs="Times New Roman" w:ascii="Times New Roman" w:hAnsi="Times New Roman"/>
          <w:sz w:val="22"/>
        </w:rPr>
        <w:t xml:space="preserve">WHEREAS, </w:t>
      </w:r>
      <w:r>
        <w:rPr>
          <w:rFonts w:cs="Times New Roman" w:ascii="Times New Roman" w:hAnsi="Times New Roman"/>
          <w:sz w:val="22"/>
          <w:u w:val="single"/>
        </w:rPr>
        <w:tab/>
        <w:tab/>
      </w:r>
      <w:r>
        <w:rPr>
          <w:rFonts w:cs="Times New Roman" w:ascii="Times New Roman" w:hAnsi="Times New Roman"/>
          <w:sz w:val="22"/>
        </w:rPr>
        <w:t xml:space="preserve">, a </w:t>
      </w:r>
      <w:r>
        <w:rPr>
          <w:rFonts w:cs="Times New Roman" w:ascii="Times New Roman" w:hAnsi="Times New Roman"/>
          <w:sz w:val="22"/>
          <w:u w:val="single"/>
        </w:rPr>
        <w:tab/>
        <w:tab/>
        <w:tab/>
      </w:r>
      <w:r>
        <w:rPr>
          <w:rFonts w:cs="Times New Roman" w:ascii="Times New Roman" w:hAnsi="Times New Roman"/>
          <w:sz w:val="22"/>
        </w:rPr>
        <w:t xml:space="preserve"> corporation (“Counterparty”) and ENRON CAPITAL &amp; TRADE RESOURCES CANADA CORP. (“ECT Canada”), a wholly owned indirect subsidiary of Guarantor, are contemplating entering into a Master Agreement of even date herewith, a copy of which is attached hereto as </w:t>
      </w:r>
      <w:r>
        <w:rPr>
          <w:rFonts w:cs="Times New Roman" w:ascii="Times New Roman" w:hAnsi="Times New Roman"/>
          <w:sz w:val="22"/>
          <w:u w:val="single"/>
        </w:rPr>
        <w:t>Exhibit A</w:t>
      </w:r>
      <w:r>
        <w:rPr>
          <w:rFonts w:cs="Times New Roman" w:ascii="Times New Roman" w:hAnsi="Times New Roman"/>
          <w:sz w:val="22"/>
        </w:rPr>
        <w:t xml:space="preserve"> (such Master Agreement, as the same may from time to time be modified, amended and supplemented, shall be referred to herein as the “Contract”); and </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to be entered into between ECT Canada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Counterparty entering into the Contract, Guarantor hereby covenants and agrees as follows: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(a) Guarantor hereby irrevocably and unconditionally guarantees the timely payment when due of the obligations of ECT Canada (the “Obligations”) to Counterparty under the Contract, and (b) to the extent that ECT Canada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The aggregate amount covered by this Guaranty shall not exceed U.S. $_____________.</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DEMANDS AND NOTICE</w:t>
      </w:r>
      <w:r>
        <w:rPr>
          <w:rFonts w:cs="Times New Roman" w:ascii="Times New Roman" w:hAnsi="Times New Roman"/>
          <w:sz w:val="22"/>
        </w:rPr>
        <w:t>.  If ECT Canada fails or refuses to pay any Obligations, Counterparty shall notify ECT Canada in writing of the manner in which ECT Canada has failed to pay and demand that payment be made by ECT Canada.  If ECT Canada’s failure or refusal to pay continues for a period of fifteen (15) days after the date of Counterparty’s notice to ECT Canada, and Counterparty has elected to exercise its rights under this Guaranty, Counterparty shall make a demand upon Guarantor (hereinafter referred to as a “Payment Demand”).  A Payment Demand shall be in writing and shall reasonably and briefly specify in what manner and what amount ECT Canada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Canada or Guarantor has cured such default, and additional written demands concerning such default shall not be required until such default is cured.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keepNext w:val="true"/>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SETOFFS AND COUNTERCLAIMS</w:t>
      </w:r>
      <w:r>
        <w:rPr>
          <w:rFonts w:cs="Times New Roman" w:ascii="Times New Roman" w:hAnsi="Times New Roman"/>
          <w:sz w:val="22"/>
        </w:rPr>
        <w:t>.  Without limiting Guarantor’s own defenses and rights hereunder, Guarantor reserves to itself all rights, setoffs, counterclaims and other defenses to which ECT Canada or any other affiliate of Guarantor is or may be entitled to arising from or out of the Contract or otherwise, except for defenses arising out of the bankruptcy, insolvency, dissolution or liquidation of ECT Canada.</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WAIVERS</w:t>
      </w:r>
      <w:r>
        <w:rPr>
          <w:rFonts w:cs="Times New Roman"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ECT Canada or any other person, or except as expressly hereinabove set forth, to require that Counterparty seek enforcement of any performance against ECT Canada or any other person, prior to any action against Guarantor under the terms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t>To Counterparty:</w:t>
        <w:tab/>
      </w:r>
      <w:r>
        <w:rPr>
          <w:rFonts w:cs="Times New Roman" w:ascii="Times New Roman" w:hAnsi="Times New Roman"/>
          <w:sz w:val="22"/>
          <w:u w:val="single"/>
        </w:rPr>
        <w:tab/>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u w:val="single"/>
        </w:rPr>
        <w:tab/>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u w:val="single"/>
        </w:rPr>
        <w:tab/>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u w:val="single"/>
        </w:rPr>
        <w:tab/>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 xml:space="preserve">Attn:  </w:t>
      </w:r>
      <w:r>
        <w:rPr>
          <w:rFonts w:cs="Times New Roman" w:ascii="Times New Roman" w:hAnsi="Times New Roman"/>
          <w:sz w:val="22"/>
          <w:u w:val="single"/>
        </w:rPr>
        <w:tab/>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 xml:space="preserve">Fax No.:  </w:t>
      </w:r>
      <w:r>
        <w:rPr>
          <w:rFonts w:cs="Times New Roman" w:ascii="Times New Roman" w:hAnsi="Times New Roman"/>
          <w:sz w:val="22"/>
          <w:u w:val="single"/>
        </w:rPr>
        <w:tab/>
      </w:r>
    </w:p>
    <w:p>
      <w:pPr>
        <w:pStyle w:val="Normal"/>
        <w:tabs>
          <w:tab w:val="clear" w:pos="720"/>
          <w:tab w:val="left" w:pos="28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To Guarantor:</w:t>
        <w:tab/>
        <w:t>Enron Corp.</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1400 Smith Street</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Houston, Texas  77002</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Attn: Vice President, Finance</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ab/>
        <w:t>and Treasurer</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Fax No.:  (713) 646-3422</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rFonts w:ascii="Times New Roman" w:hAnsi="Times New Roman" w:cs="Times New Roman"/>
          <w:sz w:val="22"/>
        </w:rPr>
      </w:pPr>
      <w:r>
        <w:rPr>
          <w:rFonts w:cs="Times New Roman" w:ascii="Times New Roman" w:hAnsi="Times New Roman"/>
          <w:sz w:val="22"/>
        </w:rPr>
        <w:t>A copy of any notice sent to Guarantor pursuant hereto must also be sent to the above address to:  Enron Capital &amp; Trade Resources Corp., (i) Attention: Corporate Secretary, Fax No. (713) 853-2534, and (ii) Attention:  Assistant General Counsel, Trading Group, Fax No. (713) 646-4818.</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8.  </w:t>
      </w:r>
      <w:r>
        <w:rPr>
          <w:rFonts w:cs="Times New Roman" w:ascii="Times New Roman" w:hAnsi="Times New Roman"/>
          <w:sz w:val="22"/>
          <w:u w:val="single"/>
        </w:rPr>
        <w:t>MISCELLANEOUS</w:t>
      </w:r>
      <w:r>
        <w:rPr>
          <w:rFonts w:cs="Times New Roman" w:ascii="Times New Roman" w:hAnsi="Times New Roman"/>
          <w:sz w:val="22"/>
        </w:rPr>
        <w:t xml:space="preserve">.  </w:t>
      </w:r>
      <w:r>
        <w:rPr>
          <w:rFonts w:cs="Times New Roman" w:ascii="Times New Roman" w:hAnsi="Times New Roman"/>
          <w:b/>
          <w:sz w:val="22"/>
        </w:rPr>
        <w:t>THIS GUARANTY SHALL IN ALL RESPECTS BE GOVERNED BY, AND CONSTRUED IN ACCORDANCE WITH, THE LAW OF THE STATE OF TEXAS, WITHOUT REGARD TO PRINCIPLES OF CONFLICTS OF LAWS.</w:t>
      </w:r>
      <w:r>
        <w:rPr>
          <w:rFonts w:cs="Times New Roman" w:ascii="Times New Roman" w:hAnsi="Times New Roman"/>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IN WITNESS WHEREOF, the Guarantor has executed this Guaranty on </w:t>
        <w:tab/>
      </w:r>
      <w:r>
        <w:rPr>
          <w:rFonts w:cs="Times New Roman" w:ascii="Times New Roman" w:hAnsi="Times New Roman"/>
          <w:sz w:val="22"/>
          <w:u w:val="single"/>
        </w:rPr>
        <w:tab/>
      </w:r>
      <w:r>
        <w:rPr>
          <w:rFonts w:cs="Times New Roman" w:ascii="Times New Roman" w:hAnsi="Times New Roman"/>
          <w:sz w:val="22"/>
        </w:rPr>
        <w:t>, 199_, but it is effective as of the date first above written.</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t>ENRON CORP.</w:t>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tab/>
        <w:tab/>
        <w:tab/>
        <w:tab/>
        <w:tab/>
      </w:r>
    </w:p>
    <w:p>
      <w:pPr>
        <w:sectPr>
          <w:headerReference w:type="default" r:id="rId18"/>
          <w:headerReference w:type="first" r:id="rId19"/>
          <w:footerReference w:type="default" r:id="rId20"/>
          <w:footerReference w:type="first" r:id="rId21"/>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tab/>
        <w:tab/>
        <w:tab/>
        <w:tab/>
        <w:tab/>
      </w:r>
    </w:p>
    <w:p>
      <w:pPr>
        <w:pStyle w:val="Normal"/>
        <w:spacing w:lineRule="exact" w:line="240"/>
        <w:ind w:end="720"/>
        <w:jc w:val="center"/>
        <w:rPr>
          <w:rFonts w:ascii="Times New Roman" w:hAnsi="Times New Roman" w:cs="Times New Roman"/>
          <w:b/>
          <w:sz w:val="22"/>
        </w:rPr>
      </w:pPr>
      <w:r>
        <w:rPr>
          <w:rFonts w:cs="Times New Roman" w:ascii="Times New Roman" w:hAnsi="Times New Roman"/>
          <w:b/>
          <w:sz w:val="22"/>
          <w:u w:val="single"/>
        </w:rPr>
        <w:t>EXHIBIT [A][B]</w:t>
      </w:r>
    </w:p>
    <w:p>
      <w:pPr>
        <w:pStyle w:val="Normal"/>
        <w:spacing w:lineRule="exact" w:line="240"/>
        <w:ind w:end="720"/>
        <w:jc w:val="center"/>
        <w:rPr>
          <w:rFonts w:ascii="Times New Roman" w:hAnsi="Times New Roman" w:cs="Times New Roman"/>
          <w:b/>
          <w:sz w:val="22"/>
        </w:rPr>
      </w:pPr>
      <w:r>
        <w:rPr>
          <w:rFonts w:cs="Times New Roman" w:ascii="Times New Roman" w:hAnsi="Times New Roman"/>
          <w:b/>
          <w:sz w:val="22"/>
        </w:rPr>
      </w:r>
    </w:p>
    <w:p>
      <w:pPr>
        <w:pStyle w:val="Normal"/>
        <w:spacing w:lineRule="exact" w:line="240"/>
        <w:ind w:end="720"/>
        <w:jc w:val="center"/>
        <w:rPr>
          <w:rFonts w:ascii="Times New Roman" w:hAnsi="Times New Roman" w:cs="Times New Roman"/>
          <w:b/>
          <w:sz w:val="22"/>
        </w:rPr>
      </w:pPr>
      <w:r>
        <w:rPr>
          <w:rFonts w:cs="Times New Roman" w:ascii="Times New Roman" w:hAnsi="Times New Roman"/>
          <w:b/>
          <w:sz w:val="22"/>
        </w:rPr>
        <w:t>[GUARANTOR]</w:t>
      </w:r>
    </w:p>
    <w:p>
      <w:pPr>
        <w:pStyle w:val="Normal"/>
        <w:ind w:end="720"/>
        <w:jc w:val="center"/>
        <w:rPr>
          <w:rFonts w:ascii="Times New Roman" w:hAnsi="Times New Roman" w:cs="Times New Roman"/>
          <w:b/>
          <w:sz w:val="22"/>
        </w:rPr>
      </w:pPr>
      <w:r>
        <w:rPr>
          <w:rFonts w:cs="Times New Roman" w:ascii="Times New Roman" w:hAnsi="Times New Roman"/>
          <w:b/>
          <w:sz w:val="22"/>
        </w:rPr>
      </w:r>
    </w:p>
    <w:p>
      <w:pPr>
        <w:pStyle w:val="Normal"/>
        <w:spacing w:lineRule="exact" w:line="240"/>
        <w:ind w:end="720"/>
        <w:jc w:val="center"/>
        <w:rPr>
          <w:rFonts w:ascii="Times New Roman" w:hAnsi="Times New Roman" w:cs="Times New Roman"/>
          <w:sz w:val="22"/>
        </w:rPr>
      </w:pPr>
      <w:r>
        <w:rPr>
          <w:rFonts w:cs="Times New Roman" w:ascii="Times New Roman" w:hAnsi="Times New Roman"/>
          <w:sz w:val="22"/>
          <w:u w:val="single"/>
        </w:rPr>
        <w:t>Guaranty</w:t>
      </w:r>
    </w:p>
    <w:p>
      <w:pPr>
        <w:pStyle w:val="Normal"/>
        <w:ind w:end="720"/>
        <w:jc w:val="both"/>
        <w:rPr>
          <w:rFonts w:ascii="Times New Roman" w:hAnsi="Times New Roman" w:cs="Times New Roman"/>
          <w:sz w:val="22"/>
        </w:rPr>
      </w:pPr>
      <w:r>
        <w:rPr>
          <w:rFonts w:cs="Times New Roman" w:ascii="Times New Roman" w:hAnsi="Times New Roman"/>
          <w:sz w:val="22"/>
        </w:rPr>
      </w:r>
    </w:p>
    <w:p>
      <w:pPr>
        <w:pStyle w:val="Normal"/>
        <w:ind w:end="72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This Guaranty (the “Guaranty”), dated as of </w:t>
      </w:r>
      <w:r>
        <w:rPr>
          <w:rFonts w:cs="Times New Roman" w:ascii="Times New Roman" w:hAnsi="Times New Roman"/>
          <w:sz w:val="22"/>
          <w:u w:val="single"/>
        </w:rPr>
        <w:tab/>
        <w:tab/>
        <w:tab/>
      </w:r>
      <w:r>
        <w:rPr>
          <w:rFonts w:cs="Times New Roman" w:ascii="Times New Roman" w:hAnsi="Times New Roman"/>
          <w:sz w:val="22"/>
        </w:rPr>
        <w:t>, 199</w:t>
      </w:r>
      <w:r>
        <w:rPr>
          <w:rFonts w:cs="Times New Roman" w:ascii="Times New Roman" w:hAnsi="Times New Roman"/>
          <w:sz w:val="22"/>
          <w:u w:val="single"/>
        </w:rPr>
        <w:tab/>
      </w:r>
      <w:r>
        <w:rPr>
          <w:rFonts w:cs="Times New Roman" w:ascii="Times New Roman" w:hAnsi="Times New Roman"/>
          <w:sz w:val="22"/>
        </w:rPr>
        <w:t xml:space="preserve">, is made and entered into by </w:t>
      </w:r>
      <w:r>
        <w:rPr>
          <w:rFonts w:cs="Times New Roman" w:ascii="Times New Roman" w:hAnsi="Times New Roman"/>
          <w:sz w:val="22"/>
          <w:u w:val="single"/>
        </w:rPr>
        <w:t>[GUARANTOR]</w:t>
      </w:r>
      <w:r>
        <w:rPr>
          <w:rFonts w:cs="Times New Roman" w:ascii="Times New Roman" w:hAnsi="Times New Roman"/>
          <w:sz w:val="22"/>
        </w:rPr>
        <w:t xml:space="preserve">, a </w:t>
      </w:r>
      <w:r>
        <w:rPr>
          <w:rFonts w:cs="Times New Roman" w:ascii="Times New Roman" w:hAnsi="Times New Roman"/>
          <w:sz w:val="22"/>
          <w:u w:val="single"/>
        </w:rPr>
        <w:tab/>
        <w:tab/>
      </w:r>
      <w:r>
        <w:rPr>
          <w:rFonts w:cs="Times New Roman" w:ascii="Times New Roman" w:hAnsi="Times New Roman"/>
          <w:sz w:val="22"/>
        </w:rPr>
        <w:t xml:space="preserve"> corporation (“Guarantor”).</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jc w:val="center"/>
        <w:rPr>
          <w:rFonts w:ascii="Times New Roman" w:hAnsi="Times New Roman" w:cs="Times New Roman"/>
          <w:b/>
          <w:caps/>
          <w:sz w:val="22"/>
        </w:rPr>
      </w:pPr>
      <w:r>
        <w:rPr>
          <w:rFonts w:cs="Times New Roman" w:ascii="Times New Roman" w:hAnsi="Times New Roman"/>
          <w:b/>
          <w:caps/>
          <w:sz w:val="22"/>
        </w:rPr>
        <w:t>W I T N E S S E T H:</w:t>
      </w:r>
    </w:p>
    <w:p>
      <w:pPr>
        <w:pStyle w:val="Norma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spacing w:lineRule="atLeast" w:line="240"/>
        <w:ind w:firstLine="720" w:end="0"/>
        <w:jc w:val="both"/>
        <w:rPr/>
      </w:pPr>
      <w:r>
        <w:rPr>
          <w:rFonts w:cs="Times New Roman" w:ascii="Times New Roman" w:hAnsi="Times New Roman"/>
          <w:sz w:val="22"/>
        </w:rPr>
        <w:t xml:space="preserve">WHEREAS, </w:t>
      </w:r>
      <w:r>
        <w:rPr>
          <w:rFonts w:cs="Times New Roman" w:ascii="Times New Roman" w:hAnsi="Times New Roman"/>
          <w:sz w:val="22"/>
          <w:u w:val="single"/>
        </w:rPr>
        <w:tab/>
        <w:tab/>
        <w:tab/>
        <w:tab/>
      </w:r>
      <w:r>
        <w:rPr>
          <w:rFonts w:cs="Times New Roman" w:ascii="Times New Roman" w:hAnsi="Times New Roman"/>
          <w:sz w:val="22"/>
        </w:rPr>
        <w:t xml:space="preserve">, a wholly owned subsidiary of Guarantor (“Guaranteed Party”) and </w:t>
      </w:r>
      <w:r>
        <w:rPr>
          <w:rFonts w:cs="Times New Roman" w:ascii="Times New Roman" w:hAnsi="Times New Roman"/>
          <w:caps/>
          <w:sz w:val="22"/>
        </w:rPr>
        <w:t>Enron Capital &amp; Trade Resources CANADA Corp.</w:t>
      </w:r>
      <w:r>
        <w:rPr>
          <w:rFonts w:cs="Times New Roman" w:ascii="Times New Roman" w:hAnsi="Times New Roman"/>
          <w:sz w:val="22"/>
        </w:rPr>
        <w:t xml:space="preserve">, an Alberta corporation (“ECT Canada”), are contemplating entering into a Master Agreement of even date herewith, a copy of which is attached hereto as </w:t>
      </w:r>
      <w:r>
        <w:rPr>
          <w:rFonts w:cs="Times New Roman" w:ascii="Times New Roman" w:hAnsi="Times New Roman"/>
          <w:sz w:val="22"/>
          <w:u w:val="single"/>
        </w:rPr>
        <w:t>Exhibit A</w:t>
      </w:r>
      <w:r>
        <w:rPr>
          <w:rFonts w:cs="Times New Roman" w:ascii="Times New Roman" w:hAnsi="Times New Roman"/>
          <w:sz w:val="22"/>
        </w:rPr>
        <w:t xml:space="preserve"> (such Master Agreement, as the same may from time to time be modified, amended and supplemented, shall be referred to herein as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to be entered into between ECT Canada and Guaranteed 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ECT Canada entering into the Contract, Guarantor hereby covenants and agrees as follows: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(a) Guarantor hereby irrevocably and unconditionally guarantees the timely payment when due of the obligations of Guaranteed Party (the “Obligations”) to ECT Canada under the Contract, and (b) to the extent that Guaranteed Party shall fail to pay any Obligation, Guarantor shall promptly pay to ECT Canada the amount due.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pPr>
      <w:r>
        <w:rPr>
          <w:rFonts w:cs="Times New Roman" w:ascii="Times New Roman" w:hAnsi="Times New Roman"/>
          <w:sz w:val="22"/>
        </w:rPr>
        <w:t>(b)  The aggregate amount covered by this Guaranty shall not exceed U.S. $</w:t>
      </w:r>
      <w:r>
        <w:rPr>
          <w:rFonts w:cs="Times New Roman" w:ascii="Times New Roman" w:hAnsi="Times New Roman"/>
          <w:sz w:val="22"/>
          <w:u w:val="single"/>
        </w:rPr>
        <w:t>_____________</w:t>
      </w:r>
      <w:r>
        <w:rPr>
          <w:rFonts w:cs="Times New Roman" w:ascii="Times New Roman" w:hAnsi="Times New Roman"/>
          <w:sz w:val="22"/>
        </w:rPr>
        <w:t>.</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DEMANDS AND NOTICE</w:t>
      </w:r>
      <w:r>
        <w:rPr>
          <w:rFonts w:cs="Times New Roman" w:ascii="Times New Roman" w:hAnsi="Times New Roman"/>
          <w:sz w:val="22"/>
        </w:rPr>
        <w:t>.  If Guaranteed Party fails or refuses to pay any Obligations, ECT Canada shall notify Guaranteed Party in writing of the manner in which Guaranteed Party has failed to pay and demand that payment be made by Guaranteed Party.  If Guaranteed Party’s failure or refusal to pay continues for a period of fifteen (15) days after the date of ECT Canada notice to Guaranteed Party, and ECT has elected to exercise its rights under this Guaranty, ECT Canada shall make a demand upon Guarantor (hereinafter referred to as a “Payment Demand”).  A Payment Demand shall be in writing and shall reasonably and briefly specify in what manner and what amount Guaranteed Party has failed to pay and an explanation of why such payment is due, with a specific statement that ECT Canada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Guaranteed Party or Guarantor has cured such default, and additional written demands concerning such default shall not be required until such default is cured.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spacing w:lineRule="exact" w:line="240" w:before="240" w:after="0"/>
        <w:ind w:start="720" w:end="0"/>
        <w:jc w:val="both"/>
        <w:rPr/>
      </w:pPr>
      <w:r>
        <w:rPr>
          <w:rFonts w:cs="Times New Roman" w:ascii="Times New Roman" w:hAnsi="Times New Roman"/>
          <w:sz w:val="22"/>
        </w:rPr>
        <w:t xml:space="preserve">(a)  it is a corporation duly organized and validly existing under the laws of the Province of </w:t>
      </w:r>
      <w:r>
        <w:rPr>
          <w:rFonts w:cs="Times New Roman" w:ascii="Times New Roman" w:hAnsi="Times New Roman"/>
          <w:sz w:val="22"/>
          <w:u w:val="single"/>
        </w:rPr>
        <w:t>______________________</w:t>
      </w:r>
      <w:r>
        <w:rPr>
          <w:rFonts w:cs="Times New Roman" w:ascii="Times New Roman" w:hAnsi="Times New Roman"/>
          <w:sz w:val="22"/>
        </w:rPr>
        <w:t xml:space="preserve"> and has the corporate power and authority to execute, deliver and carry out the terms and provisions of the Guaranty; </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SETOFFS AND COUNTERCLAIMS</w:t>
      </w:r>
      <w:r>
        <w:rPr>
          <w:rFonts w:cs="Times New Roman" w:ascii="Times New Roman" w:hAnsi="Times New Roman"/>
          <w:sz w:val="22"/>
        </w:rPr>
        <w:t>.  Without limiting Guarantor’s own defenses and rights hereunder, Guarantor reserves to itself all rights, setoffs, counterclaims and other defenses to which Guaranteed Party or any other affiliate of Guarantor is or may be entitled to arising from or out of the Contract or otherwise, except for defenses arising out of the bankruptcy, insolvency, dissolution or liquidation of Guaranteed 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ECT Canada.</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WAIVERS</w:t>
      </w:r>
      <w:r>
        <w:rPr>
          <w:rFonts w:cs="Times New Roman"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Guaranteed Party or any other person, or except as expressly hereinabove set forth, to require that ECT Canada seek enforcement of any performance against Guaranteed Party or any other person, prior to any action against Guarantor under the terms hereof.  Except as to applicable statutes of limitation, no delay of ECT Canada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may terminate this Guaranty by providing written notice of such termination to ECT Canada and upon the effectiveness of such termination, Guarantor shall have no further liability hereunder, except as provided in the last sentence of this paragraph.  No such termination shall be effective until five (5) business days after receipt by ECT Canada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start="1440" w:end="0"/>
        <w:jc w:val="both"/>
        <w:rPr>
          <w:rFonts w:ascii="Times New Roman" w:hAnsi="Times New Roman" w:cs="Times New Roman"/>
          <w:sz w:val="22"/>
        </w:rPr>
      </w:pPr>
      <w:r>
        <w:rPr>
          <w:rFonts w:cs="Times New Roman" w:ascii="Times New Roman" w:hAnsi="Times New Roman"/>
          <w:sz w:val="22"/>
        </w:rPr>
        <w:t>To ECT Canada:</w:t>
        <w:tab/>
        <w:t>Enron Capital &amp; Trade Resources Canada Corp.</w:t>
      </w:r>
    </w:p>
    <w:p>
      <w:pPr>
        <w:pStyle w:val="Normal"/>
        <w:keepNext w:val="true"/>
        <w:spacing w:lineRule="exact" w:line="240"/>
        <w:ind w:start="3600" w:end="720"/>
        <w:jc w:val="both"/>
        <w:rPr>
          <w:rFonts w:ascii="Times New Roman" w:hAnsi="Times New Roman" w:cs="Times New Roman"/>
          <w:sz w:val="22"/>
        </w:rPr>
      </w:pPr>
      <w:r>
        <w:rPr>
          <w:rFonts w:cs="Times New Roman" w:ascii="Times New Roman" w:hAnsi="Times New Roman"/>
          <w:sz w:val="22"/>
        </w:rPr>
        <w:t>1400 Smith Street</w:t>
      </w:r>
    </w:p>
    <w:p>
      <w:pPr>
        <w:pStyle w:val="Normal"/>
        <w:keepNext w:val="true"/>
        <w:spacing w:lineRule="exact" w:line="240"/>
        <w:ind w:start="3600" w:end="720"/>
        <w:jc w:val="both"/>
        <w:rPr>
          <w:rFonts w:ascii="Times New Roman" w:hAnsi="Times New Roman" w:cs="Times New Roman"/>
          <w:sz w:val="22"/>
        </w:rPr>
      </w:pPr>
      <w:r>
        <w:rPr>
          <w:rFonts w:cs="Times New Roman" w:ascii="Times New Roman" w:hAnsi="Times New Roman"/>
          <w:sz w:val="22"/>
        </w:rPr>
        <w:t>Houston, Texas 77002</w:t>
      </w:r>
    </w:p>
    <w:p>
      <w:pPr>
        <w:pStyle w:val="Normal"/>
        <w:keepNext w:val="true"/>
        <w:spacing w:lineRule="exact" w:line="240"/>
        <w:ind w:start="3600" w:end="720"/>
        <w:jc w:val="both"/>
        <w:rPr>
          <w:rFonts w:ascii="Times New Roman" w:hAnsi="Times New Roman" w:cs="Times New Roman"/>
          <w:sz w:val="22"/>
        </w:rPr>
      </w:pPr>
      <w:r>
        <w:rPr>
          <w:rFonts w:cs="Times New Roman" w:ascii="Times New Roman" w:hAnsi="Times New Roman"/>
          <w:sz w:val="22"/>
        </w:rPr>
        <w:t>Attn:  Director, Documentation Department</w:t>
      </w:r>
    </w:p>
    <w:p>
      <w:pPr>
        <w:pStyle w:val="Normal"/>
        <w:spacing w:lineRule="exact" w:line="240"/>
        <w:ind w:start="3600" w:end="720"/>
        <w:jc w:val="both"/>
        <w:rPr>
          <w:rFonts w:ascii="Times New Roman" w:hAnsi="Times New Roman" w:cs="Times New Roman"/>
          <w:sz w:val="22"/>
        </w:rPr>
      </w:pPr>
      <w:r>
        <w:rPr>
          <w:rFonts w:cs="Times New Roman" w:ascii="Times New Roman" w:hAnsi="Times New Roman"/>
          <w:sz w:val="22"/>
        </w:rPr>
        <w:t>Fax No.: (713) 646-4816</w:t>
      </w:r>
    </w:p>
    <w:p>
      <w:pPr>
        <w:pStyle w:val="Normal"/>
        <w:spacing w:lineRule="exact" w:line="240"/>
        <w:ind w:start="3600" w:end="72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600" w:leader="none"/>
        </w:tabs>
        <w:spacing w:lineRule="atLeast" w:line="240"/>
        <w:ind w:start="1440" w:end="0"/>
        <w:jc w:val="both"/>
        <w:rPr>
          <w:rFonts w:ascii="Times New Roman" w:hAnsi="Times New Roman" w:cs="Times New Roman"/>
          <w:sz w:val="22"/>
        </w:rPr>
      </w:pPr>
      <w:r>
        <w:rPr>
          <w:rFonts w:cs="Times New Roman" w:ascii="Times New Roman" w:hAnsi="Times New Roman"/>
          <w:sz w:val="22"/>
        </w:rPr>
        <w:t>and to:</w:t>
        <w:tab/>
        <w:t>Enron Capital &amp; Trade Resources Corp.</w:t>
      </w:r>
    </w:p>
    <w:p>
      <w:pPr>
        <w:pStyle w:val="Normal"/>
        <w:spacing w:lineRule="exact" w:line="240"/>
        <w:ind w:start="3600" w:end="720"/>
        <w:jc w:val="both"/>
        <w:rPr>
          <w:rFonts w:ascii="Times New Roman" w:hAnsi="Times New Roman" w:cs="Times New Roman"/>
          <w:sz w:val="22"/>
        </w:rPr>
      </w:pPr>
      <w:r>
        <w:rPr>
          <w:rFonts w:cs="Times New Roman" w:ascii="Times New Roman" w:hAnsi="Times New Roman"/>
          <w:sz w:val="22"/>
        </w:rPr>
        <w:t>1400 Smith Street</w:t>
      </w:r>
    </w:p>
    <w:p>
      <w:pPr>
        <w:pStyle w:val="Normal"/>
        <w:spacing w:lineRule="exact" w:line="240"/>
        <w:ind w:start="3600" w:end="720"/>
        <w:jc w:val="both"/>
        <w:rPr>
          <w:rFonts w:ascii="Times New Roman" w:hAnsi="Times New Roman" w:cs="Times New Roman"/>
          <w:sz w:val="22"/>
        </w:rPr>
      </w:pPr>
      <w:r>
        <w:rPr>
          <w:rFonts w:cs="Times New Roman" w:ascii="Times New Roman" w:hAnsi="Times New Roman"/>
          <w:sz w:val="22"/>
        </w:rPr>
        <w:t>Houston, Texas 77002</w:t>
      </w:r>
    </w:p>
    <w:p>
      <w:pPr>
        <w:pStyle w:val="Normal"/>
        <w:spacing w:lineRule="exact" w:line="240"/>
        <w:ind w:start="3600" w:end="720"/>
        <w:jc w:val="both"/>
        <w:rPr>
          <w:rFonts w:ascii="Times New Roman" w:hAnsi="Times New Roman" w:cs="Times New Roman"/>
          <w:sz w:val="22"/>
        </w:rPr>
      </w:pPr>
      <w:r>
        <w:rPr>
          <w:rFonts w:cs="Times New Roman" w:ascii="Times New Roman" w:hAnsi="Times New Roman"/>
          <w:sz w:val="22"/>
        </w:rPr>
        <w:t>Attn:  Assistant General Counsel, Trading Group</w:t>
      </w:r>
    </w:p>
    <w:p>
      <w:pPr>
        <w:pStyle w:val="Normal"/>
        <w:spacing w:lineRule="exact" w:line="240"/>
        <w:ind w:start="3600" w:end="720"/>
        <w:jc w:val="both"/>
        <w:rPr>
          <w:rFonts w:ascii="Times New Roman" w:hAnsi="Times New Roman" w:cs="Times New Roman"/>
          <w:sz w:val="22"/>
        </w:rPr>
      </w:pPr>
      <w:r>
        <w:rPr>
          <w:rFonts w:cs="Times New Roman" w:ascii="Times New Roman" w:hAnsi="Times New Roman"/>
          <w:sz w:val="22"/>
        </w:rPr>
        <w:t>Fax No.: (713) 646-4818</w:t>
      </w:r>
    </w:p>
    <w:p>
      <w:pPr>
        <w:pStyle w:val="Normal"/>
        <w:ind w:start="3600" w:end="7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3600" w:leader="none"/>
          <w:tab w:val="left" w:pos="7200" w:leader="none"/>
        </w:tabs>
        <w:spacing w:lineRule="exact" w:line="240"/>
        <w:ind w:start="1440" w:end="720"/>
        <w:jc w:val="both"/>
        <w:rPr>
          <w:rFonts w:ascii="Times New Roman" w:hAnsi="Times New Roman" w:cs="Times New Roman"/>
          <w:sz w:val="22"/>
        </w:rPr>
      </w:pPr>
      <w:r>
        <w:rPr>
          <w:rFonts w:cs="Times New Roman" w:ascii="Times New Roman" w:hAnsi="Times New Roman"/>
          <w:sz w:val="22"/>
        </w:rPr>
        <w:t>To Guarantor:</w:t>
        <w:tab/>
      </w:r>
      <w:r>
        <w:rPr>
          <w:rFonts w:cs="Times New Roman" w:ascii="Times New Roman" w:hAnsi="Times New Roman"/>
          <w:sz w:val="22"/>
          <w:u w:val="single"/>
        </w:rPr>
        <w:tab/>
      </w:r>
    </w:p>
    <w:p>
      <w:pPr>
        <w:pStyle w:val="Normal"/>
        <w:keepNext w:val="true"/>
        <w:tabs>
          <w:tab w:val="clear" w:pos="720"/>
          <w:tab w:val="left" w:pos="3600" w:leader="none"/>
          <w:tab w:val="left" w:pos="7200" w:leader="none"/>
        </w:tabs>
        <w:spacing w:lineRule="exact" w:line="240"/>
        <w:ind w:start="3600" w:end="720"/>
        <w:jc w:val="both"/>
        <w:rPr>
          <w:rFonts w:ascii="Times New Roman" w:hAnsi="Times New Roman" w:cs="Times New Roman"/>
          <w:sz w:val="22"/>
          <w:u w:val="single"/>
        </w:rPr>
      </w:pPr>
      <w:r>
        <w:rPr>
          <w:rFonts w:cs="Times New Roman" w:ascii="Times New Roman" w:hAnsi="Times New Roman"/>
          <w:sz w:val="22"/>
          <w:u w:val="single"/>
        </w:rPr>
        <w:tab/>
      </w:r>
    </w:p>
    <w:p>
      <w:pPr>
        <w:pStyle w:val="Normal"/>
        <w:keepNext w:val="true"/>
        <w:tabs>
          <w:tab w:val="clear" w:pos="720"/>
          <w:tab w:val="left" w:pos="3600" w:leader="none"/>
          <w:tab w:val="left" w:pos="7200" w:leader="none"/>
        </w:tabs>
        <w:spacing w:lineRule="exact" w:line="240"/>
        <w:ind w:start="3600" w:end="720"/>
        <w:jc w:val="both"/>
        <w:rPr>
          <w:rFonts w:ascii="Times New Roman" w:hAnsi="Times New Roman" w:cs="Times New Roman"/>
          <w:sz w:val="22"/>
        </w:rPr>
      </w:pPr>
      <w:r>
        <w:rPr>
          <w:rFonts w:cs="Times New Roman" w:ascii="Times New Roman" w:hAnsi="Times New Roman"/>
          <w:sz w:val="22"/>
          <w:u w:val="single"/>
        </w:rPr>
        <w:tab/>
      </w:r>
    </w:p>
    <w:p>
      <w:pPr>
        <w:pStyle w:val="Normal"/>
        <w:keepNext w:val="true"/>
        <w:tabs>
          <w:tab w:val="clear" w:pos="720"/>
          <w:tab w:val="left" w:pos="3600" w:leader="none"/>
          <w:tab w:val="left" w:pos="7200" w:leader="none"/>
        </w:tabs>
        <w:spacing w:lineRule="exact" w:line="240"/>
        <w:ind w:start="3600" w:end="720"/>
        <w:jc w:val="both"/>
        <w:rPr>
          <w:rFonts w:ascii="Times New Roman" w:hAnsi="Times New Roman" w:cs="Times New Roman"/>
          <w:sz w:val="22"/>
        </w:rPr>
      </w:pPr>
      <w:r>
        <w:rPr>
          <w:rFonts w:cs="Times New Roman" w:ascii="Times New Roman" w:hAnsi="Times New Roman"/>
          <w:sz w:val="22"/>
          <w:u w:val="single"/>
        </w:rPr>
        <w:tab/>
      </w:r>
    </w:p>
    <w:p>
      <w:pPr>
        <w:pStyle w:val="Normal"/>
        <w:keepNext w:val="true"/>
        <w:tabs>
          <w:tab w:val="clear" w:pos="720"/>
          <w:tab w:val="left" w:pos="3600" w:leader="none"/>
          <w:tab w:val="left" w:pos="7200" w:leader="none"/>
        </w:tabs>
        <w:spacing w:lineRule="exact" w:line="240"/>
        <w:ind w:start="3600" w:end="720"/>
        <w:jc w:val="both"/>
        <w:rPr>
          <w:rFonts w:ascii="Times New Roman" w:hAnsi="Times New Roman" w:cs="Times New Roman"/>
          <w:sz w:val="22"/>
        </w:rPr>
      </w:pPr>
      <w:r>
        <w:rPr>
          <w:rFonts w:cs="Times New Roman" w:ascii="Times New Roman" w:hAnsi="Times New Roman"/>
          <w:sz w:val="22"/>
        </w:rPr>
        <w:t xml:space="preserve">Attn:  </w:t>
      </w:r>
      <w:r>
        <w:rPr>
          <w:rFonts w:cs="Times New Roman" w:ascii="Times New Roman" w:hAnsi="Times New Roman"/>
          <w:sz w:val="22"/>
          <w:u w:val="single"/>
        </w:rPr>
        <w:tab/>
      </w:r>
    </w:p>
    <w:p>
      <w:pPr>
        <w:pStyle w:val="Normal"/>
        <w:spacing w:lineRule="exact" w:line="240"/>
        <w:ind w:start="3600" w:end="720"/>
        <w:jc w:val="both"/>
        <w:rPr/>
      </w:pPr>
      <w:r>
        <w:rPr>
          <w:rFonts w:cs="Times New Roman" w:ascii="Times New Roman" w:hAnsi="Times New Roman"/>
          <w:sz w:val="22"/>
        </w:rPr>
        <w:t xml:space="preserve">Fax No.:  </w:t>
      </w:r>
      <w:r>
        <w:rPr>
          <w:rFonts w:cs="Times New Roman" w:ascii="Times New Roman" w:hAnsi="Times New Roman"/>
          <w:sz w:val="22"/>
          <w:u w:val="single"/>
        </w:rPr>
        <w:tab/>
        <w:tab/>
        <w:tab/>
        <w:tab/>
      </w:r>
    </w:p>
    <w:p>
      <w:pPr>
        <w:pStyle w:val="Normal"/>
        <w:spacing w:lineRule="exact" w:line="240"/>
        <w:ind w:start="3600" w:end="72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8.</w:t>
        <w:tab/>
      </w:r>
      <w:r>
        <w:rPr>
          <w:rFonts w:cs="Times New Roman" w:ascii="Times New Roman" w:hAnsi="Times New Roman"/>
          <w:sz w:val="22"/>
          <w:u w:val="single"/>
        </w:rPr>
        <w:t>MISCELLANEOUS</w:t>
      </w:r>
      <w:r>
        <w:rPr>
          <w:rFonts w:cs="Times New Roman" w:ascii="Times New Roman" w:hAnsi="Times New Roman"/>
          <w:sz w:val="22"/>
        </w:rPr>
        <w:t xml:space="preserve">.  </w:t>
      </w:r>
      <w:r>
        <w:rPr>
          <w:rFonts w:cs="Times New Roman" w:ascii="Times New Roman" w:hAnsi="Times New Roman"/>
          <w:b/>
          <w:sz w:val="22"/>
        </w:rPr>
        <w:t>THIS GUARANTY SHALL IN ALL RESPECTS BE GOVERNED BY, AND CONSTRUED IN ACCORDANCE WITH, THE LAW OF THE [PROVINCE OF _____________] [[STATE OF [TEXAS] [NEW YORK]], WITHOUT REGARD TO PRINCIPLES OF CONFLICTS OF LAWS.</w:t>
      </w:r>
      <w:r>
        <w:rPr>
          <w:rFonts w:cs="Times New Roman" w:ascii="Times New Roman" w:hAnsi="Times New Roman"/>
          <w:sz w:val="22"/>
        </w:rPr>
        <w:t xml:space="preserve">  This Guaranty shall be binding upon Guarantor, its successors and assigns and inure to the benefit of and be enforceable by ECT Canada, its successors and assigns.  The Guaranty embodies the entire agreement and understanding between Guarantor and ECT Canada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IN WITNESS WHEREOF, the Guarantor has executed this Guaranty on </w:t>
      </w:r>
      <w:r>
        <w:rPr>
          <w:rFonts w:cs="Times New Roman" w:ascii="Times New Roman" w:hAnsi="Times New Roman"/>
          <w:sz w:val="22"/>
          <w:u w:val="single"/>
        </w:rPr>
        <w:tab/>
        <w:tab/>
      </w:r>
      <w:r>
        <w:rPr>
          <w:rFonts w:cs="Times New Roman" w:ascii="Times New Roman" w:hAnsi="Times New Roman"/>
          <w:sz w:val="22"/>
        </w:rPr>
        <w:t>, 199_, but it is effective as of the date first above written.</w:t>
      </w:r>
    </w:p>
    <w:p>
      <w:pPr>
        <w:pStyle w:val="Normal"/>
        <w:spacing w:lineRule="atLeast" w:line="240"/>
        <w:jc w:val="both"/>
        <w:rPr>
          <w:rFonts w:ascii="Times New Roman" w:hAnsi="Times New Roman" w:cs="Times New Roman"/>
          <w:b/>
          <w:sz w:val="22"/>
        </w:rPr>
      </w:pPr>
      <w:r>
        <w:rPr>
          <w:rFonts w:cs="Times New Roman" w:ascii="Times New Roman" w:hAnsi="Times New Roman"/>
          <w:b/>
          <w:sz w:val="22"/>
        </w:rPr>
      </w:r>
    </w:p>
    <w:p>
      <w:pPr>
        <w:pStyle w:val="Normal"/>
        <w:spacing w:lineRule="exact" w:line="240"/>
        <w:ind w:start="5040" w:end="0"/>
        <w:jc w:val="both"/>
        <w:rPr>
          <w:rFonts w:ascii="Times New Roman" w:hAnsi="Times New Roman" w:cs="Times New Roman"/>
          <w:sz w:val="22"/>
        </w:rPr>
      </w:pPr>
      <w:r>
        <w:rPr>
          <w:rFonts w:cs="Times New Roman" w:ascii="Times New Roman" w:hAnsi="Times New Roman"/>
          <w:b/>
          <w:sz w:val="22"/>
        </w:rPr>
        <w:t>[GUARANTOR]</w:t>
      </w:r>
    </w:p>
    <w:p>
      <w:pPr>
        <w:pStyle w:val="Normal"/>
        <w:spacing w:lineRule="exact" w:line="240"/>
        <w:ind w:start="504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tab/>
        <w:tab/>
        <w:tab/>
        <w:tab/>
        <w:tab/>
      </w:r>
    </w:p>
    <w:p>
      <w:pPr>
        <w:pStyle w:val="Normal"/>
        <w:spacing w:lineRule="atLeast" w:line="240"/>
        <w:ind w:start="5040" w:end="0"/>
        <w:jc w:val="both"/>
        <w:rPr/>
      </w:pPr>
      <w:r>
        <w:rPr>
          <w:rFonts w:cs="Times New Roman" w:ascii="Times New Roman" w:hAnsi="Times New Roman"/>
          <w:sz w:val="22"/>
        </w:rPr>
        <w:t xml:space="preserve">Title:  </w:t>
      </w:r>
      <w:r>
        <w:rPr>
          <w:rFonts w:cs="Times New Roman" w:ascii="Times New Roman" w:hAnsi="Times New Roman"/>
          <w:sz w:val="22"/>
          <w:u w:val="single"/>
        </w:rPr>
        <w:tab/>
        <w:tab/>
        <w:tab/>
        <w:tab/>
        <w:tab/>
        <w:tab/>
      </w:r>
    </w:p>
    <w:sectPr>
      <w:headerReference w:type="default" r:id="rId22"/>
      <w:headerReference w:type="first" r:id="rId23"/>
      <w:footerReference w:type="default" r:id="rId24"/>
      <w:footerReference w:type="first" r:id="rId25"/>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/mnt/main-storage/datasets/enron-docs/doc/2101c_a.doc</w:t>
    </w:r>
    <w:r>
      <w:rPr>
        <w:sz w:val="12"/>
        <w:rFonts w:cs="Times New Roman" w:ascii="Times New Roman" w:hAnsi="Times New Roman"/>
      </w:rPr>
      <w:fldChar w:fldCharType="end"/>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9</w:t>
    </w:r>
    <w:r>
      <w:rPr>
        <w:rFonts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t>Exhibit A</w:t>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Fonts w:cs="Times New Roman" w:ascii="Times New Roman" w:hAnsi="Times New Roman"/>
      </w:rPr>
      <w:t>Exhibit _</w:t>
    </w:r>
  </w:p>
  <w:p>
    <w:pPr>
      <w:pStyle w:val="Normal"/>
      <w:spacing w:lineRule="exact" w:line="240"/>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t>Annex A</w:t>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rPr>
    </w:pPr>
    <w:r>
      <w:rPr>
        <w:rFonts w:cs="Times New Roman" w:ascii="Times New Roman" w:hAnsi="Times New Roman"/>
      </w:rPr>
      <w:t>EXHIBIT A</w:t>
    </w:r>
  </w:p>
  <w:p>
    <w:pPr>
      <w:pStyle w:val="Normal"/>
      <w:jc w:val="center"/>
      <w:rPr>
        <w:rFonts w:ascii="Times New Roman" w:hAnsi="Times New Roman" w:cs="Times New Roman"/>
      </w:rPr>
    </w:pPr>
    <w:r>
      <w:rPr>
        <w:rFonts w:cs="Times New Roman" w:ascii="Times New Roman" w:hAnsi="Times New Roman"/>
      </w:rPr>
      <w:t>to Paragraph 13</w:t>
    </w:r>
  </w:p>
  <w:p>
    <w:pPr>
      <w:pStyle w:val="Normal"/>
      <w:jc w:val="center"/>
      <w:rPr>
        <w:rFonts w:ascii="Times New Roman" w:hAnsi="Times New Roman" w:cs="Times New Roman"/>
      </w:rPr>
    </w:pPr>
    <w:r>
      <w:rPr>
        <w:rFonts w:cs="Times New Roman" w:ascii="Times New Roman" w:hAnsi="Times New Roman"/>
      </w:rPr>
      <w:t>of Annex A</w:t>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Fonts w:cs="Times New Roman" w:ascii="Times New Roman" w:hAnsi="Times New Roman"/>
      </w:rPr>
      <w:t>Annex A</w:t>
    </w:r>
  </w:p>
  <w:p>
    <w:pPr>
      <w:pStyle w:val="Normal"/>
      <w:spacing w:lineRule="exact" w:line="240"/>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ANNEX A</w:t>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6"/>
        </w:rPr>
        <w:t xml:space="preserve"> </w:t>
      </w:r>
      <w:r>
        <w:rPr>
          <w:sz w:val="16"/>
        </w:rPr>
        <w:t>This language should be inserted in all transactions with Quebec counterparties.</w:t>
      </w:r>
    </w:p>
  </w:footnote>
  <w:footnote w:id="3">
    <w:p>
      <w:pPr>
        <w:pStyle w:val="FootnoteText"/>
        <w:rPr/>
      </w:pPr>
      <w:r>
        <w:rPr>
          <w:rStyle w:val="FootnoteCharacters"/>
        </w:rPr>
        <w:footnoteRef/>
      </w:r>
      <w:r>
        <w:rPr>
          <w:sz w:val="16"/>
        </w:rPr>
        <w:t xml:space="preserve"> </w:t>
      </w:r>
      <w:r>
        <w:rPr>
          <w:sz w:val="16"/>
        </w:rPr>
        <w:t>Canadian agreements may require two signatures.</w:t>
      </w:r>
    </w:p>
  </w:footnote>
  <w:footnote w:id="4">
    <w:p>
      <w:pPr>
        <w:pStyle w:val="FootnoteText"/>
        <w:rPr/>
      </w:pPr>
      <w:r>
        <w:rPr>
          <w:rStyle w:val="FootnoteCharacters"/>
        </w:rPr>
        <w:footnoteRef/>
      </w:r>
      <w:r>
        <w:rPr>
          <w:sz w:val="16"/>
        </w:rPr>
        <w:t xml:space="preserve"> </w:t>
      </w:r>
      <w:r>
        <w:rPr>
          <w:sz w:val="16"/>
        </w:rPr>
        <w:t>Perfection problems with cash collateral in Canada.  Do not use.</w:t>
      </w:r>
    </w:p>
  </w:footnote>
  <w:footnote w:id="5">
    <w:p>
      <w:pPr>
        <w:pStyle w:val="FootnoteText"/>
        <w:rPr/>
      </w:pPr>
      <w:r>
        <w:rPr>
          <w:rStyle w:val="FootnoteCharacters"/>
        </w:rPr>
        <w:footnoteRef/>
      </w:r>
      <w:r>
        <w:rPr>
          <w:rFonts w:cs="Times New Roman" w:ascii="Times New Roman" w:hAnsi="Times New Roman"/>
          <w:sz w:val="16"/>
        </w:rPr>
        <w:t xml:space="preserve">  </w:t>
      </w:r>
      <w:r>
        <w:rPr>
          <w:rFonts w:cs="Times New Roman" w:ascii="Times New Roman" w:hAnsi="Times New Roman"/>
          <w:sz w:val="16"/>
        </w:rPr>
        <w:t>Delete for bank counterparty; likely insert for industrial counterparty.</w:t>
      </w:r>
    </w:p>
  </w:footnote>
  <w:footnote w:id="6">
    <w:p>
      <w:pPr>
        <w:pStyle w:val="FootnoteText"/>
        <w:rPr/>
      </w:pPr>
      <w:r>
        <w:rPr>
          <w:rStyle w:val="FootnoteCharacters"/>
        </w:rPr>
        <w:footnoteRef/>
      </w:r>
      <w:r>
        <w:rPr>
          <w:rFonts w:cs="Times New Roman" w:ascii="Times New Roman" w:hAnsi="Times New Roman"/>
          <w:sz w:val="16"/>
        </w:rPr>
        <w:t xml:space="preserve">  </w:t>
      </w:r>
      <w:r>
        <w:rPr>
          <w:rFonts w:cs="Times New Roman" w:ascii="Times New Roman" w:hAnsi="Times New Roman"/>
          <w:sz w:val="16"/>
        </w:rPr>
        <w:t>If two rated guarantors, then delete (i) the phrase "</w:t>
      </w:r>
      <w:r>
        <w:rPr>
          <w:rFonts w:cs="Times New Roman" w:ascii="Times New Roman" w:hAnsi="Times New Roman"/>
          <w:sz w:val="16"/>
          <w:u w:val="single"/>
        </w:rPr>
        <w:t>the party (or</w:t>
      </w:r>
      <w:r>
        <w:rPr>
          <w:rFonts w:cs="Times New Roman" w:ascii="Times New Roman" w:hAnsi="Times New Roman"/>
          <w:sz w:val="16"/>
        </w:rPr>
        <w:t>" and (ii) parenthesis after "</w:t>
      </w:r>
      <w:r>
        <w:rPr>
          <w:rFonts w:cs="Times New Roman" w:ascii="Times New Roman" w:hAnsi="Times New Roman"/>
          <w:sz w:val="16"/>
          <w:u w:val="single"/>
        </w:rPr>
        <w:t>Corp</w:t>
      </w:r>
      <w:r>
        <w:rPr>
          <w:rFonts w:cs="Times New Roman" w:ascii="Times New Roman" w:hAnsi="Times New Roman"/>
          <w:sz w:val="16"/>
        </w:rPr>
        <w:t>." and (iii) brackets surrounding the phrase "</w:t>
      </w:r>
      <w:r>
        <w:rPr>
          <w:rFonts w:cs="Times New Roman" w:ascii="Times New Roman" w:hAnsi="Times New Roman"/>
          <w:sz w:val="16"/>
          <w:u w:val="single"/>
        </w:rPr>
        <w:t>in the case of Counterparty,                and</w:t>
      </w:r>
      <w:r>
        <w:rPr>
          <w:rFonts w:cs="Times New Roman" w:ascii="Times New Roman" w:hAnsi="Times New Roman"/>
          <w:sz w:val="16"/>
        </w:rPr>
        <w:t>".</w:t>
      </w:r>
    </w:p>
  </w:footnote>
  <w:footnote w:id="7">
    <w:p>
      <w:pPr>
        <w:pStyle w:val="FootnoteText"/>
        <w:rPr/>
      </w:pPr>
      <w:r>
        <w:rPr>
          <w:rStyle w:val="FootnoteCharacters"/>
        </w:rPr>
        <w:footnoteRef/>
      </w:r>
      <w:r>
        <w:rPr>
          <w:rFonts w:cs="Times New Roman" w:ascii="Times New Roman" w:hAnsi="Times New Roman"/>
          <w:sz w:val="16"/>
        </w:rPr>
        <w:t xml:space="preserve">  </w:t>
      </w:r>
      <w:r>
        <w:rPr>
          <w:rFonts w:cs="Times New Roman" w:ascii="Times New Roman" w:hAnsi="Times New Roman"/>
          <w:sz w:val="16"/>
        </w:rPr>
        <w:t>Insert for paper and pulp transactions only.</w:t>
      </w:r>
    </w:p>
  </w:footnote>
  <w:footnote w:id="8">
    <w:p>
      <w:pPr>
        <w:pStyle w:val="FootnoteText"/>
        <w:rPr/>
      </w:pPr>
      <w:r>
        <w:rPr>
          <w:rStyle w:val="FootnoteCharacters"/>
        </w:rPr>
        <w:footnoteRef/>
      </w:r>
      <w:r>
        <w:rPr>
          <w:sz w:val="16"/>
        </w:rPr>
        <w:t xml:space="preserve"> </w:t>
      </w:r>
      <w:r>
        <w:rPr>
          <w:sz w:val="16"/>
        </w:rPr>
        <w:t>Cash collateral must be held in Canada for tax purposes.</w:t>
      </w:r>
    </w:p>
  </w:footnote>
  <w:footnote w:id="9">
    <w:p>
      <w:pPr>
        <w:pStyle w:val="FootnoteText"/>
        <w:rPr/>
      </w:pPr>
      <w:r>
        <w:rPr>
          <w:rStyle w:val="FootnoteCharacters"/>
        </w:rPr>
        <w:footnoteRef/>
      </w:r>
      <w:r>
        <w:rPr>
          <w:sz w:val="16"/>
        </w:rPr>
        <w:t xml:space="preserve"> </w:t>
      </w:r>
      <w:r>
        <w:rPr>
          <w:sz w:val="16"/>
        </w:rPr>
        <w:t>Cash collateral must be held in Canada for tax purposes.</w:t>
      </w:r>
    </w:p>
  </w:footnote>
  <w:footnote w:id="10">
    <w:p>
      <w:pPr>
        <w:pStyle w:val="FootnoteText"/>
        <w:rPr/>
      </w:pPr>
      <w:r>
        <w:rPr>
          <w:rStyle w:val="FootnoteCharacters"/>
        </w:rPr>
        <w:footnoteRef/>
      </w:r>
      <w:r>
        <w:rPr>
          <w:sz w:val="16"/>
        </w:rPr>
        <w:t xml:space="preserve"> </w:t>
      </w:r>
      <w:r>
        <w:rPr>
          <w:sz w:val="16"/>
        </w:rPr>
        <w:t xml:space="preserve">If anything other than 365/366 days, you must file a disclosure statement under the </w:t>
      </w:r>
      <w:r>
        <w:rPr>
          <w:i/>
          <w:sz w:val="16"/>
        </w:rPr>
        <w:t>Canadian Interest Act</w:t>
      </w:r>
      <w:r>
        <w:rPr>
          <w:sz w:val="16"/>
        </w:rPr>
        <w:t>.</w:t>
      </w:r>
    </w:p>
  </w:footnote>
  <w:footnote w:id="11">
    <w:p>
      <w:pPr>
        <w:pStyle w:val="FootnoteText"/>
        <w:rPr/>
      </w:pPr>
      <w:r>
        <w:rPr>
          <w:rStyle w:val="FootnoteCharacters"/>
        </w:rPr>
        <w:footnoteRef/>
      </w:r>
      <w:r>
        <w:rPr>
          <w:rFonts w:cs="Times New Roman" w:ascii="Times New Roman" w:hAnsi="Times New Roman"/>
          <w:sz w:val="16"/>
        </w:rPr>
        <w:t xml:space="preserve">  </w:t>
      </w:r>
      <w:r>
        <w:rPr>
          <w:rFonts w:cs="Times New Roman" w:ascii="Times New Roman" w:hAnsi="Times New Roman"/>
          <w:sz w:val="16"/>
        </w:rPr>
        <w:t>Delete language in brackets for bank counterparties.</w:t>
      </w:r>
    </w:p>
  </w:footnote>
  <w:footnote w:id="12">
    <w:p>
      <w:pPr>
        <w:pStyle w:val="FootnoteText"/>
        <w:rPr/>
      </w:pPr>
      <w:r>
        <w:rPr>
          <w:rStyle w:val="FootnoteCharacters"/>
        </w:rPr>
        <w:footnoteRef/>
      </w:r>
      <w:r>
        <w:rPr>
          <w:sz w:val="16"/>
        </w:rPr>
        <w:t xml:space="preserve"> </w:t>
      </w:r>
      <w:r>
        <w:rPr>
          <w:sz w:val="16"/>
        </w:rPr>
        <w:t>Delete MAC when you have stairstep threshold.</w:t>
      </w:r>
    </w:p>
  </w:footnote>
  <w:footnote w:id="13">
    <w:p>
      <w:pPr>
        <w:pStyle w:val="FootnoteText"/>
        <w:rPr/>
      </w:pPr>
      <w:r>
        <w:rPr>
          <w:rStyle w:val="FootnoteCharacters"/>
        </w:rPr>
        <w:footnoteRef/>
      </w:r>
      <w:r>
        <w:rPr>
          <w:sz w:val="16"/>
        </w:rPr>
        <w:t xml:space="preserve"> </w:t>
      </w:r>
      <w:r>
        <w:rPr>
          <w:sz w:val="16"/>
        </w:rPr>
        <w:t>Insert only if the Minimum Transfer Amount is material.</w:t>
      </w:r>
    </w:p>
  </w:footnote>
  <w:footnote w:id="14">
    <w:p>
      <w:pPr>
        <w:pStyle w:val="FootnoteText"/>
        <w:rPr/>
      </w:pPr>
      <w:r>
        <w:rPr>
          <w:rStyle w:val="FootnoteCharacters"/>
        </w:rPr>
        <w:footnoteRef/>
      </w:r>
      <w:r>
        <w:rPr>
          <w:rFonts w:cs="Times New Roman" w:ascii="Times New Roman" w:hAnsi="Times New Roman"/>
          <w:sz w:val="16"/>
        </w:rPr>
        <w:t xml:space="preserve"> </w:t>
      </w:r>
      <w:r>
        <w:rPr>
          <w:rFonts w:cs="Times New Roman" w:ascii="Times New Roman" w:hAnsi="Times New Roman"/>
          <w:sz w:val="16"/>
        </w:rPr>
        <w:t>Delete language in brackets for bank counterparties.</w:t>
      </w:r>
    </w:p>
  </w:footnote>
  <w:footnote w:id="15">
    <w:p>
      <w:pPr>
        <w:pStyle w:val="FootnoteText"/>
        <w:rPr/>
      </w:pPr>
      <w:r>
        <w:rPr>
          <w:rStyle w:val="FootnoteCharacters"/>
        </w:rPr>
        <w:footnoteRef/>
      </w:r>
      <w:r>
        <w:rPr>
          <w:rFonts w:cs="Times New Roman" w:ascii="Times New Roman" w:hAnsi="Times New Roman"/>
          <w:sz w:val="16"/>
        </w:rPr>
        <w:t xml:space="preserve"> </w:t>
      </w:r>
      <w:r>
        <w:rPr>
          <w:rFonts w:cs="Times New Roman" w:ascii="Times New Roman" w:hAnsi="Times New Roman"/>
          <w:sz w:val="16"/>
        </w:rPr>
        <w:t>Delete language in brackets for bank counterparties.</w:t>
      </w:r>
    </w:p>
  </w:footnote>
  <w:footnote w:id="16">
    <w:p>
      <w:pPr>
        <w:pStyle w:val="FootnoteText"/>
        <w:rPr/>
      </w:pPr>
      <w:r>
        <w:rPr>
          <w:rStyle w:val="FootnoteCharacters"/>
        </w:rPr>
        <w:footnoteRef/>
      </w:r>
      <w:r>
        <w:rPr>
          <w:sz w:val="16"/>
        </w:rPr>
        <w:t xml:space="preserve"> </w:t>
      </w:r>
      <w:r>
        <w:rPr>
          <w:sz w:val="16"/>
        </w:rPr>
        <w:t>Per Bill Bradford in Credit, we will rarely accept Canadian Dollars, put in U.S. Dollars only, unless Credit directs otherwise.</w:t>
      </w:r>
    </w:p>
  </w:footnote>
  <w:footnote w:id="17">
    <w:p>
      <w:pPr>
        <w:pStyle w:val="FootnoteText"/>
        <w:rPr/>
      </w:pPr>
      <w:r>
        <w:rPr>
          <w:rStyle w:val="FootnoteCharacters"/>
        </w:rPr>
        <w:footnoteRef/>
      </w:r>
      <w:r>
        <w:rPr>
          <w:sz w:val="16"/>
        </w:rPr>
        <w:t xml:space="preserve"> </w:t>
      </w:r>
      <w:r>
        <w:rPr>
          <w:sz w:val="16"/>
        </w:rPr>
        <w:t>Per Bill Bradford in Credit, we will rarely accept Canadian securities, put in U.S. securities only, unless Credit directs otherwise.</w:t>
      </w:r>
    </w:p>
  </w:footnote>
  <w:footnote w:id="18">
    <w:p>
      <w:pPr>
        <w:pStyle w:val="FootnoteText"/>
        <w:rPr/>
      </w:pPr>
      <w:r>
        <w:rPr>
          <w:rStyle w:val="FootnoteCharacters"/>
        </w:rPr>
        <w:footnoteRef/>
      </w:r>
      <w:r>
        <w:rPr>
          <w:sz w:val="16"/>
        </w:rPr>
        <w:t xml:space="preserve">  </w:t>
      </w:r>
      <w:r>
        <w:rPr>
          <w:sz w:val="16"/>
        </w:rPr>
        <w:t>If two rated guarantors, then delete (i) the phrase "</w:t>
      </w:r>
      <w:r>
        <w:rPr>
          <w:sz w:val="16"/>
          <w:u w:val="single"/>
        </w:rPr>
        <w:t>the party (or</w:t>
      </w:r>
      <w:r>
        <w:rPr>
          <w:sz w:val="16"/>
        </w:rPr>
        <w:t>", (ii) end parenthesis after "</w:t>
      </w:r>
      <w:r>
        <w:rPr>
          <w:sz w:val="16"/>
          <w:u w:val="single"/>
        </w:rPr>
        <w:t>Corp.</w:t>
      </w:r>
      <w:r>
        <w:rPr>
          <w:sz w:val="16"/>
        </w:rPr>
        <w:t>" and (iii) brackets surrounding the phrase "</w:t>
      </w:r>
      <w:r>
        <w:rPr>
          <w:sz w:val="16"/>
          <w:u w:val="single"/>
        </w:rPr>
        <w:t>in the case of Counterparty,         and</w:t>
      </w:r>
      <w:r>
        <w:rPr>
          <w:sz w:val="16"/>
        </w:rPr>
        <w:t>".</w:t>
      </w:r>
    </w:p>
  </w:footnote>
  <w:footnote w:id="19">
    <w:p>
      <w:pPr>
        <w:pStyle w:val="FootnoteText"/>
        <w:rPr/>
      </w:pPr>
      <w:r>
        <w:rPr>
          <w:rStyle w:val="FootnoteCharacters"/>
        </w:rPr>
        <w:footnoteRef/>
      </w:r>
      <w:r>
        <w:rPr>
          <w:sz w:val="16"/>
        </w:rPr>
        <w:t xml:space="preserve">  </w:t>
      </w:r>
      <w:r>
        <w:rPr>
          <w:sz w:val="16"/>
        </w:rPr>
        <w:t>Leave in if MAC is other than Credit Rating below "BBB-".</w:t>
      </w:r>
    </w:p>
  </w:footnote>
  <w:footnote w:id="20">
    <w:p>
      <w:pPr>
        <w:pStyle w:val="FootnoteText"/>
        <w:rPr/>
      </w:pPr>
      <w:r>
        <w:rPr>
          <w:rStyle w:val="FootnoteCharacters"/>
        </w:rPr>
        <w:footnoteRef/>
      </w:r>
      <w:r>
        <w:rPr>
          <w:sz w:val="16"/>
        </w:rPr>
        <w:t xml:space="preserve">  </w:t>
      </w:r>
      <w:r>
        <w:rPr>
          <w:sz w:val="16"/>
        </w:rPr>
        <w:t>Delete language in brackets for bank counterparties.</w:t>
      </w:r>
    </w:p>
  </w:footnote>
  <w:footnote w:id="21">
    <w:p>
      <w:pPr>
        <w:pStyle w:val="FootnoteText"/>
        <w:rPr/>
      </w:pPr>
      <w:r>
        <w:rPr>
          <w:rStyle w:val="FootnoteCharacters"/>
        </w:rPr>
        <w:footnoteRef/>
      </w:r>
      <w:r>
        <w:rPr>
          <w:sz w:val="16"/>
        </w:rPr>
        <w:t xml:space="preserve"> </w:t>
      </w:r>
      <w:r>
        <w:rPr>
          <w:sz w:val="16"/>
        </w:rPr>
        <w:t>Delete language in brackets for bank counterparties.</w:t>
      </w:r>
    </w:p>
  </w:footnote>
  <w:footnote w:id="22">
    <w:p>
      <w:pPr>
        <w:pStyle w:val="FootnoteText"/>
        <w:rPr/>
      </w:pPr>
      <w:r>
        <w:rPr>
          <w:rStyle w:val="FootnoteCharacters"/>
        </w:rPr>
        <w:footnoteRef/>
      </w:r>
      <w:r>
        <w:rPr>
          <w:sz w:val="16"/>
        </w:rPr>
        <w:t xml:space="preserve"> </w:t>
      </w:r>
      <w:r>
        <w:rPr>
          <w:sz w:val="16"/>
        </w:rPr>
        <w:t>If anything other than 365/366 days, you must file a disclosure statement under the Canadian Interest Act.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Times New Roman" w:hAnsi="Times New Roman" w:cs="Times New Roman"/>
      </w:rPr>
    </w:pPr>
    <w:r>
      <w:rPr>
        <w:rFonts w:cs="Times New Roman" w:ascii="Times New Roman" w:hAnsi="Times New Roman"/>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Times New Roman" w:hAnsi="Times New Roman" w:cs="Times New Roman"/>
      </w:rPr>
    </w:pPr>
    <w:r>
      <w:rPr>
        <w:rFonts w:cs="Times New Roman" w:ascii="Times New Roman" w:hAnsi="Times New Roman"/>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ind w:hanging="720" w:start="144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footnotes" Target="footnotes.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1999-05-26T20:19:00Z</dcterms:created>
  <dc:creator>jdobern</dc:creator>
  <dc:description>10/14/93</dc:description>
  <dc:language>en-CA</dc:language>
  <cp:lastModifiedBy>tjones</cp:lastModifiedBy>
  <cp:lastPrinted>1999-06-04T12:12:00Z</cp:lastPrinted>
  <dcterms:modified xsi:type="dcterms:W3CDTF">1999-06-04T16:47:00Z</dcterms:modified>
  <cp:revision>14</cp:revision>
  <dc:subject>2nd Draft 8/10/93rmj</dc:subject>
  <dc:title>SCHEDULE TO THE MASTER AGREEMENT</dc:title>
</cp:coreProperties>
</file>