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Rob Milnthorp, Derek Davies, Peter Keohane, Jon McKay, Darren Cross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 Kate Joslyn &amp; Randel Dalgleish</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Direct</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Balancing Requirements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May 22, 2001</w:t>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jc w:val="both"/>
        <w:rPr/>
      </w:pPr>
      <w:r>
        <w:rPr/>
      </w:r>
      <w:bookmarkStart w:id="1" w:name="StartOfMemo"/>
      <w:bookmarkStart w:id="2" w:name="StartOfMemo"/>
      <w:bookmarkEnd w:id="2"/>
    </w:p>
    <w:p>
      <w:pPr>
        <w:pStyle w:val="Body"/>
        <w:spacing w:before="120" w:after="120"/>
        <w:jc w:val="both"/>
        <w:rPr/>
      </w:pPr>
      <w:r>
        <w:rPr/>
        <w:t>In light of the risk management meeting held on May 15, 2001, please find below a brief summary of the balancing obligations of Enron Direct for Rate 13 retail natural gas customers, Rate 11 retail natural gas customers and retail electricity transactions.  Mark has provided the legal summary heading each section below, Randel has prepared the practical balancing information for the natural gas transactions and Kate has prepared the practical balancing information for the electricity transactions.</w:t>
      </w:r>
    </w:p>
    <w:p>
      <w:pPr>
        <w:pStyle w:val="Body"/>
        <w:spacing w:before="120" w:after="120"/>
        <w:ind w:start="0" w:end="0"/>
        <w:jc w:val="both"/>
        <w:rPr/>
      </w:pPr>
      <w:r>
        <w:rPr/>
      </w:r>
    </w:p>
    <w:p>
      <w:pPr>
        <w:pStyle w:val="Body"/>
        <w:spacing w:before="120" w:after="120"/>
        <w:ind w:start="0" w:end="0"/>
        <w:jc w:val="both"/>
        <w:rPr>
          <w:b/>
          <w:bCs/>
        </w:rPr>
      </w:pPr>
      <w:r>
        <w:rPr>
          <w:b/>
          <w:bCs/>
        </w:rPr>
        <w:t>1.</w:t>
        <w:tab/>
        <w:t>Rate 13 Customers</w:t>
      </w:r>
    </w:p>
    <w:p>
      <w:pPr>
        <w:pStyle w:val="Body"/>
        <w:spacing w:before="120" w:after="120"/>
        <w:ind w:start="0" w:end="0"/>
        <w:jc w:val="both"/>
        <w:rPr/>
      </w:pPr>
      <w:r>
        <w:rPr/>
        <w:t>A.</w:t>
        <w:tab/>
        <w:t>Legal Requirements:</w:t>
      </w:r>
    </w:p>
    <w:p>
      <w:pPr>
        <w:pStyle w:val="Body"/>
        <w:spacing w:before="120" w:after="120"/>
        <w:ind w:start="720" w:end="0"/>
        <w:jc w:val="both"/>
        <w:rPr/>
      </w:pPr>
      <w:r>
        <w:rPr/>
        <w:t>Each customer has a Rate 13 transportation agreement with ATCO which provides certain balancing obligations.  As the “Agent” of the customer, these obligations flow through to Enron Direct.  The obligations are as follows:</w:t>
      </w:r>
    </w:p>
    <w:p>
      <w:pPr>
        <w:pStyle w:val="Body"/>
        <w:numPr>
          <w:ilvl w:val="1"/>
          <w:numId w:val="4"/>
        </w:numPr>
        <w:spacing w:before="120" w:after="120"/>
        <w:jc w:val="both"/>
        <w:rPr/>
      </w:pPr>
      <w:r>
        <w:rPr/>
        <w:t>At all times the customer is to endeavour to keep its daily imbalance quantity at zero.</w:t>
      </w:r>
    </w:p>
    <w:p>
      <w:pPr>
        <w:pStyle w:val="Body"/>
        <w:numPr>
          <w:ilvl w:val="1"/>
          <w:numId w:val="4"/>
        </w:numPr>
        <w:spacing w:before="120" w:after="120"/>
        <w:jc w:val="both"/>
        <w:rPr/>
      </w:pPr>
      <w:r>
        <w:rPr/>
        <w:t>At all times the customer is to endeavour to trend the cumulative imbalance quantity towards zero where the cumulative imbalance quantity is the sum of the previous month’s actual daily imbalance quantity (or estimated daily imbalance quantity if applicable) plus the accumulated estimated daily imbalance quantity for each day of the current month.</w:t>
      </w:r>
    </w:p>
    <w:p>
      <w:pPr>
        <w:pStyle w:val="Body"/>
        <w:numPr>
          <w:ilvl w:val="1"/>
          <w:numId w:val="4"/>
        </w:numPr>
        <w:spacing w:before="120" w:after="120"/>
        <w:jc w:val="both"/>
        <w:rPr/>
      </w:pPr>
      <w:r>
        <w:rPr/>
        <w:t>ATCO can require corrective action to balance as above and the customer must “promptly comply”.</w:t>
      </w:r>
    </w:p>
    <w:p>
      <w:pPr>
        <w:pStyle w:val="Body"/>
        <w:numPr>
          <w:ilvl w:val="1"/>
          <w:numId w:val="4"/>
        </w:numPr>
        <w:spacing w:before="120" w:after="120"/>
        <w:jc w:val="both"/>
        <w:rPr/>
      </w:pPr>
      <w:r>
        <w:rPr/>
        <w:t>If the customer does not comply, ATCO can take any reasonable action whatsoever to balance by restricting receipts into or deliveries out of the customer’s account.</w:t>
      </w:r>
    </w:p>
    <w:p>
      <w:pPr>
        <w:pStyle w:val="Body"/>
        <w:numPr>
          <w:ilvl w:val="1"/>
          <w:numId w:val="4"/>
        </w:numPr>
        <w:spacing w:before="120" w:after="120"/>
        <w:jc w:val="both"/>
        <w:rPr/>
      </w:pPr>
      <w:r>
        <w:rPr/>
        <w:t xml:space="preserve">If the estimated cumulative imbalance quantity for a month exceeds the limit set out in the Rate 13 Schedule (currently 5%), the excess is bought at 130% or sold at 75% of the ADI prices for that month.  </w:t>
      </w:r>
    </w:p>
    <w:p>
      <w:pPr>
        <w:pStyle w:val="Body"/>
        <w:numPr>
          <w:ilvl w:val="1"/>
          <w:numId w:val="4"/>
        </w:numPr>
        <w:spacing w:before="120" w:after="120"/>
        <w:jc w:val="both"/>
        <w:rPr/>
      </w:pPr>
      <w:r>
        <w:rPr/>
        <w:t>The remaining imbalance amount (according to the current “Business Policy &amp; Practices” of ATCO which are not and do not get approved by the AEUB) is to be balanced over a 25-day period.  Similarly, according to the terms and conditions of the agreement, if the Customer’s account is put out of balance by actual adjustments, the Customer is required to bring the account into balance by providing 1/25</w:t>
      </w:r>
      <w:r>
        <w:rPr>
          <w:vertAlign w:val="superscript"/>
        </w:rPr>
        <w:t>th</w:t>
      </w:r>
      <w:r>
        <w:rPr/>
        <w:t xml:space="preserve"> of the imbalance amount on a daily basis over a 25-day period.</w:t>
      </w:r>
    </w:p>
    <w:p>
      <w:pPr>
        <w:pStyle w:val="Body"/>
        <w:numPr>
          <w:ilvl w:val="1"/>
          <w:numId w:val="4"/>
        </w:numPr>
        <w:spacing w:before="120" w:after="120"/>
        <w:jc w:val="both"/>
        <w:rPr/>
      </w:pPr>
      <w:r>
        <w:rPr/>
        <w:t>According to the Business Policy &amp; Practices, ATCO can require daily imbalance quantities to be zero during periods of abnormal pipeline operations.</w:t>
      </w:r>
    </w:p>
    <w:p>
      <w:pPr>
        <w:pStyle w:val="Body"/>
        <w:numPr>
          <w:ilvl w:val="1"/>
          <w:numId w:val="4"/>
        </w:numPr>
        <w:spacing w:before="120" w:after="120"/>
        <w:jc w:val="both"/>
        <w:rPr>
          <w:rFonts w:cs="Arial"/>
        </w:rPr>
      </w:pPr>
      <w:r>
        <w:rPr/>
        <w:t xml:space="preserve">In addition to the above, ATCO has the right to restrict deliveries, curtail consumption or to require daily imbalance quantities to be zero.  If the requisite steps are not taken, ATCO can impose penalties on “unauthorized sales” which are currently set at:  $125 per Day plus an amount equal to 5 times the greater </w:t>
      </w:r>
      <w:r>
        <w:rPr>
          <w:rFonts w:cs="Arial"/>
        </w:rPr>
        <w:t>of the highest price ATCO paid for gas on that day or ATCO’s gas cost recovery rate.</w:t>
      </w:r>
    </w:p>
    <w:p>
      <w:pPr>
        <w:pStyle w:val="Body"/>
        <w:spacing w:before="120" w:after="120"/>
        <w:jc w:val="both"/>
        <w:rPr>
          <w:rFonts w:cs="Arial"/>
        </w:rPr>
      </w:pPr>
      <w:r>
        <w:rPr>
          <w:rFonts w:cs="Arial"/>
        </w:rPr>
        <w:t>B.</w:t>
        <w:tab/>
        <w:t xml:space="preserve">Practical Balancing Information </w:t>
      </w:r>
    </w:p>
    <w:p>
      <w:pPr>
        <w:pStyle w:val="Normal"/>
        <w:rPr>
          <w:rFonts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Each day we receive usage information from ATCO for the prior day.  We receive a report each day of the month with, for the most part, actual read information from the previous day. As the month progresses the read information for previous days, even if it was already actual will change.</w:t>
      </w:r>
    </w:p>
    <w:p>
      <w:pPr>
        <w:pStyle w:val="Normal"/>
        <w:jc w:val="both"/>
        <w:rPr>
          <w:rFonts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 xml:space="preserve">ATCO adds an overall amount for UFG (Unaccounted For Gas) at a rate of 1.2% for the North and 1.561% for the south of Alberta. This amount is calculated by ATCO by individual site then added to come to the total number. Because of rounding at the individual site level the total number can be less then taking the total deliveries and multiplying them by the UFG percentage. </w:t>
      </w:r>
    </w:p>
    <w:p>
      <w:pPr>
        <w:pStyle w:val="Normal"/>
        <w:jc w:val="both"/>
        <w:rPr>
          <w:rFonts w:cs="Arial"/>
          <w:color w:val="000080"/>
          <w:sz w:val="20"/>
        </w:rPr>
      </w:pPr>
      <w:r>
        <w:rPr>
          <w:rFonts w:cs="Arial"/>
          <w:color w:val="000080"/>
          <w:sz w:val="20"/>
        </w:rPr>
      </w:r>
    </w:p>
    <w:p>
      <w:pPr>
        <w:pStyle w:val="BodyText"/>
        <w:ind w:start="720" w:end="0"/>
        <w:rPr>
          <w:rFonts w:ascii="Arial" w:hAnsi="Arial" w:cs="Arial"/>
          <w:color w:val="000080"/>
          <w:sz w:val="20"/>
        </w:rPr>
      </w:pPr>
      <w:r>
        <w:rPr>
          <w:rFonts w:cs="Arial" w:ascii="Arial" w:hAnsi="Arial"/>
          <w:color w:val="000080"/>
          <w:sz w:val="20"/>
        </w:rPr>
        <w:t>The critical point, from a balancing and cost minimization perspective, is to keep the imbalance at the end of the month at less than 5% of the deliveries for the month for each Rate 13 account. If the imbalance is greater than the 5% allowable amount, ATCO charges us to bring the account within the 5% range. ATCO charges us 130% of the average AECO “C” prices for the month for us to purchase gas from them and pays us only 75% of this same rate if we must sell to them to balance our position.</w:t>
      </w:r>
    </w:p>
    <w:p>
      <w:pPr>
        <w:pStyle w:val="Normal"/>
        <w:jc w:val="both"/>
        <w:rPr>
          <w:rFonts w:ascii="Arial" w:hAnsi="Arial"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 xml:space="preserve">The daily imbalance throughout the month does not have any set consequences for being outside the 5% range, as long as ATCO either has space in their line or gas to supply.  We need to monitor each Rate 13 account and as the percentages move outside the 5% band we should look at bringing it back into line. If the imbalance moves outside the 5% range ATCO may call and request us to either sell or purchase gas to bring us closer to balancing. </w:t>
      </w:r>
    </w:p>
    <w:p>
      <w:pPr>
        <w:pStyle w:val="Normal"/>
        <w:jc w:val="both"/>
        <w:rPr>
          <w:rFonts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On the second business day of the following month we receive the “Frozen” or first of two final consumption reports for the month.  Any imbalance, less than the 5 % allowed, is allocated more or less evenly over the first 25 days of the month. This amount then becomes part of the daily balancing for gas.</w:t>
      </w:r>
    </w:p>
    <w:p>
      <w:pPr>
        <w:pStyle w:val="Normal"/>
        <w:jc w:val="both"/>
        <w:rPr>
          <w:rFonts w:cs="Arial"/>
          <w:color w:val="000080"/>
          <w:sz w:val="20"/>
        </w:rPr>
      </w:pPr>
      <w:r>
        <w:rPr>
          <w:rFonts w:cs="Arial"/>
          <w:color w:val="000080"/>
          <w:sz w:val="20"/>
        </w:rPr>
      </w:r>
    </w:p>
    <w:p>
      <w:pPr>
        <w:pStyle w:val="Normal"/>
        <w:ind w:start="720" w:end="0"/>
        <w:jc w:val="both"/>
        <w:rPr/>
      </w:pPr>
      <w:r>
        <w:rPr>
          <w:rFonts w:cs="Arial"/>
          <w:color w:val="000080"/>
          <w:sz w:val="20"/>
        </w:rPr>
        <w:t>About the 9</w:t>
      </w:r>
      <w:r>
        <w:rPr>
          <w:rFonts w:cs="Arial"/>
          <w:color w:val="000080"/>
          <w:sz w:val="20"/>
          <w:vertAlign w:val="superscript"/>
        </w:rPr>
        <w:t>th</w:t>
      </w:r>
      <w:r>
        <w:rPr>
          <w:rFonts w:cs="Arial"/>
          <w:color w:val="000080"/>
          <w:sz w:val="20"/>
        </w:rPr>
        <w:t xml:space="preserve"> business day of the following month we receive the “Authorized” or final consumption report. Any difference between the “Frozen” amount and the “Authorized” amount is allocated more or less evenly over the first 25 days of the month following. This amount then becomes part of the daily balancing for gas.</w:t>
      </w:r>
    </w:p>
    <w:p>
      <w:pPr>
        <w:pStyle w:val="Normal"/>
        <w:jc w:val="both"/>
        <w:rPr>
          <w:rFonts w:cs="Arial"/>
          <w:color w:val="000080"/>
          <w:sz w:val="20"/>
        </w:rPr>
      </w:pPr>
      <w:r>
        <w:rPr>
          <w:rFonts w:cs="Arial"/>
          <w:color w:val="000080"/>
          <w:sz w:val="20"/>
        </w:rPr>
      </w:r>
    </w:p>
    <w:p>
      <w:pPr>
        <w:pStyle w:val="Body"/>
        <w:spacing w:before="120" w:after="120"/>
        <w:jc w:val="both"/>
        <w:rPr>
          <w:b/>
          <w:bCs/>
        </w:rPr>
      </w:pPr>
      <w:r>
        <w:rPr>
          <w:b/>
          <w:bCs/>
        </w:rPr>
      </w:r>
    </w:p>
    <w:p>
      <w:pPr>
        <w:pStyle w:val="Body"/>
        <w:spacing w:before="120" w:after="120"/>
        <w:jc w:val="both"/>
        <w:rPr>
          <w:b/>
          <w:bCs/>
        </w:rPr>
      </w:pPr>
      <w:r>
        <w:rPr>
          <w:b/>
          <w:bCs/>
        </w:rPr>
        <w:t>2.</w:t>
        <w:tab/>
        <w:t>Rate 11 Customers</w:t>
      </w:r>
    </w:p>
    <w:p>
      <w:pPr>
        <w:pStyle w:val="Body"/>
        <w:numPr>
          <w:ilvl w:val="0"/>
          <w:numId w:val="2"/>
        </w:numPr>
        <w:spacing w:before="120" w:after="120"/>
        <w:jc w:val="both"/>
        <w:rPr/>
      </w:pPr>
      <w:r>
        <w:rPr/>
        <w:t>Legal Requirements:</w:t>
      </w:r>
    </w:p>
    <w:p>
      <w:pPr>
        <w:pStyle w:val="Body"/>
        <w:spacing w:before="120" w:after="120"/>
        <w:ind w:start="717" w:end="0"/>
        <w:jc w:val="both"/>
        <w:rPr/>
      </w:pPr>
      <w:r>
        <w:rPr/>
        <w:t>Enron Direct enters an agreement with ATCO for each of the Customers which fall within Rate 11.  This agreement sets the balancing requirements as follows:</w:t>
      </w:r>
    </w:p>
    <w:p>
      <w:pPr>
        <w:pStyle w:val="Body"/>
        <w:numPr>
          <w:ilvl w:val="0"/>
          <w:numId w:val="3"/>
        </w:numPr>
        <w:spacing w:before="120" w:after="120"/>
        <w:jc w:val="both"/>
        <w:rPr/>
      </w:pPr>
      <w:r>
        <w:rPr/>
        <w:t>Under the agreement ATCO maintains an imbalance account.</w:t>
      </w:r>
    </w:p>
    <w:p>
      <w:pPr>
        <w:pStyle w:val="Body"/>
        <w:numPr>
          <w:ilvl w:val="0"/>
          <w:numId w:val="3"/>
        </w:numPr>
        <w:spacing w:before="120" w:after="120"/>
        <w:jc w:val="both"/>
        <w:rPr/>
      </w:pPr>
      <w:r>
        <w:rPr/>
        <w:t>At the end of each calendar month or at any other time which ATCO updates the imbalance account, Enron Direct must settle the imbalance by supplying the deficiency of gas or ATCO reducing subsequent daily nomination quantities.</w:t>
      </w:r>
    </w:p>
    <w:p>
      <w:pPr>
        <w:pStyle w:val="Body"/>
        <w:numPr>
          <w:ilvl w:val="0"/>
          <w:numId w:val="3"/>
        </w:numPr>
        <w:spacing w:before="120" w:after="120"/>
        <w:jc w:val="both"/>
        <w:rPr/>
      </w:pPr>
      <w:r>
        <w:rPr/>
        <w:t>The timing, duration and rate at which the excess or deficiency is settled are to be determined by mutual agreement.  If the parties cannot agree, they are to be settled at a constant rate over a 30 day period following the determination of the excess of deficiency.</w:t>
      </w:r>
    </w:p>
    <w:p>
      <w:pPr>
        <w:pStyle w:val="Body"/>
        <w:numPr>
          <w:ilvl w:val="0"/>
          <w:numId w:val="3"/>
        </w:numPr>
        <w:spacing w:before="120" w:after="120"/>
        <w:jc w:val="both"/>
        <w:rPr/>
      </w:pPr>
      <w:r>
        <w:rPr/>
        <w:t>At the time the transportation agreement is terminated, the settlement procedure is the same as the above and must be completed within 3 months following the end of each contract year.  If there is still an imbalance amount after this time, the amount is to be settled by ATCO buying or selling the excess or deficiency at ATCO’s core market buy/sell purchase price as of the last day of the 3 month period.</w:t>
      </w:r>
    </w:p>
    <w:p>
      <w:pPr>
        <w:pStyle w:val="Body"/>
        <w:spacing w:before="120" w:after="120"/>
        <w:jc w:val="both"/>
        <w:rPr/>
      </w:pPr>
      <w:r>
        <w:rPr/>
        <w:t>B.</w:t>
        <w:tab/>
        <w:t xml:space="preserve">Practical Balancing Information </w:t>
      </w:r>
    </w:p>
    <w:p>
      <w:pPr>
        <w:pStyle w:val="Heading"/>
        <w:ind w:start="720" w:end="0"/>
        <w:jc w:val="both"/>
        <w:rPr>
          <w:b w:val="false"/>
          <w:bCs/>
          <w:color w:val="000080"/>
          <w:sz w:val="20"/>
        </w:rPr>
      </w:pPr>
      <w:r>
        <w:rPr>
          <w:b w:val="false"/>
          <w:bCs/>
          <w:color w:val="000080"/>
          <w:sz w:val="20"/>
        </w:rPr>
        <w:t xml:space="preserve">Before the start of each month we send to ATCO our nomination request for gas for the Rate 11 accounts using the normalized volume from for the sites. </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About the 3rd business day of the month ATCO gas gives us a “Nomination” report with what they believe are the nominated gas amounts for both the North and South accounts. ATCO uses historical consumption information and adds on a percentage for UFG. We us this information to adjust our nomination amount with ATCO to be delivered to our Rate 11 accounts for the remainder of the month, to total for the month to ATCO’s nomination numbers.</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We get no further consumption information from ATCO on the Rate 11 accounts for the remainder of the month. We do get meter read information when each cycle is read, this is the information we use to bill the customer, but this does not tie easily into the daily or even monthly consumption.</w:t>
      </w:r>
    </w:p>
    <w:p>
      <w:pPr>
        <w:pStyle w:val="Heading"/>
        <w:jc w:val="both"/>
        <w:rPr>
          <w:b w:val="false"/>
          <w:bCs/>
          <w:color w:val="000080"/>
          <w:sz w:val="20"/>
        </w:rPr>
      </w:pPr>
      <w:r>
        <w:rPr>
          <w:b w:val="false"/>
          <w:bCs/>
          <w:color w:val="000080"/>
          <w:sz w:val="20"/>
        </w:rPr>
      </w:r>
    </w:p>
    <w:p>
      <w:pPr>
        <w:pStyle w:val="Heading"/>
        <w:ind w:start="720" w:end="0"/>
        <w:jc w:val="both"/>
        <w:rPr/>
      </w:pPr>
      <w:r>
        <w:rPr>
          <w:b w:val="false"/>
          <w:bCs/>
          <w:color w:val="000080"/>
          <w:sz w:val="20"/>
        </w:rPr>
        <w:t>On the 3</w:t>
      </w:r>
      <w:r>
        <w:rPr>
          <w:b w:val="false"/>
          <w:bCs/>
          <w:color w:val="000080"/>
          <w:sz w:val="20"/>
          <w:vertAlign w:val="superscript"/>
        </w:rPr>
        <w:t>rd</w:t>
      </w:r>
      <w:r>
        <w:rPr>
          <w:b w:val="false"/>
          <w:bCs/>
          <w:color w:val="000080"/>
          <w:sz w:val="20"/>
        </w:rPr>
        <w:t xml:space="preserve"> business day of the next month we get an “Imbalance Calculation” report from ATCO that shows the receipts taken into our account for the month, this is the amount we nominated to ATCO, (plus an adjustment for the prior months imbalance) The deliveries made for the month (meter readings completed during the month as well as estimated amounts for the month for meters not read.</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An amount for UFG is calculated for both the North and South and added to the deliveries. The difference between the receipts and deliveries is calculated and the current month imbalance is calculated.</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This imbalance amount is added to the “Nomination” report for the next month, which sets the monthly and daily receipt (nomination amount) for the Rate 11 accounts.</w:t>
      </w:r>
    </w:p>
    <w:p>
      <w:pPr>
        <w:pStyle w:val="Heading"/>
        <w:jc w:val="both"/>
        <w:rPr>
          <w:b w:val="false"/>
          <w:bCs/>
          <w:color w:val="000080"/>
          <w:sz w:val="20"/>
        </w:rPr>
      </w:pPr>
      <w:r>
        <w:rPr>
          <w:b w:val="false"/>
          <w:bCs/>
          <w:color w:val="000080"/>
          <w:sz w:val="20"/>
        </w:rPr>
      </w:r>
    </w:p>
    <w:p>
      <w:pPr>
        <w:pStyle w:val="Heading"/>
        <w:ind w:firstLine="720" w:end="0"/>
        <w:jc w:val="both"/>
        <w:rPr>
          <w:color w:val="000080"/>
          <w:sz w:val="20"/>
        </w:rPr>
      </w:pPr>
      <w:r>
        <w:rPr>
          <w:b w:val="false"/>
          <w:bCs/>
          <w:color w:val="000080"/>
          <w:sz w:val="20"/>
        </w:rPr>
        <w:t>Currently these imbalances are drawn from to or from the Rate 13 accounts for Boardwalk.</w:t>
      </w:r>
    </w:p>
    <w:p>
      <w:pPr>
        <w:pStyle w:val="Body"/>
        <w:spacing w:before="120" w:after="120"/>
        <w:jc w:val="both"/>
        <w:rPr>
          <w:b/>
          <w:bCs/>
          <w:color w:val="000080"/>
          <w:sz w:val="20"/>
        </w:rPr>
      </w:pPr>
      <w:r>
        <w:rPr>
          <w:b/>
          <w:bCs/>
          <w:color w:val="000080"/>
          <w:sz w:val="20"/>
        </w:rPr>
      </w:r>
    </w:p>
    <w:p>
      <w:pPr>
        <w:pStyle w:val="Body"/>
        <w:spacing w:before="120" w:after="120"/>
        <w:jc w:val="both"/>
        <w:rPr>
          <w:b/>
          <w:bCs/>
        </w:rPr>
      </w:pPr>
      <w:r>
        <w:rPr>
          <w:b/>
          <w:bCs/>
        </w:rPr>
      </w:r>
    </w:p>
    <w:p>
      <w:pPr>
        <w:pStyle w:val="Body"/>
        <w:spacing w:before="120" w:after="120"/>
        <w:jc w:val="both"/>
        <w:rPr>
          <w:b/>
          <w:bCs/>
        </w:rPr>
      </w:pPr>
      <w:r>
        <w:rPr>
          <w:b/>
          <w:bCs/>
        </w:rPr>
        <w:t>3.</w:t>
        <w:tab/>
        <w:t>Electricity Transactions</w:t>
      </w:r>
    </w:p>
    <w:p>
      <w:pPr>
        <w:pStyle w:val="Body"/>
        <w:spacing w:before="120" w:after="120"/>
        <w:jc w:val="both"/>
        <w:rPr/>
      </w:pPr>
      <w:r>
        <w:rPr/>
        <w:t>A.</w:t>
        <w:tab/>
        <w:t>Legal Requirements:</w:t>
      </w:r>
    </w:p>
    <w:p>
      <w:pPr>
        <w:pStyle w:val="Body"/>
        <w:spacing w:before="120" w:after="120"/>
        <w:ind w:start="717" w:end="0"/>
        <w:jc w:val="both"/>
        <w:rPr/>
      </w:pPr>
      <w:r>
        <w:rPr/>
        <w:t xml:space="preserve">Under the Power Pool of Alberta (“Power Pool”) Participant Agreement, Enron Direct has agreed to abide by and perform its obligations under the Power Pool Rules and the Power Pool Rules set out the procedures for settlement.  </w:t>
      </w:r>
    </w:p>
    <w:p>
      <w:pPr>
        <w:pStyle w:val="Body"/>
        <w:spacing w:before="120" w:after="120"/>
        <w:ind w:hanging="720" w:start="1437" w:end="0"/>
        <w:jc w:val="both"/>
        <w:rPr/>
      </w:pPr>
      <w:r>
        <w:rPr/>
        <w:t>1.</w:t>
        <w:tab/>
        <w:t>As currently drafted, the Power Pool Rules require Enron Direct to pay, for each 60 minute period during a calendar month, the net amount of electricity deemed to be received by Enron Direct during that period according to the Power Pool database (taking into account consumption, allocations, and any direct sales or forward positions) multiplied by the Power Pool price for that hour.</w:t>
      </w:r>
    </w:p>
    <w:p>
      <w:pPr>
        <w:pStyle w:val="Body"/>
        <w:spacing w:before="120" w:after="120"/>
        <w:ind w:hanging="720" w:start="1437" w:end="0"/>
        <w:jc w:val="both"/>
        <w:rPr/>
      </w:pPr>
      <w:r>
        <w:rPr/>
        <w:t>2.</w:t>
        <w:tab/>
        <w:t xml:space="preserve">An interim invoice is to be issued by the Power Pool to Enron Direct within 5 business days of the final hour of each calendar month.  </w:t>
      </w:r>
    </w:p>
    <w:p>
      <w:pPr>
        <w:pStyle w:val="Body"/>
        <w:numPr>
          <w:ilvl w:val="1"/>
          <w:numId w:val="2"/>
        </w:numPr>
        <w:spacing w:before="120" w:after="120"/>
        <w:jc w:val="both"/>
        <w:rPr/>
      </w:pPr>
      <w:r>
        <w:rPr/>
        <w:t xml:space="preserve">A final invoice is to be issued no later than 15 business days after the final hour of each calendar month. </w:t>
      </w:r>
    </w:p>
    <w:p>
      <w:pPr>
        <w:pStyle w:val="Body"/>
        <w:numPr>
          <w:ilvl w:val="1"/>
          <w:numId w:val="2"/>
        </w:numPr>
        <w:spacing w:before="120" w:after="120"/>
        <w:jc w:val="both"/>
        <w:rPr/>
      </w:pPr>
      <w:r>
        <w:rPr/>
        <w:t>Enron Direct is required to settle the account on the 20</w:t>
      </w:r>
      <w:r>
        <w:rPr>
          <w:vertAlign w:val="superscript"/>
        </w:rPr>
        <w:t>th</w:t>
      </w:r>
      <w:r>
        <w:rPr/>
        <w:t xml:space="preserve"> business day following the final hour of each calendar month.</w:t>
      </w:r>
    </w:p>
    <w:p>
      <w:pPr>
        <w:pStyle w:val="Body"/>
        <w:spacing w:before="120" w:after="120"/>
        <w:ind w:start="720" w:end="0"/>
        <w:jc w:val="both"/>
        <w:rPr/>
      </w:pPr>
      <w:r>
        <w:rPr/>
        <w:t>Please note that the Power Pool Rules are subject to change (and have changed considerably over the last 12 months).</w:t>
      </w:r>
    </w:p>
    <w:p>
      <w:pPr>
        <w:pStyle w:val="Body"/>
        <w:numPr>
          <w:ilvl w:val="0"/>
          <w:numId w:val="2"/>
        </w:numPr>
        <w:spacing w:before="120" w:after="120"/>
        <w:jc w:val="both"/>
        <w:rPr/>
      </w:pPr>
      <w:r>
        <w:rPr/>
        <w:t>Practical Information:</w:t>
      </w:r>
    </w:p>
    <w:p>
      <w:pPr>
        <w:pStyle w:val="Normal"/>
        <w:ind w:start="717" w:end="0"/>
        <w:jc w:val="both"/>
        <w:rPr>
          <w:color w:val="000080"/>
          <w:sz w:val="20"/>
        </w:rPr>
      </w:pPr>
      <w:r>
        <w:rPr>
          <w:color w:val="000080"/>
          <w:sz w:val="20"/>
        </w:rPr>
        <w:t>Unlike gas the practical requirements are not different from the legal requirements.  However there is an industry problem that should be noted.</w:t>
      </w:r>
    </w:p>
    <w:p>
      <w:pPr>
        <w:pStyle w:val="Normal"/>
        <w:jc w:val="both"/>
        <w:rPr>
          <w:color w:val="000080"/>
          <w:sz w:val="20"/>
        </w:rPr>
      </w:pPr>
      <w:r>
        <w:rPr>
          <w:color w:val="000080"/>
          <w:sz w:val="20"/>
        </w:rPr>
      </w:r>
    </w:p>
    <w:p>
      <w:pPr>
        <w:pStyle w:val="Normal"/>
        <w:ind w:start="717" w:end="0"/>
        <w:jc w:val="both"/>
        <w:rPr/>
      </w:pPr>
      <w:r>
        <w:rPr>
          <w:color w:val="000080"/>
          <w:sz w:val="20"/>
        </w:rPr>
        <w:t>The Load Settlement Agents (LSA’s) provide the Power Pool with settlement information for each retailer in its territory.  This settlement information includes unaccounted for energy (“UFE”) and line losses.  The initial settlement results (3 days after power flows) forms the basis for Enron Direct’s financial settlement with the Power Pool on the 20</w:t>
      </w:r>
      <w:r>
        <w:rPr>
          <w:color w:val="000080"/>
          <w:sz w:val="20"/>
          <w:vertAlign w:val="superscript"/>
        </w:rPr>
        <w:t>th</w:t>
      </w:r>
      <w:r>
        <w:rPr>
          <w:color w:val="000080"/>
          <w:sz w:val="20"/>
        </w:rPr>
        <w:t xml:space="preserve"> Business day of the month following power flow.  Currently there are problems with the data integrity.  The volume that the Power Pool is billing retailers may be different from the volumes that the Retailer is receiving from the LSA.  There is a sub group of the settlement system group (“SSG”) who is working on how to address this problem.  Secondly, if the retailer is aware that the volumes that they have received from the LSA and Power Pool are incorrect there is no mechanism to correct these volumes prior to interim settlement 75 days after initial settlement.  There have also been instances where the retailer has been aware that site level data is incorrect, however there is no mechanism currently in place to adjust for this prior to interim settlement.  This issue is to be addressed by the Business Issues Group (“BIG”) formed by the government.  Thirdly the initial settlement will always at best be an estimate and subject to adjustment.  </w:t>
      </w:r>
    </w:p>
    <w:p>
      <w:pPr>
        <w:pStyle w:val="Normal"/>
        <w:jc w:val="both"/>
        <w:rPr>
          <w:color w:val="000080"/>
          <w:sz w:val="20"/>
        </w:rPr>
      </w:pPr>
      <w:r>
        <w:rPr>
          <w:color w:val="000080"/>
          <w:sz w:val="20"/>
        </w:rPr>
      </w:r>
    </w:p>
    <w:p>
      <w:pPr>
        <w:pStyle w:val="Normal"/>
        <w:ind w:start="717" w:end="0"/>
        <w:jc w:val="both"/>
        <w:rPr/>
      </w:pPr>
      <w:r>
        <w:rPr>
          <w:color w:val="000080"/>
          <w:sz w:val="20"/>
        </w:rPr>
        <w:t>The impact of the above issues is that even if Enron Direct knows that the volumes are incorrect, they have to financially settle with the Power Pool on the 20</w:t>
      </w:r>
      <w:r>
        <w:rPr>
          <w:color w:val="000080"/>
          <w:sz w:val="20"/>
          <w:vertAlign w:val="superscript"/>
        </w:rPr>
        <w:t>th</w:t>
      </w:r>
      <w:r>
        <w:rPr>
          <w:color w:val="000080"/>
          <w:sz w:val="20"/>
        </w:rPr>
        <w:t xml:space="preserve"> of the month.  We will always have adjustments for accounts after our contract term has expired.   </w:t>
      </w:r>
    </w:p>
    <w:p>
      <w:pPr>
        <w:pStyle w:val="Body"/>
        <w:spacing w:before="120" w:after="120"/>
        <w:ind w:start="0" w:end="0"/>
        <w:jc w:val="both"/>
        <w:rPr>
          <w:b/>
          <w:bCs/>
          <w:color w:val="000080"/>
          <w:sz w:val="20"/>
        </w:rPr>
      </w:pPr>
      <w:r>
        <w:rPr>
          <w:b/>
          <w:bCs/>
          <w:color w:val="000080"/>
          <w:sz w:val="20"/>
        </w:rPr>
      </w:r>
    </w:p>
    <w:p>
      <w:pPr>
        <w:pStyle w:val="Body"/>
        <w:spacing w:before="120" w:after="120"/>
        <w:jc w:val="both"/>
        <w:rPr>
          <w:b/>
          <w:bCs/>
        </w:rPr>
      </w:pPr>
      <w:r>
        <w:rPr>
          <w:b/>
          <w:bCs/>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/mnt/main-storage/datasets/enron-docs/doc/20_Balancing_Requirements_Memo.doc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/mnt/main-storage/datasets/enron-docs/doc/20_Balancing_Requirements_Memo.doc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17"/>
        </w:tabs>
        <w:ind w:start="717" w:hanging="645"/>
      </w:pPr>
      <w:rPr/>
    </w:lvl>
    <w:lvl w:ilvl="1">
      <w:start w:val="3"/>
      <w:numFmt w:val="decimal"/>
      <w:lvlText w:val="%2."/>
      <w:lvlJc w:val="start"/>
      <w:pPr>
        <w:tabs>
          <w:tab w:val="num" w:pos="1512"/>
        </w:tabs>
        <w:ind w:start="1512" w:hanging="720"/>
      </w:pPr>
      <w:r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3">
    <w:lvl w:ilvl="0">
      <w:start w:val="1"/>
      <w:numFmt w:val="decimal"/>
      <w:lvlText w:val="%1."/>
      <w:lvlJc w:val="start"/>
      <w:pPr>
        <w:tabs>
          <w:tab w:val="num" w:pos="1362"/>
        </w:tabs>
        <w:ind w:start="1362" w:hanging="645"/>
      </w:pPr>
      <w:rPr/>
    </w:lvl>
  </w:abstractNum>
  <w:abstractNum w:abstractNumId="4">
    <w:lvl w:ilvl="0">
      <w:start w:val="2"/>
      <w:numFmt w:val="upperLetter"/>
      <w:lvlText w:val="%1."/>
      <w:lvlJc w:val="start"/>
      <w:pPr>
        <w:tabs>
          <w:tab w:val="num" w:pos="717"/>
        </w:tabs>
        <w:ind w:start="717" w:hanging="645"/>
      </w:pPr>
      <w:rPr/>
    </w:lvl>
    <w:lvl w:ilvl="1">
      <w:start w:val="1"/>
      <w:numFmt w:val="decimal"/>
      <w:lvlText w:val="%2."/>
      <w:lvlJc w:val="start"/>
      <w:pPr>
        <w:tabs>
          <w:tab w:val="num" w:pos="1437"/>
        </w:tabs>
        <w:ind w:start="1437" w:hanging="645"/>
      </w:pPr>
      <w:rPr/>
    </w:lvl>
    <w:lvl w:ilvl="2">
      <w:start w:val="1"/>
      <w:numFmt w:val="lowerLetter"/>
      <w:lvlText w:val="%3."/>
      <w:lvlJc w:val="start"/>
      <w:pPr>
        <w:tabs>
          <w:tab w:val="num" w:pos="2052"/>
        </w:tabs>
        <w:ind w:start="2052" w:hanging="360"/>
      </w:pPr>
      <w:r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rFonts w:ascii="Times New Roman" w:hAnsi="Times New Roman" w:eastAsia="Times New Roman" w:cs="Times New Roman"/>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ascii="Times New Roman" w:hAnsi="Times New Roman" w:cs="Times New Roman"/>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2001-05-22T18:50:00Z</dcterms:created>
  <dc:creator>ncappel</dc:creator>
  <dc:description/>
  <dc:language>en-CA</dc:language>
  <cp:lastModifiedBy>mark powell</cp:lastModifiedBy>
  <cp:lastPrinted>2001-05-18T11:26:00Z</cp:lastPrinted>
  <dcterms:modified xsi:type="dcterms:W3CDTF">2001-05-22T18:50:00Z</dcterms:modified>
  <cp:revision>2</cp:revision>
  <dc:subject/>
  <dc:title>Eron Capital &amp; Trade Resources Memo</dc:title>
</cp:coreProperties>
</file>