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20" w:leader="none"/>
          <w:tab w:val="left" w:pos="6480" w:leader="none"/>
        </w:tabs>
        <w:autoSpaceDE w:val="false"/>
        <w:rPr>
          <w:rFonts w:ascii="Arial" w:hAnsi="Arial" w:cs="Arial"/>
          <w:color w:val="000000"/>
          <w:sz w:val="20"/>
          <w:szCs w:val="20"/>
        </w:rPr>
      </w:pPr>
      <w:r>
        <w:rPr>
          <w:rFonts w:cs="Arial" w:ascii="Arial" w:hAnsi="Arial"/>
          <w:color w:val="000000"/>
          <w:sz w:val="20"/>
          <w:szCs w:val="20"/>
        </w:rPr>
        <w:tab/>
        <w:t xml:space="preserve">Distribution: </w:t>
        <w:tab/>
        <w:t>Reference:</w:t>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Customer </w:t>
        <w:tab/>
        <w:t>Elect. Acct.</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rFonts w:ascii="Arial" w:hAnsi="Arial" w:cs="Arial"/>
          <w:color w:val="000000"/>
          <w:sz w:val="20"/>
          <w:szCs w:val="20"/>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Division </w:t>
        <w:tab/>
        <w:t>Premises No.</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T&amp;C </w:t>
        <w:tab/>
        <w:t>Control No.</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Cust. Actg. </w:t>
        <w:tab/>
        <w:t>Acct. Rep.</w:t>
      </w:r>
      <w:r>
        <w:rPr>
          <w:rFonts w:cs="Arial" w:ascii="Arial" w:hAnsi="Arial"/>
          <w:color w:val="000000"/>
          <w:sz w:val="20"/>
          <w:szCs w:val="20"/>
          <w:u w:val="single"/>
        </w:rPr>
        <w:tab/>
      </w:r>
    </w:p>
    <w:p>
      <w:pPr>
        <w:pStyle w:val="Normal"/>
        <w:tabs>
          <w:tab w:val="clear" w:pos="720"/>
          <w:tab w:val="left" w:pos="4320" w:leader="none"/>
          <w:tab w:val="left" w:pos="6480" w:leader="none"/>
          <w:tab w:val="right" w:pos="9270" w:leader="none"/>
        </w:tabs>
        <w:autoSpaceDE w:val="false"/>
        <w:rPr/>
      </w:pPr>
      <w:r>
        <w:rPr>
          <w:rFonts w:cs="Arial" w:ascii="Arial" w:hAnsi="Arial"/>
          <w:color w:val="000000"/>
          <w:sz w:val="20"/>
          <w:szCs w:val="20"/>
        </w:rPr>
        <w:tab/>
      </w:r>
      <w:r>
        <w:rPr>
          <w:rFonts w:eastAsia="Wingdings" w:cs="Wingdings" w:ascii="Wingdings" w:hAnsi="Wingdings"/>
          <w:color w:val="000000"/>
          <w:sz w:val="20"/>
          <w:szCs w:val="20"/>
        </w:rPr>
        <w:sym w:font="Wingdings" w:char="f06f"/>
      </w:r>
      <w:r>
        <w:rPr>
          <w:rFonts w:cs="Arial" w:ascii="Arial" w:hAnsi="Arial"/>
          <w:color w:val="000000"/>
          <w:sz w:val="20"/>
          <w:szCs w:val="20"/>
        </w:rPr>
        <w:t xml:space="preserve"> Elec. Supply </w:t>
        <w:tab/>
        <w:t>Rep. Ph. No.</w:t>
      </w:r>
      <w:r>
        <w:rPr>
          <w:rFonts w:cs="Arial" w:ascii="Arial" w:hAnsi="Arial"/>
          <w:color w:val="000000"/>
          <w:sz w:val="20"/>
          <w:szCs w:val="20"/>
          <w:u w:val="single"/>
        </w:rPr>
        <w:tab/>
      </w:r>
    </w:p>
    <w:p>
      <w:pPr>
        <w:pStyle w:val="Normal"/>
        <w:autoSpaceDE w:val="false"/>
        <w:rPr>
          <w:rFonts w:ascii="Arial" w:hAnsi="Arial" w:cs="Arial"/>
          <w:color w:val="000000"/>
          <w:sz w:val="20"/>
          <w:szCs w:val="20"/>
          <w:u w:val="single"/>
        </w:rPr>
      </w:pPr>
      <w:r>
        <w:rPr>
          <w:rFonts w:cs="Arial" w:ascii="Arial" w:hAnsi="Arial"/>
          <w:color w:val="000000"/>
          <w:sz w:val="20"/>
          <w:szCs w:val="20"/>
          <w:u w:val="single"/>
        </w:rPr>
      </w:r>
    </w:p>
    <w:p>
      <w:pPr>
        <w:pStyle w:val="Normal"/>
        <w:autoSpaceDE w:val="false"/>
        <w:jc w:val="center"/>
        <w:rPr>
          <w:rFonts w:ascii="Arial" w:hAnsi="Arial" w:cs="Arial"/>
          <w:b/>
          <w:bCs/>
          <w:color w:val="000000"/>
          <w:sz w:val="20"/>
        </w:rPr>
      </w:pPr>
      <w:r>
        <w:rPr>
          <w:rFonts w:cs="Arial" w:ascii="Arial" w:hAnsi="Arial"/>
          <w:b/>
          <w:bCs/>
          <w:color w:val="000000"/>
          <w:sz w:val="20"/>
        </w:rPr>
        <w:t>Pacific Gas and Electric Company</w:t>
      </w:r>
    </w:p>
    <w:p>
      <w:pPr>
        <w:pStyle w:val="Heading1"/>
        <w:ind w:hanging="0" w:start="0"/>
        <w:jc w:val="center"/>
        <w:rPr>
          <w:sz w:val="20"/>
        </w:rPr>
      </w:pPr>
      <w:r>
        <w:rPr>
          <w:sz w:val="20"/>
        </w:rPr>
        <w:t>INTERRUPTIBLE PROGRAM AGREEMENT</w:t>
      </w:r>
    </w:p>
    <w:p>
      <w:pPr>
        <w:pStyle w:val="Header"/>
        <w:tabs>
          <w:tab w:val="clear" w:pos="4320"/>
          <w:tab w:val="clear" w:pos="8640"/>
        </w:tabs>
        <w:rPr>
          <w:sz w:val="20"/>
        </w:rPr>
      </w:pPr>
      <w:r>
        <w:rPr>
          <w:sz w:val="20"/>
        </w:rPr>
      </w:r>
    </w:p>
    <w:p>
      <w:pPr>
        <w:pStyle w:val="BodyText"/>
        <w:keepLines/>
        <w:rPr/>
      </w:pPr>
      <w:r>
        <w:rPr/>
        <w:t>_________________________________________, a(n)______________________________________ (Applicant), and Pacific Gas and Electric Company, a California Corporation (PG&amp;E), hereby agree to the following supplemental terms and conditions:</w:t>
      </w:r>
    </w:p>
    <w:p>
      <w:pPr>
        <w:pStyle w:val="Normal"/>
        <w:keepLines/>
        <w:autoSpaceDE w:val="false"/>
        <w:rPr>
          <w:rFonts w:ascii="Arial" w:hAnsi="Arial" w:cs="Arial"/>
          <w:color w:val="000000"/>
          <w:sz w:val="20"/>
          <w:szCs w:val="20"/>
        </w:rPr>
      </w:pPr>
      <w:r>
        <w:rPr>
          <w:rFonts w:cs="Arial" w:ascii="Arial" w:hAnsi="Arial"/>
          <w:color w:val="000000"/>
          <w:sz w:val="20"/>
          <w:szCs w:val="20"/>
        </w:rPr>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PROGRAM</w:t>
      </w:r>
      <w:r>
        <w:rPr>
          <w:rFonts w:cs="Arial" w:ascii="Arial" w:hAnsi="Arial"/>
          <w:color w:val="000000"/>
          <w:sz w:val="20"/>
          <w:szCs w:val="20"/>
        </w:rPr>
        <w:t xml:space="preserve"> - Applicant will be participating in the following PG&amp;E interruptible program(s), a copy of which is attached hereto and made a part of this Agreement. (Check as appropriate)</w:t>
      </w:r>
    </w:p>
    <w:p>
      <w:pPr>
        <w:pStyle w:val="Normal"/>
        <w:keepLines/>
        <w:numPr>
          <w:ilvl w:val="0"/>
          <w:numId w:val="2"/>
        </w:numPr>
        <w:autoSpaceDE w:val="false"/>
        <w:rPr>
          <w:rFonts w:ascii="Arial" w:hAnsi="Arial" w:cs="Arial"/>
          <w:color w:val="000000"/>
          <w:sz w:val="20"/>
          <w:szCs w:val="20"/>
        </w:rPr>
      </w:pPr>
      <w:r>
        <w:rPr>
          <w:rFonts w:cs="Arial" w:ascii="Arial" w:hAnsi="Arial"/>
          <w:color w:val="000000"/>
          <w:sz w:val="20"/>
          <w:szCs w:val="20"/>
        </w:rPr>
        <w:t>Schedule E-BIP – BASE INTERRUPTIBLE PROGRAM</w:t>
      </w:r>
    </w:p>
    <w:p>
      <w:pPr>
        <w:pStyle w:val="Normal"/>
        <w:keepLines/>
        <w:numPr>
          <w:ilvl w:val="0"/>
          <w:numId w:val="2"/>
        </w:numPr>
        <w:autoSpaceDE w:val="false"/>
        <w:spacing w:before="0" w:after="240"/>
        <w:rPr>
          <w:rFonts w:ascii="Arial" w:hAnsi="Arial" w:cs="Arial"/>
          <w:color w:val="000000"/>
          <w:sz w:val="20"/>
          <w:szCs w:val="20"/>
        </w:rPr>
      </w:pPr>
      <w:r>
        <w:rPr>
          <w:rFonts w:cs="Arial" w:ascii="Arial" w:hAnsi="Arial"/>
          <w:color w:val="000000"/>
          <w:sz w:val="20"/>
          <w:szCs w:val="20"/>
        </w:rPr>
        <w:t xml:space="preserve">Schedule E-VDRP </w:t>
        <w:noBreakHyphen/>
        <w:t xml:space="preserve"> VOLUNTARY DEMAND RESPONSE PROGRAM</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ELIGIBILITY</w:t>
      </w:r>
      <w:r>
        <w:rPr>
          <w:rFonts w:cs="Arial" w:ascii="Arial" w:hAnsi="Arial"/>
          <w:color w:val="000000"/>
          <w:sz w:val="20"/>
          <w:szCs w:val="20"/>
        </w:rPr>
        <w:t xml:space="preserve"> – Applicant meets or exceeds all eligibility requirements set forth in the Rate Schedule.</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PROGRAM OPERATIONS</w:t>
      </w:r>
      <w:r>
        <w:rPr>
          <w:rFonts w:cs="Arial" w:ascii="Arial" w:hAnsi="Arial"/>
          <w:color w:val="000000"/>
          <w:sz w:val="20"/>
          <w:szCs w:val="20"/>
        </w:rPr>
        <w:t xml:space="preserve"> – The California Independent System Operator (CAISO) </w:t>
      </w:r>
      <w:r>
        <w:rPr>
          <w:rFonts w:cs="Arial" w:ascii="Arial" w:hAnsi="Arial"/>
          <w:sz w:val="20"/>
        </w:rPr>
        <w:t>based on its forecasted system conditions and operating procedures</w:t>
      </w:r>
      <w:r>
        <w:rPr>
          <w:rFonts w:cs="Arial" w:ascii="Arial" w:hAnsi="Arial"/>
          <w:color w:val="000000"/>
          <w:sz w:val="20"/>
          <w:szCs w:val="20"/>
        </w:rPr>
        <w:t xml:space="preserve"> may request PG&amp;E to operate all or part of one or more interruptible program.  Operating parameters for each program are described in the respective Rate Schedule.  Applicant agrees to use PG&amp;E’s Inter-Act software to respond to a curtailment event.  In the occurrence of a curtailment event, customers on the appropriate program will be notified using one or more of the following: electronic mail (e-mail), paging system, and the Internet web site for the programs.  Receipt of such notice is the responsibility of the participant.  PG&amp;E does not guarantee the reliability of the pager system, e-mail system or Internet site by which the customer receives notification regarding program operations.</w:t>
      </w:r>
    </w:p>
    <w:p>
      <w:pPr>
        <w:pStyle w:val="Normal"/>
        <w:keepLines/>
        <w:numPr>
          <w:ilvl w:val="0"/>
          <w:numId w:val="4"/>
        </w:numPr>
        <w:autoSpaceDE w:val="false"/>
        <w:spacing w:before="0" w:after="200"/>
        <w:rPr>
          <w:rFonts w:ascii="Arial" w:hAnsi="Arial" w:cs="Arial"/>
          <w:sz w:val="20"/>
        </w:rPr>
      </w:pPr>
      <w:r>
        <w:rPr>
          <w:rFonts w:cs="Arial" w:ascii="Arial" w:hAnsi="Arial"/>
          <w:color w:val="000000"/>
          <w:sz w:val="20"/>
          <w:szCs w:val="20"/>
          <w:u w:val="single"/>
        </w:rPr>
        <w:t>PROGRAM INCENTIVES</w:t>
      </w:r>
      <w:r>
        <w:rPr>
          <w:rFonts w:cs="Arial" w:ascii="Arial" w:hAnsi="Arial"/>
          <w:color w:val="000000"/>
          <w:sz w:val="20"/>
          <w:szCs w:val="20"/>
        </w:rPr>
        <w:t xml:space="preserve"> – Participants on PG&amp;E’s interruptible programs will receive a financial incentive for their participation as described in the attached Rate Schedule. </w:t>
      </w:r>
    </w:p>
    <w:p>
      <w:pPr>
        <w:pStyle w:val="Normal"/>
        <w:keepLines/>
        <w:numPr>
          <w:ilvl w:val="0"/>
          <w:numId w:val="4"/>
        </w:numPr>
        <w:autoSpaceDE w:val="false"/>
        <w:spacing w:before="0" w:after="200"/>
        <w:rPr>
          <w:rFonts w:ascii="Arial" w:hAnsi="Arial" w:cs="Arial"/>
          <w:sz w:val="20"/>
          <w:u w:val="single"/>
        </w:rPr>
      </w:pPr>
      <w:r>
        <w:rPr>
          <w:rFonts w:cs="Arial" w:ascii="Arial" w:hAnsi="Arial"/>
          <w:color w:val="000000"/>
          <w:sz w:val="20"/>
          <w:szCs w:val="20"/>
          <w:u w:val="single"/>
        </w:rPr>
        <w:t>INTERACTION WITH CUSTOMER’S OTHER APPLICABLE INTERRUPTIBLE PROGRAMS AND CHARGES</w:t>
      </w:r>
    </w:p>
    <w:p>
      <w:pPr>
        <w:pStyle w:val="RateBody"/>
        <w:numPr>
          <w:ilvl w:val="1"/>
          <w:numId w:val="4"/>
        </w:numPr>
        <w:rPr>
          <w:rFonts w:cs="Arial"/>
          <w:sz w:val="20"/>
        </w:rPr>
      </w:pPr>
      <w:r>
        <w:rPr>
          <w:rFonts w:cs="Arial"/>
          <w:sz w:val="20"/>
        </w:rPr>
        <w:t>Participating customers’ regular electric service bills will continue to be calculated each month based on their actual recorded monthly demands and energy usage.</w:t>
      </w:r>
    </w:p>
    <w:p>
      <w:pPr>
        <w:pStyle w:val="RateBody"/>
        <w:numPr>
          <w:ilvl w:val="1"/>
          <w:numId w:val="4"/>
        </w:numPr>
        <w:rPr>
          <w:rFonts w:cs="Arial"/>
          <w:color w:val="000000"/>
          <w:sz w:val="20"/>
        </w:rPr>
      </w:pPr>
      <w:r>
        <w:rPr>
          <w:rFonts w:cs="Arial"/>
          <w:color w:val="000000"/>
          <w:sz w:val="20"/>
        </w:rPr>
        <w:t>Customers who participate in a CAISO or a third-party sponsored interruptible load program must immediately notify PG&amp;E of such activity.</w:t>
      </w:r>
    </w:p>
    <w:p>
      <w:pPr>
        <w:pStyle w:val="RateBody"/>
        <w:numPr>
          <w:ilvl w:val="1"/>
          <w:numId w:val="4"/>
        </w:numPr>
        <w:rPr>
          <w:rFonts w:cs="Arial"/>
          <w:sz w:val="20"/>
        </w:rPr>
      </w:pPr>
      <w:r>
        <w:rPr>
          <w:rFonts w:cs="Arial"/>
          <w:sz w:val="20"/>
        </w:rPr>
        <w:t>Load can only be committed to one interruptible program for any given hour of a curtailment, and customers will be paid for performance under only one program for a given load reduction. Customers currently enrolled in a PG&amp;E interruptible program, or the CAISO’s Demand Response Program (DRP), must complete all annual obligations to that program before being eligible for E-BIP.  E-BIP and E-VDRP customers shall not participate in the CAISO’s Ancillary Services Load Program.  Customers in an OBMC plan shall not participate in E-BIP.  Customers in E-VDRP shall not participate in a third party’s pay for performance program.</w:t>
      </w:r>
    </w:p>
    <w:p>
      <w:pPr>
        <w:pStyle w:val="RateBody"/>
        <w:rPr>
          <w:rFonts w:cs="Arial"/>
          <w:sz w:val="20"/>
        </w:rPr>
      </w:pPr>
      <w:r>
        <w:rPr>
          <w:rFonts w:cs="Arial"/>
          <w:sz w:val="20"/>
        </w:rPr>
      </w:r>
    </w:p>
    <w:p>
      <w:pPr>
        <w:pStyle w:val="RateBody"/>
        <w:rPr>
          <w:rFonts w:cs="Arial"/>
          <w:sz w:val="20"/>
        </w:rPr>
      </w:pPr>
      <w:r>
        <w:rPr>
          <w:rFonts w:cs="Arial"/>
          <w:sz w:val="20"/>
        </w:rPr>
      </w:r>
    </w:p>
    <w:p>
      <w:pPr>
        <w:pStyle w:val="RateBody"/>
        <w:jc w:val="center"/>
        <w:rPr>
          <w:rFonts w:cs="Arial"/>
          <w:sz w:val="20"/>
        </w:rPr>
      </w:pPr>
      <w:r>
        <w:rPr>
          <w:b/>
          <w:bCs/>
          <w:sz w:val="20"/>
        </w:rPr>
        <w:t>INTERRUPTIBLE PROGRAM AGREEMENT (Continued)</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REQUIRED EQUIPMENT</w:t>
      </w:r>
      <w:r>
        <w:rPr>
          <w:rFonts w:cs="Arial" w:ascii="Arial" w:hAnsi="Arial"/>
          <w:color w:val="000000"/>
          <w:sz w:val="20"/>
          <w:szCs w:val="20"/>
        </w:rPr>
        <w:t xml:space="preserve"> - </w:t>
      </w:r>
      <w:r>
        <w:rPr>
          <w:rFonts w:cs="Arial" w:ascii="Arial" w:hAnsi="Arial"/>
          <w:sz w:val="20"/>
          <w:szCs w:val="20"/>
        </w:rPr>
        <w:t>Each account must have telephone-accessible interval meter installed that can be read remotely by PG&amp;E.  In addition, customers must supply an e-mail address and have an alphanumeric pager to receive curtailment notification message sent via the Internet.  A customer cannot participate in the Program until all of these requirements have been satisfied.</w:t>
      </w:r>
    </w:p>
    <w:p>
      <w:pPr>
        <w:pStyle w:val="Normal"/>
        <w:keepLines/>
        <w:autoSpaceDE w:val="false"/>
        <w:spacing w:before="0" w:after="200"/>
        <w:ind w:start="720" w:end="0"/>
        <w:rPr/>
      </w:pPr>
      <w:r>
        <w:rPr>
          <w:rFonts w:cs="Arial" w:ascii="Arial" w:hAnsi="Arial"/>
          <w:sz w:val="20"/>
          <w:szCs w:val="20"/>
        </w:rPr>
        <w:t xml:space="preserve">If required, PG&amp;E will provide and install the metering equipment at no cost to the customer with terms and conditions as stated in the appropriate Rate Schedule.  The customer is responsible for the installation associated with telemetry equipment required for the remote reading or monitoring of the interval meter.  The customer is responsible for the installation of a wired phone line that terminates within 3 feet of the customer’s meter panel and terminates within 18 inches to 72 inches above grade.  The customer is also responsible for any maintenance and repair of the phone line.  The phone line installation must be completed and the phone line operational before PG&amp;E will perform any meter installation work required through this program or before the customer is allowed to participate in the Program.  </w:t>
      </w:r>
      <w:r>
        <w:rPr>
          <w:rFonts w:cs="Arial" w:ascii="Arial" w:hAnsi="Arial"/>
          <w:color w:val="000000"/>
          <w:sz w:val="20"/>
          <w:szCs w:val="20"/>
        </w:rPr>
        <w:t>For a situation in which it is not feasible for the telephone company to install a wired phone line, the customer shall arrange for a cellular telemetry system to be installed and activated.</w:t>
      </w:r>
    </w:p>
    <w:p>
      <w:pPr>
        <w:pStyle w:val="Normal"/>
        <w:keepLines/>
        <w:autoSpaceDE w:val="false"/>
        <w:spacing w:before="0" w:after="200"/>
        <w:ind w:start="720" w:end="0"/>
        <w:rPr>
          <w:rFonts w:ascii="Arial" w:hAnsi="Arial" w:cs="Arial"/>
          <w:color w:val="000000"/>
          <w:sz w:val="20"/>
          <w:szCs w:val="20"/>
        </w:rPr>
      </w:pPr>
      <w:r>
        <w:rPr>
          <w:rFonts w:cs="Arial" w:ascii="Arial" w:hAnsi="Arial"/>
          <w:color w:val="000000"/>
          <w:sz w:val="20"/>
          <w:szCs w:val="20"/>
        </w:rPr>
        <w:t>The customer is responsible for placing the phone service in their name and payment of the phone bills directly to the phone service provider.  PG&amp;E may withhold incentive payments to a customer if PG&amp;E is unable to remotely access the interval meter due to failure of telemetry equipment or phone line.</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PROGRAM TERMS</w:t>
      </w:r>
      <w:r>
        <w:rPr>
          <w:rFonts w:cs="Arial" w:ascii="Arial" w:hAnsi="Arial"/>
          <w:color w:val="000000"/>
          <w:sz w:val="20"/>
          <w:szCs w:val="20"/>
        </w:rPr>
        <w:t xml:space="preserve"> - Programs are available during the period beginning with Commission approval and ending December 31, 2002.  Customers eligible to participate in a Program(s) will remain on the Program until the program is terminated, unless the customer cancels its Agreement during the November Review Period (November 1 – November 30) each year.  Customer shall provide written notification of such changes to PG&amp;E.  Cancellation of agreements will take effect January 1 of the following year.</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INSTALLATION OF FACILITIES</w:t>
      </w:r>
      <w:r>
        <w:rPr>
          <w:rFonts w:cs="Arial" w:ascii="Arial" w:hAnsi="Arial"/>
          <w:color w:val="000000"/>
          <w:sz w:val="20"/>
          <w:szCs w:val="20"/>
        </w:rPr>
        <w:t xml:space="preserve"> - Applicant hereby grants PG&amp;E permission to furnish, install, operate and maintain upon the property of Applicant, such facilities as PG&amp;E deems necessary for its performance under this Agreement, including any work incident to rendering service under this Agreement. All facilities installed pursuant to this license shall be, and remain, the property of PG&amp;E. This license shall expire coincident with the expiration or termination of this Agreement and PG&amp;E shall have a reasonable period of time to remove facilities installed pursuant to this Agreement and license.</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ASSIGNMENT</w:t>
      </w:r>
      <w:r>
        <w:rPr>
          <w:rFonts w:cs="Arial" w:ascii="Arial" w:hAnsi="Arial"/>
          <w:color w:val="000000"/>
          <w:sz w:val="20"/>
          <w:szCs w:val="20"/>
        </w:rPr>
        <w:t xml:space="preserve"> - Applicant may assign this Agreement only if PG&amp;E consents in writing and only if the party to whom the Agreement is assigned is otherwise eligible to take service under the attached Rate Schedule, and agrees in writing to perform the obligations of Applicant hereunder and to be bound by this Agreement in all respects.</w:t>
      </w:r>
    </w:p>
    <w:p>
      <w:pPr>
        <w:pStyle w:val="Normal"/>
        <w:keepLines/>
        <w:numPr>
          <w:ilvl w:val="0"/>
          <w:numId w:val="4"/>
        </w:numPr>
        <w:autoSpaceDE w:val="false"/>
        <w:spacing w:before="0" w:after="200"/>
        <w:rPr>
          <w:rFonts w:ascii="Arial" w:hAnsi="Arial" w:cs="Arial"/>
          <w:color w:val="000000"/>
          <w:sz w:val="20"/>
          <w:szCs w:val="20"/>
        </w:rPr>
      </w:pPr>
      <w:r>
        <w:rPr>
          <w:rFonts w:cs="Arial" w:ascii="Arial" w:hAnsi="Arial"/>
          <w:color w:val="000000"/>
          <w:sz w:val="20"/>
          <w:szCs w:val="20"/>
          <w:u w:val="single"/>
        </w:rPr>
        <w:t>COMMISSION JURISDICTION</w:t>
      </w:r>
      <w:r>
        <w:rPr>
          <w:rFonts w:cs="Arial" w:ascii="Arial" w:hAnsi="Arial"/>
          <w:color w:val="000000"/>
          <w:sz w:val="20"/>
          <w:szCs w:val="20"/>
        </w:rPr>
        <w:t xml:space="preserve"> - This Agreement shall be subject to all of PG&amp;E's tariff schedules on file with and authorized by the California Public Utilities Commission (Commission) and shall at all times be subject to such changes or modifications as the Commission may direct from time to time in the exercise of its jurisdiction.</w:t>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jc w:val="center"/>
        <w:rPr>
          <w:rFonts w:ascii="Arial" w:hAnsi="Arial" w:cs="Arial"/>
          <w:color w:val="000000"/>
          <w:sz w:val="20"/>
          <w:szCs w:val="20"/>
        </w:rPr>
      </w:pPr>
      <w:r>
        <w:rPr>
          <w:rFonts w:cs="Arial" w:ascii="Arial" w:hAnsi="Arial"/>
          <w:b/>
          <w:bCs/>
          <w:sz w:val="20"/>
        </w:rPr>
        <w:t>INTERRUPTIBLE PROGRAM AGREEMENT (Continued)</w:t>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Normal"/>
        <w:keepLines/>
        <w:autoSpaceDE w:val="false"/>
        <w:spacing w:before="0" w:after="200"/>
        <w:rPr>
          <w:rFonts w:ascii="Arial" w:hAnsi="Arial" w:cs="Arial"/>
          <w:color w:val="000000"/>
          <w:sz w:val="20"/>
          <w:szCs w:val="20"/>
        </w:rPr>
      </w:pPr>
      <w:r>
        <w:rPr>
          <w:rFonts w:cs="Arial" w:ascii="Arial" w:hAnsi="Arial"/>
          <w:color w:val="000000"/>
          <w:sz w:val="20"/>
          <w:szCs w:val="20"/>
        </w:rPr>
      </w:r>
    </w:p>
    <w:p>
      <w:pPr>
        <w:pStyle w:val="BodyTextIndent"/>
        <w:keepLines/>
        <w:rPr/>
      </w:pPr>
      <w:r>
        <w:rPr/>
        <w:t>Executed this _____day of ____________, 200__.</w:t>
      </w:r>
    </w:p>
    <w:p>
      <w:pPr>
        <w:pStyle w:val="BodyTextIndent"/>
        <w:spacing w:before="0" w:after="0"/>
        <w:ind w:start="0" w:end="0"/>
        <w:rPr/>
      </w:pPr>
      <w:r>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___________________________________ </w:t>
        <w:tab/>
        <w:t>____________________________________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Applicant </w:t>
        <w:tab/>
        <w:t>PACIFIC GAS AND ELECTRIC COMPANY</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 xml:space="preserve">By: _________________________________ </w:t>
        <w:tab/>
        <w:t>By: _________________________________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Signature </w:t>
        <w:tab/>
        <w:t>Signature</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____________________________________ </w:t>
        <w:tab/>
        <w:t>____________________________________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b/>
        <w:t xml:space="preserve">(Type or print name) </w:t>
        <w:tab/>
        <w:t>(Type or print name)</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 xml:space="preserve">Title: ________________________________ </w:t>
        <w:tab/>
        <w:t>Title: ________________________________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t>Attachments: Rate Schedule(s) ___________________</w:t>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p>
    <w:p>
      <w:pPr>
        <w:pStyle w:val="Normal"/>
        <w:tabs>
          <w:tab w:val="clear" w:pos="720"/>
          <w:tab w:val="center" w:pos="2340" w:leader="none"/>
          <w:tab w:val="center" w:pos="7020" w:leader="none"/>
        </w:tabs>
        <w:autoSpaceDE w:val="false"/>
        <w:rPr>
          <w:rFonts w:ascii="Arial" w:hAnsi="Arial" w:cs="Arial"/>
          <w:color w:val="000000"/>
          <w:sz w:val="20"/>
          <w:szCs w:val="20"/>
        </w:rPr>
      </w:pPr>
      <w:r>
        <w:rPr>
          <w:rFonts w:cs="Arial" w:ascii="Arial" w:hAnsi="Arial"/>
          <w:color w:val="000000"/>
          <w:sz w:val="20"/>
          <w:szCs w:val="20"/>
        </w:rPr>
      </w:r>
      <w:r>
        <w:br w:type="page"/>
      </w:r>
    </w:p>
    <w:p>
      <w:pPr>
        <w:pStyle w:val="Normal"/>
        <w:keepLines/>
        <w:autoSpaceDE w:val="false"/>
        <w:spacing w:before="0" w:after="200"/>
        <w:ind w:start="360" w:end="0"/>
        <w:jc w:val="center"/>
        <w:rPr>
          <w:rFonts w:ascii="Arial" w:hAnsi="Arial" w:cs="Arial"/>
          <w:b/>
          <w:bCs/>
          <w:color w:val="000000"/>
          <w:sz w:val="20"/>
          <w:szCs w:val="20"/>
        </w:rPr>
      </w:pPr>
      <w:r>
        <w:rPr>
          <w:rFonts w:cs="Arial" w:ascii="Arial" w:hAnsi="Arial"/>
          <w:b/>
          <w:bCs/>
          <w:color w:val="000000"/>
          <w:sz w:val="20"/>
          <w:szCs w:val="20"/>
        </w:rPr>
        <w:t>ATTACHMENTS</w:t>
      </w:r>
    </w:p>
    <w:p>
      <w:pPr>
        <w:pStyle w:val="Normal"/>
        <w:tabs>
          <w:tab w:val="clear" w:pos="720"/>
          <w:tab w:val="center" w:pos="2160" w:leader="none"/>
          <w:tab w:val="center" w:pos="7560" w:leader="none"/>
        </w:tabs>
        <w:autoSpaceDE w:val="false"/>
        <w:spacing w:before="0" w:after="200"/>
        <w:rPr>
          <w:rFonts w:ascii="Arial" w:hAnsi="Arial" w:cs="Arial"/>
          <w:b/>
          <w:bCs/>
          <w:color w:val="000000"/>
          <w:sz w:val="20"/>
          <w:szCs w:val="20"/>
        </w:rPr>
      </w:pPr>
      <w:r>
        <w:rPr>
          <w:rFonts w:cs="Arial" w:ascii="Arial" w:hAnsi="Arial"/>
          <w:b/>
          <w:bCs/>
          <w:smallCaps/>
          <w:color w:val="000000"/>
          <w:sz w:val="20"/>
          <w:szCs w:val="20"/>
          <w:u w:val="single"/>
        </w:rPr>
        <w:t>Attachment - Firm Service Level</w:t>
      </w:r>
    </w:p>
    <w:p>
      <w:pPr>
        <w:pStyle w:val="Normal"/>
        <w:keepLines/>
        <w:autoSpaceDE w:val="false"/>
        <w:spacing w:before="0" w:after="200"/>
        <w:ind w:start="360" w:end="0"/>
        <w:rPr>
          <w:rFonts w:ascii="Arial" w:hAnsi="Arial" w:cs="Arial"/>
          <w:color w:val="000000"/>
          <w:sz w:val="20"/>
          <w:szCs w:val="20"/>
        </w:rPr>
      </w:pPr>
      <w:r>
        <w:rPr>
          <w:rFonts w:cs="Arial" w:ascii="Arial" w:hAnsi="Arial"/>
          <w:color w:val="000000"/>
          <w:sz w:val="20"/>
          <w:szCs w:val="20"/>
        </w:rPr>
        <w:t>For Schedule E-BIP the applicant hereby designates a firm service level of ______ kilowatts (kW).</w:t>
      </w:r>
    </w:p>
    <w:p>
      <w:pPr>
        <w:pStyle w:val="Normal"/>
        <w:tabs>
          <w:tab w:val="clear" w:pos="720"/>
          <w:tab w:val="center" w:pos="2160" w:leader="none"/>
          <w:tab w:val="center" w:pos="7560" w:leader="none"/>
        </w:tabs>
        <w:autoSpaceDE w:val="false"/>
        <w:spacing w:before="0" w:after="200"/>
        <w:rPr>
          <w:rFonts w:ascii="Arial" w:hAnsi="Arial" w:cs="Arial"/>
          <w:b/>
          <w:bCs/>
          <w:color w:val="000000"/>
          <w:sz w:val="20"/>
          <w:szCs w:val="20"/>
        </w:rPr>
      </w:pPr>
      <w:r>
        <w:rPr>
          <w:rFonts w:cs="Arial" w:ascii="Arial" w:hAnsi="Arial"/>
          <w:b/>
          <w:bCs/>
          <w:smallCaps/>
          <w:color w:val="000000"/>
          <w:sz w:val="20"/>
          <w:szCs w:val="20"/>
          <w:u w:val="single"/>
        </w:rPr>
        <w:t>Attachment – No Insurance Declaration</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I hereby state that I am the _____________________(title) of ______________________(company), and am authorized to make this declaration on behalf of my company at the following location.</w:t>
      </w:r>
    </w:p>
    <w:p>
      <w:pPr>
        <w:pStyle w:val="Normal"/>
        <w:autoSpaceDE w:val="false"/>
        <w:spacing w:before="0" w:after="200"/>
        <w:ind w:start="360" w:end="0"/>
        <w:rPr/>
      </w:pPr>
      <w:r>
        <w:rPr>
          <w:rFonts w:cs="Arial" w:ascii="Arial" w:hAnsi="Arial"/>
          <w:color w:val="000000"/>
          <w:sz w:val="20"/>
          <w:szCs w:val="20"/>
        </w:rPr>
        <w:t>Address</w:t>
      </w:r>
      <w:r>
        <w:rPr>
          <w:rFonts w:cs="Arial" w:ascii="Arial" w:hAnsi="Arial"/>
          <w:color w:val="000000"/>
          <w:sz w:val="20"/>
          <w:szCs w:val="20"/>
          <w:u w:val="single"/>
        </w:rPr>
        <w:tab/>
        <w:tab/>
        <w:tab/>
        <w:tab/>
        <w:tab/>
        <w:tab/>
        <w:tab/>
        <w:tab/>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City</w:t>
      </w:r>
      <w:r>
        <w:rPr>
          <w:rFonts w:cs="Arial" w:ascii="Arial" w:hAnsi="Arial"/>
          <w:color w:val="000000"/>
          <w:sz w:val="20"/>
          <w:szCs w:val="20"/>
          <w:u w:val="single"/>
        </w:rPr>
        <w:tab/>
        <w:tab/>
        <w:tab/>
        <w:tab/>
        <w:tab/>
        <w:tab/>
        <w:tab/>
        <w:tab/>
        <w:tab/>
      </w:r>
    </w:p>
    <w:p>
      <w:pPr>
        <w:pStyle w:val="BodyTextIndent2"/>
        <w:rPr/>
      </w:pPr>
      <w:r>
        <w:rPr/>
        <w:t>State</w:t>
      </w:r>
      <w:r>
        <w:rPr>
          <w:u w:val="single"/>
        </w:rPr>
        <w:tab/>
        <w:tab/>
        <w:tab/>
        <w:tab/>
      </w:r>
      <w:r>
        <w:rPr/>
        <w:t xml:space="preserve">ZIP </w:t>
      </w:r>
      <w:r>
        <w:rPr>
          <w:u w:val="single"/>
        </w:rPr>
        <w:tab/>
        <w:tab/>
        <w:tab/>
        <w:tab/>
      </w:r>
    </w:p>
    <w:p>
      <w:pPr>
        <w:pStyle w:val="BodyTextIndent2"/>
        <w:rPr/>
      </w:pPr>
      <w:r>
        <w:rPr/>
        <w:t xml:space="preserve">Applicant hereby declares that Applicant does not currently have, or will obtain, any insurance for the purpose of paying non-compliance penalties for willful failure to comply with requests for curtailments under PG&amp;E’s Interruptible Programs. </w:t>
      </w:r>
    </w:p>
    <w:p>
      <w:pPr>
        <w:pStyle w:val="Normal"/>
        <w:autoSpaceDE w:val="false"/>
        <w:spacing w:before="0" w:after="120"/>
        <w:ind w:start="720" w:end="0"/>
        <w:rPr>
          <w:rFonts w:ascii="Arial" w:hAnsi="Arial" w:cs="Arial"/>
          <w:color w:val="000000"/>
          <w:sz w:val="20"/>
          <w:szCs w:val="20"/>
        </w:rPr>
      </w:pPr>
      <w:r>
        <w:rPr>
          <w:rFonts w:cs="Arial" w:ascii="Arial" w:hAnsi="Arial"/>
          <w:color w:val="000000"/>
          <w:sz w:val="20"/>
          <w:szCs w:val="20"/>
        </w:rPr>
      </w:r>
    </w:p>
    <w:p>
      <w:pPr>
        <w:pStyle w:val="BodyTextIndent2"/>
        <w:rPr/>
      </w:pPr>
      <w:r>
        <w:rPr/>
        <w:t>Customers with any such policy will be terminated from the Program(s), and will be required to pay back any incentives that the customer received for the period covered by the insurance.  If the period cannot be determined, the recovery shall be for the entire period the customer was on the Program(s).</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_______________________________</w:t>
        <w:tab/>
        <w:t>_________________</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 xml:space="preserve">(Applicant Signature) </w:t>
        <w:tab/>
        <w:t>(Date)</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b/>
          <w:bCs/>
          <w:smallCaps/>
          <w:color w:val="000000"/>
          <w:sz w:val="20"/>
          <w:szCs w:val="20"/>
          <w:u w:val="single"/>
        </w:rPr>
        <w:t xml:space="preserve">Attachment –Essential Customer Declaration </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I hereby state that I am the _____________________(title) of ______________________(company), and am authorized to make this declaration on behalf of my company at the following location.</w:t>
      </w:r>
    </w:p>
    <w:p>
      <w:pPr>
        <w:pStyle w:val="Normal"/>
        <w:autoSpaceDE w:val="false"/>
        <w:spacing w:before="0" w:after="200"/>
        <w:ind w:start="360" w:end="0"/>
        <w:rPr/>
      </w:pPr>
      <w:r>
        <w:rPr>
          <w:rFonts w:cs="Arial" w:ascii="Arial" w:hAnsi="Arial"/>
          <w:color w:val="000000"/>
          <w:sz w:val="20"/>
          <w:szCs w:val="20"/>
        </w:rPr>
        <w:t>Address</w:t>
      </w:r>
      <w:r>
        <w:rPr>
          <w:rFonts w:cs="Arial" w:ascii="Arial" w:hAnsi="Arial"/>
          <w:color w:val="000000"/>
          <w:sz w:val="20"/>
          <w:szCs w:val="20"/>
          <w:u w:val="single"/>
        </w:rPr>
        <w:tab/>
        <w:tab/>
        <w:tab/>
        <w:tab/>
        <w:tab/>
        <w:tab/>
        <w:tab/>
        <w:tab/>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t>City</w:t>
      </w:r>
      <w:r>
        <w:rPr>
          <w:rFonts w:cs="Arial" w:ascii="Arial" w:hAnsi="Arial"/>
          <w:color w:val="000000"/>
          <w:sz w:val="20"/>
          <w:szCs w:val="20"/>
          <w:u w:val="single"/>
        </w:rPr>
        <w:tab/>
        <w:tab/>
        <w:tab/>
        <w:tab/>
        <w:tab/>
        <w:tab/>
        <w:tab/>
        <w:tab/>
        <w:tab/>
      </w:r>
    </w:p>
    <w:p>
      <w:pPr>
        <w:pStyle w:val="Normal"/>
        <w:autoSpaceDE w:val="false"/>
        <w:spacing w:before="0" w:after="200"/>
        <w:ind w:start="360" w:end="0"/>
        <w:rPr/>
      </w:pPr>
      <w:r>
        <w:rPr>
          <w:rFonts w:cs="Arial" w:ascii="Arial" w:hAnsi="Arial"/>
          <w:color w:val="000000"/>
          <w:sz w:val="20"/>
          <w:szCs w:val="20"/>
        </w:rPr>
        <w:t>State</w:t>
      </w:r>
      <w:r>
        <w:rPr>
          <w:rFonts w:cs="Arial" w:ascii="Arial" w:hAnsi="Arial"/>
          <w:color w:val="000000"/>
          <w:sz w:val="20"/>
          <w:szCs w:val="20"/>
          <w:u w:val="single"/>
        </w:rPr>
        <w:tab/>
        <w:tab/>
        <w:tab/>
        <w:tab/>
      </w:r>
      <w:r>
        <w:rPr>
          <w:rFonts w:cs="Arial" w:ascii="Arial" w:hAnsi="Arial"/>
          <w:color w:val="000000"/>
          <w:sz w:val="20"/>
          <w:szCs w:val="20"/>
        </w:rPr>
        <w:t xml:space="preserve">ZIP </w:t>
      </w:r>
      <w:r>
        <w:rPr>
          <w:rFonts w:cs="Arial" w:ascii="Arial" w:hAnsi="Arial"/>
          <w:color w:val="000000"/>
          <w:sz w:val="20"/>
          <w:szCs w:val="20"/>
          <w:u w:val="single"/>
        </w:rPr>
        <w:tab/>
        <w:tab/>
        <w:tab/>
        <w:tab/>
      </w:r>
    </w:p>
    <w:p>
      <w:pPr>
        <w:pStyle w:val="BodyTextIndent2"/>
        <w:rPr/>
      </w:pPr>
      <w:r>
        <w:rPr/>
        <w:t>To the best of my understanding, I understand that my company is considered an essential customer at the location stated above under the California Public Utilities Commission’s rules and is exempt from rotating outages.  I declare that I have voluntarily elected to participate in a PG&amp;E interruptible program for part of my electrical load based on adequate back-up generation or other means to interrupt load when requested by PG&amp;E, while continuing to meet my essential needs.  I acknowledge that I have not committed more than 50% of my average peak load under the interruptible program.</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_______________________________</w:t>
        <w:tab/>
        <w:t>____________________________</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 xml:space="preserve">(Applicant Signature) </w:t>
        <w:tab/>
        <w:t>(Date)</w:t>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color w:val="000000"/>
          <w:sz w:val="20"/>
          <w:szCs w:val="20"/>
        </w:rPr>
      </w:r>
    </w:p>
    <w:p>
      <w:pPr>
        <w:pStyle w:val="Normal"/>
        <w:autoSpaceDE w:val="false"/>
        <w:spacing w:before="0" w:after="200"/>
        <w:ind w:start="360" w:end="0"/>
        <w:rPr>
          <w:rFonts w:ascii="Arial" w:hAnsi="Arial" w:cs="Arial"/>
          <w:color w:val="000000"/>
          <w:sz w:val="20"/>
          <w:szCs w:val="20"/>
        </w:rPr>
      </w:pPr>
      <w:r>
        <w:rPr>
          <w:rFonts w:cs="Arial" w:ascii="Arial" w:hAnsi="Arial"/>
          <w:b/>
          <w:bCs/>
          <w:smallCaps/>
          <w:color w:val="000000"/>
          <w:sz w:val="20"/>
          <w:szCs w:val="20"/>
          <w:u w:val="single"/>
        </w:rPr>
        <w:t>Attachment –Other Interruptible Program Acknowledgement</w:t>
      </w:r>
    </w:p>
    <w:p>
      <w:pPr>
        <w:pStyle w:val="BodyTextIndent2"/>
        <w:spacing w:before="0" w:after="120"/>
        <w:rPr/>
      </w:pPr>
      <w:r>
        <w:rPr/>
        <w:t>Applicant is participating in the following interruptible reduction programs.  (Check if appropriate)</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CAISO’s Demand Response Program (DRP) – Effective Date __________________</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PG&amp;E’s Non-Firm Program</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PG&amp;E’s E-BIP - Base Interruptible Program</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PG&amp;E’s E-VDRP – Voluntary Demand Response Program</w:t>
      </w:r>
    </w:p>
    <w:p>
      <w:pPr>
        <w:pStyle w:val="Normal"/>
        <w:numPr>
          <w:ilvl w:val="0"/>
          <w:numId w:val="3"/>
        </w:numPr>
        <w:autoSpaceDE w:val="false"/>
        <w:spacing w:before="0" w:after="120"/>
        <w:rPr>
          <w:rFonts w:ascii="Arial" w:hAnsi="Arial" w:cs="Arial"/>
          <w:color w:val="000000"/>
          <w:sz w:val="20"/>
          <w:szCs w:val="20"/>
        </w:rPr>
      </w:pPr>
      <w:r>
        <w:rPr>
          <w:rFonts w:cs="Arial" w:ascii="Arial" w:hAnsi="Arial"/>
          <w:color w:val="000000"/>
          <w:sz w:val="20"/>
          <w:szCs w:val="20"/>
        </w:rPr>
        <w:t>Other(s)</w:t>
      </w:r>
      <w:r>
        <w:rPr>
          <w:rFonts w:cs="Arial" w:ascii="Arial" w:hAnsi="Arial"/>
          <w:color w:val="000000"/>
          <w:sz w:val="20"/>
          <w:szCs w:val="20"/>
          <w:u w:val="single"/>
        </w:rPr>
        <w:tab/>
        <w:tab/>
        <w:tab/>
        <w:tab/>
        <w:tab/>
        <w:tab/>
        <w:tab/>
      </w:r>
    </w:p>
    <w:p>
      <w:pPr>
        <w:pStyle w:val="Normal"/>
        <w:autoSpaceDE w:val="false"/>
        <w:spacing w:before="0" w:after="120"/>
        <w:ind w:start="1800" w:end="0"/>
        <w:rPr>
          <w:rFonts w:ascii="Arial" w:hAnsi="Arial" w:cs="Arial"/>
          <w:color w:val="000000"/>
          <w:sz w:val="20"/>
          <w:szCs w:val="20"/>
          <w:u w:val="single"/>
        </w:rPr>
      </w:pPr>
      <w:r>
        <w:rPr>
          <w:rFonts w:cs="Arial" w:ascii="Arial" w:hAnsi="Arial"/>
          <w:color w:val="000000"/>
          <w:sz w:val="20"/>
          <w:szCs w:val="20"/>
          <w:u w:val="single"/>
        </w:rPr>
        <w:tab/>
        <w:tab/>
        <w:tab/>
        <w:tab/>
        <w:tab/>
        <w:tab/>
        <w:tab/>
      </w:r>
    </w:p>
    <w:p>
      <w:pPr>
        <w:pStyle w:val="Normal"/>
        <w:autoSpaceDE w:val="false"/>
        <w:spacing w:before="0" w:after="120"/>
        <w:ind w:start="360" w:end="0"/>
        <w:rPr>
          <w:rFonts w:ascii="Arial" w:hAnsi="Arial" w:cs="Arial"/>
          <w:color w:val="000000"/>
          <w:sz w:val="20"/>
          <w:szCs w:val="20"/>
          <w:u w:val="single"/>
        </w:rPr>
      </w:pPr>
      <w:r>
        <w:rPr>
          <w:rFonts w:cs="Arial" w:ascii="Arial" w:hAnsi="Arial"/>
          <w:color w:val="000000"/>
          <w:sz w:val="20"/>
          <w:szCs w:val="20"/>
          <w:u w:val="single"/>
        </w:rPr>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_______________________________</w:t>
        <w:tab/>
        <w:t>________________</w:t>
      </w:r>
    </w:p>
    <w:p>
      <w:pPr>
        <w:pStyle w:val="Normal"/>
        <w:tabs>
          <w:tab w:val="clear" w:pos="720"/>
          <w:tab w:val="center" w:pos="2160" w:leader="none"/>
          <w:tab w:val="center" w:pos="7560" w:leader="none"/>
        </w:tabs>
        <w:autoSpaceDE w:val="false"/>
        <w:rPr>
          <w:rFonts w:ascii="Arial" w:hAnsi="Arial" w:cs="Arial"/>
          <w:color w:val="000000"/>
          <w:sz w:val="20"/>
          <w:szCs w:val="20"/>
        </w:rPr>
      </w:pPr>
      <w:r>
        <w:rPr>
          <w:rFonts w:cs="Arial" w:ascii="Arial" w:hAnsi="Arial"/>
          <w:color w:val="000000"/>
          <w:sz w:val="20"/>
          <w:szCs w:val="20"/>
        </w:rPr>
        <w:tab/>
        <w:t xml:space="preserve">(Applicant Signature) </w:t>
        <w:tab/>
        <w:t>(Date)</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autoSpaceDE w:val="false"/>
      <w:jc w:val="end"/>
      <w:rPr>
        <w:rFonts w:ascii="Arial" w:hAnsi="Arial" w:cs="Arial"/>
        <w:b/>
        <w:bCs/>
        <w:color w:val="000000"/>
        <w:sz w:val="17"/>
        <w:szCs w:val="17"/>
      </w:rPr>
    </w:pPr>
    <w:r>
      <w:rPr>
        <w:rFonts w:cs="Arial" w:ascii="Arial" w:hAnsi="Arial"/>
        <w:b/>
        <w:bCs/>
        <w:color w:val="000000"/>
        <w:sz w:val="17"/>
        <w:szCs w:val="17"/>
      </w:rPr>
      <w:t>Form No. 79-976</w:t>
    </w:r>
  </w:p>
  <w:p>
    <w:pPr>
      <w:pStyle w:val="Normal"/>
      <w:autoSpaceDE w:val="false"/>
      <w:jc w:val="end"/>
      <w:rPr>
        <w:rFonts w:ascii="Arial" w:hAnsi="Arial" w:cs="Arial"/>
        <w:b/>
        <w:bCs/>
        <w:color w:val="000000"/>
        <w:sz w:val="17"/>
        <w:szCs w:val="17"/>
      </w:rPr>
    </w:pPr>
    <w:r>
      <w:rPr>
        <w:rFonts w:cs="Arial" w:ascii="Arial" w:hAnsi="Arial"/>
        <w:b/>
        <w:bCs/>
        <w:color w:val="000000"/>
        <w:sz w:val="17"/>
        <w:szCs w:val="17"/>
      </w:rPr>
      <w:t xml:space="preserve">Page </w:t>
    </w:r>
    <w:r>
      <w:rPr>
        <w:rFonts w:cs="Arial" w:ascii="Arial" w:hAnsi="Arial"/>
        <w:b/>
        <w:bCs/>
        <w:color w:val="000000"/>
        <w:sz w:val="17"/>
        <w:szCs w:val="17"/>
      </w:rPr>
      <w:fldChar w:fldCharType="begin"/>
    </w:r>
    <w:r>
      <w:rPr>
        <w:sz w:val="17"/>
        <w:b/>
        <w:szCs w:val="17"/>
        <w:bCs/>
        <w:rFonts w:cs="Arial" w:ascii="Arial" w:hAnsi="Arial"/>
        <w:color w:val="000000"/>
      </w:rPr>
      <w:instrText xml:space="preserve"> PAGE </w:instrText>
    </w:r>
    <w:r>
      <w:rPr>
        <w:sz w:val="17"/>
        <w:b/>
        <w:szCs w:val="17"/>
        <w:bCs/>
        <w:rFonts w:cs="Arial" w:ascii="Arial" w:hAnsi="Arial"/>
        <w:color w:val="000000"/>
      </w:rPr>
      <w:fldChar w:fldCharType="separate"/>
    </w:r>
    <w:r>
      <w:rPr>
        <w:sz w:val="17"/>
        <w:b/>
        <w:szCs w:val="17"/>
        <w:bCs/>
        <w:rFonts w:cs="Arial" w:ascii="Arial" w:hAnsi="Arial"/>
        <w:color w:val="000000"/>
      </w:rPr>
      <w:t>5</w:t>
    </w:r>
    <w:r>
      <w:rPr>
        <w:sz w:val="17"/>
        <w:b/>
        <w:szCs w:val="17"/>
        <w:bCs/>
        <w:rFonts w:cs="Arial" w:ascii="Arial" w:hAnsi="Arial"/>
        <w:color w:val="000000"/>
      </w:rPr>
      <w:fldChar w:fldCharType="end"/>
    </w:r>
    <w:r>
      <w:rPr>
        <w:rFonts w:cs="Arial" w:ascii="Arial" w:hAnsi="Arial"/>
        <w:b/>
        <w:bCs/>
        <w:color w:val="000000"/>
        <w:sz w:val="17"/>
        <w:szCs w:val="17"/>
      </w:rPr>
      <w:t xml:space="preserve"> of </w:t>
    </w:r>
    <w:r>
      <w:rPr>
        <w:rFonts w:cs="Arial" w:ascii="Arial" w:hAnsi="Arial"/>
        <w:b/>
        <w:bCs/>
        <w:color w:val="000000"/>
        <w:sz w:val="17"/>
        <w:szCs w:val="17"/>
      </w:rPr>
      <w:fldChar w:fldCharType="begin"/>
    </w:r>
    <w:r>
      <w:rPr>
        <w:sz w:val="17"/>
        <w:b/>
        <w:szCs w:val="17"/>
        <w:bCs/>
        <w:rFonts w:cs="Arial" w:ascii="Arial" w:hAnsi="Arial"/>
        <w:color w:val="000000"/>
      </w:rPr>
      <w:instrText xml:space="preserve"> NUMPAGES \* ARABIC </w:instrText>
    </w:r>
    <w:r>
      <w:rPr>
        <w:sz w:val="17"/>
        <w:b/>
        <w:szCs w:val="17"/>
        <w:bCs/>
        <w:rFonts w:cs="Arial" w:ascii="Arial" w:hAnsi="Arial"/>
        <w:color w:val="000000"/>
      </w:rPr>
      <w:fldChar w:fldCharType="separate"/>
    </w:r>
    <w:r>
      <w:rPr>
        <w:sz w:val="17"/>
        <w:b/>
        <w:szCs w:val="17"/>
        <w:bCs/>
        <w:rFonts w:cs="Arial" w:ascii="Arial" w:hAnsi="Arial"/>
        <w:color w:val="000000"/>
      </w:rPr>
      <w:t>5</w:t>
    </w:r>
    <w:r>
      <w:rPr>
        <w:sz w:val="17"/>
        <w:b/>
        <w:szCs w:val="17"/>
        <w:bCs/>
        <w:rFonts w:cs="Arial" w:ascii="Arial" w:hAnsi="Arial"/>
        <w:color w:val="000000"/>
      </w:rPr>
      <w:fldChar w:fldCharType="end"/>
    </w:r>
  </w:p>
  <w:p>
    <w:pPr>
      <w:pStyle w:val="Normal"/>
      <w:autoSpaceDE w:val="false"/>
      <w:jc w:val="end"/>
      <w:rPr>
        <w:rFonts w:ascii="Arial" w:hAnsi="Arial" w:cs="Arial"/>
        <w:b/>
        <w:bCs/>
        <w:color w:val="000000"/>
        <w:sz w:val="17"/>
        <w:szCs w:val="17"/>
      </w:rPr>
    </w:pPr>
    <w:r>
      <w:rPr>
        <w:rFonts w:cs="Arial" w:ascii="Arial" w:hAnsi="Arial"/>
        <w:b/>
        <w:bCs/>
        <w:color w:val="000000"/>
        <w:sz w:val="17"/>
        <w:szCs w:val="17"/>
      </w:rPr>
      <w:t>April 16, 2001</w:t>
    </w:r>
  </w:p>
  <w:p>
    <w:pPr>
      <w:pStyle w:val="Footer"/>
      <w:jc w:val="end"/>
      <w:rPr>
        <w:rFonts w:ascii="Arial" w:hAnsi="Arial" w:cs="Arial"/>
        <w:b/>
        <w:bCs/>
        <w:color w:val="000000"/>
        <w:sz w:val="17"/>
        <w:szCs w:val="17"/>
      </w:rPr>
    </w:pPr>
    <w:r>
      <w:rPr>
        <w:rFonts w:cs="Arial" w:ascii="Arial" w:hAnsi="Arial"/>
        <w:b/>
        <w:bCs/>
        <w:color w:val="000000"/>
        <w:sz w:val="17"/>
        <w:szCs w:val="17"/>
      </w:rPr>
      <w:t>Tariffs and Compliance</w:t>
    </w:r>
  </w:p>
  <w:p>
    <w:pPr>
      <w:pStyle w:val="Footer"/>
      <w:jc w:val="end"/>
      <w:rPr>
        <w:rFonts w:ascii="Arial" w:hAnsi="Arial" w:cs="Arial"/>
        <w:b/>
        <w:bCs/>
        <w:color w:val="000000"/>
        <w:sz w:val="17"/>
        <w:szCs w:val="17"/>
      </w:rPr>
    </w:pPr>
    <w:r>
      <w:rPr>
        <w:rFonts w:cs="Arial" w:ascii="Arial" w:hAnsi="Arial"/>
        <w:b/>
        <w:bCs/>
        <w:color w:val="000000"/>
        <w:sz w:val="17"/>
        <w:szCs w:val="17"/>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sz w:val="24"/>
      </w:rPr>
    </w:lvl>
  </w:abstractNum>
  <w:abstractNum w:abstractNumId="3">
    <w:lvl w:ilvl="0">
      <w:start w:val="1"/>
      <w:numFmt w:val="bullet"/>
      <w:lvlText w:val=""/>
      <w:lvlJc w:val="start"/>
      <w:pPr>
        <w:tabs>
          <w:tab w:val="num" w:pos="1080"/>
        </w:tabs>
        <w:ind w:start="1080" w:hanging="360"/>
      </w:pPr>
      <w:rPr>
        <w:rFonts w:ascii="Wingdings" w:hAnsi="Wingdings" w:cs="Wingdings" w:hint="default"/>
        <w:sz w:val="24"/>
      </w:rPr>
    </w:lvl>
  </w:abstractNum>
  <w:abstractNum w:abstractNumId="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sz w:val="20"/>
        <w:rFonts w:ascii="Arial" w:hAnsi="Arial" w:cs="Arial"/>
      </w:rPr>
    </w:lvl>
    <w:lvl w:ilvl="2">
      <w:start w:val="1"/>
      <w:numFmt w:val="decimal"/>
      <w:lvlText w:val="%3)"/>
      <w:lvlJc w:val="start"/>
      <w:pPr>
        <w:tabs>
          <w:tab w:val="num" w:pos="2160"/>
        </w:tabs>
        <w:ind w:start="2160" w:hanging="720"/>
      </w:pPr>
      <w:rPr>
        <w:rFonts w:ascii="Arial" w:hAnsi="Arial" w:cs="Arial"/>
      </w:rPr>
    </w:lvl>
    <w:lvl w:ilvl="3">
      <w:start w:val="1"/>
      <w:numFmt w:val="lowerLetter"/>
      <w:lvlText w:val="%4."/>
      <w:lvlJc w:val="start"/>
      <w:pPr>
        <w:tabs>
          <w:tab w:val="num" w:pos="2880"/>
        </w:tabs>
        <w:ind w:start="2880" w:hanging="720"/>
      </w:pPr>
      <w:rPr>
        <w:rFonts w:ascii="Arial" w:hAnsi="Arial" w:cs="Arial"/>
      </w:rPr>
    </w:lvl>
    <w:lvl w:ilvl="4">
      <w:start w:val="1"/>
      <w:numFmt w:val="decimal"/>
      <w:lvlText w:val="%5)"/>
      <w:lvlJc w:val="start"/>
      <w:pPr>
        <w:tabs>
          <w:tab w:val="num" w:pos="3600"/>
        </w:tabs>
        <w:ind w:start="3600" w:hanging="720"/>
      </w:pPr>
      <w:rPr/>
    </w:lvl>
    <w:lvl w:ilvl="5">
      <w:start w:val="1"/>
      <w:numFmt w:val="lowerLetter"/>
      <w:lvlText w:val="(%6)"/>
      <w:lvlJc w:val="start"/>
      <w:pPr>
        <w:tabs>
          <w:tab w:val="num" w:pos="4320"/>
        </w:tabs>
        <w:ind w:start="4320" w:hanging="720"/>
      </w:pPr>
      <w:rPr/>
    </w:lvl>
    <w:lvl w:ilvl="6">
      <w:start w:val="1"/>
      <w:numFmt w:val="decimal"/>
      <w:lvlText w:val="(%7)"/>
      <w:lvlJc w:val="start"/>
      <w:pPr>
        <w:tabs>
          <w:tab w:val="num" w:pos="5040"/>
        </w:tabs>
        <w:ind w:start="5040" w:hanging="720"/>
      </w:pPr>
      <w:rPr/>
    </w:lvl>
    <w:lvl w:ilvl="7">
      <w:start w:val="1"/>
      <w:numFmt w:val="lowerRoman"/>
      <w:lvlText w:val="(%8)"/>
      <w:lvlJc w:val="start"/>
      <w:pPr>
        <w:tabs>
          <w:tab w:val="num" w:pos="5760"/>
        </w:tabs>
        <w:ind w:start="5760" w:hanging="720"/>
      </w:pPr>
      <w:rPr/>
    </w:lvl>
    <w:lvl w:ilvl="8">
      <w:start w:val="1"/>
      <w:numFmt w:val="lowerRoman"/>
      <w:lvlText w:val="(%9)"/>
      <w:lvlJc w:val="start"/>
      <w:pPr>
        <w:tabs>
          <w:tab w:val="num" w:pos="0"/>
        </w:tabs>
        <w:ind w:start="64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b/>
      <w:bCs/>
      <w:color w:val="000000"/>
    </w:rPr>
  </w:style>
  <w:style w:type="paragraph" w:styleId="Heading2">
    <w:name w:val="heading 2"/>
    <w:basedOn w:val="Heading1"/>
    <w:next w:val="Normal"/>
    <w:qFormat/>
    <w:pPr>
      <w:numPr>
        <w:ilvl w:val="1"/>
        <w:numId w:val="1"/>
      </w:numPr>
      <w:tabs>
        <w:tab w:val="clear" w:pos="720"/>
        <w:tab w:val="left" w:pos="288" w:leader="none"/>
      </w:tabs>
      <w:suppressAutoHyphens w:val="true"/>
      <w:autoSpaceDE w:val="true"/>
      <w:spacing w:lineRule="exact" w:line="480" w:before="0" w:after="180"/>
      <w:outlineLvl w:val="1"/>
    </w:pPr>
    <w:rPr>
      <w:rFonts w:cs="Times New Roman"/>
      <w:b w:val="false"/>
      <w:bCs w:val="false"/>
      <w:color w:val="000000"/>
      <w:sz w:val="18"/>
      <w:szCs w:val="20"/>
      <w:u w:val="single"/>
    </w:rPr>
  </w:style>
  <w:style w:type="paragraph" w:styleId="Heading3">
    <w:name w:val="heading 3"/>
    <w:basedOn w:val="Heading1"/>
    <w:next w:val="Normal"/>
    <w:qFormat/>
    <w:pPr>
      <w:numPr>
        <w:ilvl w:val="2"/>
        <w:numId w:val="1"/>
      </w:numPr>
      <w:tabs>
        <w:tab w:val="clear" w:pos="720"/>
        <w:tab w:val="left" w:pos="288" w:leader="none"/>
      </w:tabs>
      <w:suppressAutoHyphens w:val="true"/>
      <w:autoSpaceDE w:val="true"/>
      <w:spacing w:lineRule="exact" w:line="480" w:before="0" w:after="180"/>
      <w:outlineLvl w:val="2"/>
    </w:pPr>
    <w:rPr>
      <w:rFonts w:cs="Times New Roman"/>
      <w:b w:val="false"/>
      <w:bCs w:val="false"/>
      <w:color w:val="000000"/>
      <w:sz w:val="18"/>
      <w:szCs w:val="20"/>
      <w:u w:val="single"/>
    </w:rPr>
  </w:style>
  <w:style w:type="paragraph" w:styleId="Heading4">
    <w:name w:val="heading 4"/>
    <w:basedOn w:val="Heading1"/>
    <w:next w:val="Normal"/>
    <w:qFormat/>
    <w:pPr>
      <w:numPr>
        <w:ilvl w:val="3"/>
        <w:numId w:val="1"/>
      </w:numPr>
      <w:tabs>
        <w:tab w:val="clear" w:pos="720"/>
        <w:tab w:val="left" w:pos="288" w:leader="none"/>
      </w:tabs>
      <w:suppressAutoHyphens w:val="true"/>
      <w:autoSpaceDE w:val="true"/>
      <w:spacing w:lineRule="exact" w:line="480" w:before="0" w:after="180"/>
      <w:outlineLvl w:val="3"/>
    </w:pPr>
    <w:rPr>
      <w:rFonts w:cs="Times New Roman"/>
      <w:b w:val="false"/>
      <w:bCs w:val="false"/>
      <w:color w:val="000000"/>
      <w:sz w:val="18"/>
      <w:szCs w:val="20"/>
      <w:u w:val="single"/>
    </w:rPr>
  </w:style>
  <w:style w:type="paragraph" w:styleId="Heading5">
    <w:name w:val="heading 5"/>
    <w:basedOn w:val="Heading1"/>
    <w:next w:val="Normal"/>
    <w:qFormat/>
    <w:pPr>
      <w:numPr>
        <w:ilvl w:val="4"/>
        <w:numId w:val="1"/>
      </w:numPr>
      <w:tabs>
        <w:tab w:val="clear" w:pos="720"/>
        <w:tab w:val="left" w:pos="288" w:leader="none"/>
      </w:tabs>
      <w:suppressAutoHyphens w:val="true"/>
      <w:autoSpaceDE w:val="true"/>
      <w:spacing w:lineRule="exact" w:line="480" w:before="0" w:after="180"/>
      <w:outlineLvl w:val="4"/>
    </w:pPr>
    <w:rPr>
      <w:rFonts w:cs="Times New Roman"/>
      <w:b w:val="false"/>
      <w:bCs w:val="false"/>
      <w:color w:val="000000"/>
      <w:sz w:val="18"/>
      <w:szCs w:val="20"/>
      <w:u w:val="single"/>
    </w:rPr>
  </w:style>
  <w:style w:type="paragraph" w:styleId="Heading6">
    <w:name w:val="heading 6"/>
    <w:basedOn w:val="Heading1"/>
    <w:next w:val="Normal"/>
    <w:qFormat/>
    <w:pPr>
      <w:numPr>
        <w:ilvl w:val="5"/>
        <w:numId w:val="1"/>
      </w:numPr>
      <w:tabs>
        <w:tab w:val="clear" w:pos="720"/>
        <w:tab w:val="left" w:pos="288" w:leader="none"/>
      </w:tabs>
      <w:suppressAutoHyphens w:val="true"/>
      <w:autoSpaceDE w:val="true"/>
      <w:spacing w:lineRule="exact" w:line="480" w:before="0" w:after="180"/>
      <w:outlineLvl w:val="5"/>
    </w:pPr>
    <w:rPr>
      <w:rFonts w:cs="Times New Roman"/>
      <w:b w:val="false"/>
      <w:bCs w:val="false"/>
      <w:color w:val="000000"/>
      <w:sz w:val="18"/>
      <w:szCs w:val="20"/>
      <w:u w:val="single"/>
    </w:rPr>
  </w:style>
  <w:style w:type="paragraph" w:styleId="Heading7">
    <w:name w:val="heading 7"/>
    <w:basedOn w:val="Normal"/>
    <w:next w:val="Normal"/>
    <w:qFormat/>
    <w:pPr>
      <w:keepNext w:val="true"/>
      <w:numPr>
        <w:ilvl w:val="6"/>
        <w:numId w:val="1"/>
      </w:numPr>
      <w:suppressAutoHyphens w:val="true"/>
      <w:spacing w:lineRule="atLeast" w:line="200" w:before="0" w:after="180"/>
      <w:outlineLvl w:val="6"/>
    </w:pPr>
    <w:rPr>
      <w:rFonts w:ascii="Helvetica" w:hAnsi="Helvetica" w:cs="Helvetica"/>
      <w:sz w:val="18"/>
      <w:szCs w:val="20"/>
      <w:u w:val="single"/>
    </w:rPr>
  </w:style>
  <w:style w:type="paragraph" w:styleId="Heading8">
    <w:name w:val="heading 8"/>
    <w:basedOn w:val="Normal"/>
    <w:next w:val="Normal"/>
    <w:qFormat/>
    <w:pPr>
      <w:keepNext w:val="true"/>
      <w:numPr>
        <w:ilvl w:val="7"/>
        <w:numId w:val="1"/>
      </w:numPr>
      <w:suppressAutoHyphens w:val="true"/>
      <w:spacing w:lineRule="atLeast" w:line="200" w:before="0" w:after="180"/>
      <w:outlineLvl w:val="7"/>
    </w:pPr>
    <w:rPr>
      <w:rFonts w:ascii="Helvetica" w:hAnsi="Helvetica" w:cs="Helvetica"/>
      <w:sz w:val="18"/>
      <w:szCs w:val="20"/>
      <w:u w:val="single"/>
    </w:rPr>
  </w:style>
  <w:style w:type="paragraph" w:styleId="Heading9">
    <w:name w:val="heading 9"/>
    <w:basedOn w:val="Normal"/>
    <w:next w:val="Normal"/>
    <w:qFormat/>
    <w:pPr>
      <w:keepNext w:val="true"/>
      <w:numPr>
        <w:ilvl w:val="8"/>
        <w:numId w:val="1"/>
      </w:numPr>
      <w:suppressAutoHyphens w:val="true"/>
      <w:spacing w:lineRule="atLeast" w:line="200" w:before="0" w:after="180"/>
      <w:outlineLvl w:val="8"/>
    </w:pPr>
    <w:rPr>
      <w:rFonts w:ascii="Helvetica" w:hAnsi="Helvetica" w:cs="Helvetica"/>
      <w:sz w:val="18"/>
      <w:szCs w:val="20"/>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2z0">
    <w:name w:val="WW8Num2z0"/>
    <w:qFormat/>
    <w:rPr>
      <w:rFonts w:ascii="Wingdings" w:hAnsi="Wingdings" w:cs="Wingdings"/>
      <w:sz w:val="24"/>
    </w:rPr>
  </w:style>
  <w:style w:type="character" w:styleId="WW8Num4z0">
    <w:name w:val="WW8Num4z0"/>
    <w:qFormat/>
    <w:rPr>
      <w:rFonts w:ascii="Symbol" w:hAnsi="Symbol" w:cs="Symbol"/>
    </w:rPr>
  </w:style>
  <w:style w:type="character" w:styleId="WW8Num4z2">
    <w:name w:val="WW8Num4z2"/>
    <w:qFormat/>
    <w:rPr>
      <w:rFonts w:ascii="Wingdings" w:hAnsi="Wingdings" w:eastAsia="Times New Roman" w:cs="Arial"/>
    </w:rPr>
  </w:style>
  <w:style w:type="character" w:styleId="WW8Num5z0">
    <w:name w:val="WW8Num5z0"/>
    <w:qFormat/>
    <w:rPr>
      <w:rFonts w:ascii="Wingdings" w:hAnsi="Wingdings" w:cs="Wingdings"/>
      <w:sz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Arial" w:hAnsi="Arial" w:cs="Arial"/>
      <w:sz w:val="20"/>
    </w:rPr>
  </w:style>
  <w:style w:type="character" w:styleId="WW8Num7z2">
    <w:name w:val="WW8Num7z2"/>
    <w:qFormat/>
    <w:rPr>
      <w:rFonts w:ascii="Arial" w:hAnsi="Arial" w:cs="Arial"/>
    </w:rPr>
  </w:style>
  <w:style w:type="character" w:styleId="WW8Num7z4">
    <w:name w:val="WW8Num7z4"/>
    <w:qFormat/>
    <w:rPr/>
  </w:style>
  <w:style w:type="character" w:styleId="WW8Num9z2">
    <w:name w:val="WW8Num9z2"/>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0z2">
    <w:name w:val="WW8Num10z2"/>
    <w:qFormat/>
    <w:rPr>
      <w:rFonts w:ascii="Wingdings" w:hAnsi="Wingdings" w:eastAsia="Times New Roman" w:cs="Aria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WW8Num13z0">
    <w:name w:val="WW8Num13z0"/>
    <w:qFormat/>
    <w:rPr>
      <w:rFonts w:ascii="Wingdings" w:hAnsi="Wingdings" w:cs="Wingdings"/>
      <w:sz w:val="16"/>
    </w:rPr>
  </w:style>
  <w:style w:type="character" w:styleId="WW8Num13z1">
    <w:name w:val="WW8Num13z1"/>
    <w:qFormat/>
    <w:rPr>
      <w:rFonts w:ascii="Symbol" w:hAnsi="Symbol" w:cs="Symbol"/>
    </w:rPr>
  </w:style>
  <w:style w:type="character" w:styleId="WW8Num13z2">
    <w:name w:val="WW8Num13z2"/>
    <w:qFormat/>
    <w:rPr>
      <w:rFonts w:ascii="Wingdings" w:hAnsi="Wingdings" w:eastAsia="Times New Roman" w:cs="Arial"/>
    </w:rPr>
  </w:style>
  <w:style w:type="character" w:styleId="WW8Num14z1">
    <w:name w:val="WW8Num14z1"/>
    <w:qFormat/>
    <w:rPr>
      <w:rFonts w:ascii="Symbol" w:hAnsi="Symbol" w:cs="Symbol"/>
    </w:rPr>
  </w:style>
  <w:style w:type="character" w:styleId="WW8Num14z2">
    <w:name w:val="WW8Num14z2"/>
    <w:qFormat/>
    <w:rPr>
      <w:rFonts w:ascii="Wingdings" w:hAnsi="Wingdings" w:eastAsia="Times New Roman" w:cs="Arial"/>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7z1">
    <w:name w:val="WW8Num17z1"/>
    <w:qFormat/>
    <w:rPr/>
  </w:style>
  <w:style w:type="character" w:styleId="WW8Num17z2">
    <w:name w:val="WW8Num17z2"/>
    <w:qFormat/>
    <w:rPr>
      <w:rFonts w:ascii="Wingdings" w:hAnsi="Wingdings" w:eastAsia="Times New Roman" w:cs="Arial"/>
    </w:rPr>
  </w:style>
  <w:style w:type="character" w:styleId="WW8Num18z0">
    <w:name w:val="WW8Num18z0"/>
    <w:qFormat/>
    <w:rPr>
      <w:rFonts w:ascii="Symbol" w:hAnsi="Symbol" w:cs="Symbol"/>
    </w:rPr>
  </w:style>
  <w:style w:type="character" w:styleId="WW8Num18z2">
    <w:name w:val="WW8Num18z2"/>
    <w:qFormat/>
    <w:rPr>
      <w:rFonts w:ascii="Wingdings" w:hAnsi="Wingdings" w:eastAsia="Times New Roman" w:cs="Arial"/>
    </w:rPr>
  </w:style>
  <w:style w:type="character" w:styleId="WW8Num19z0">
    <w:name w:val="WW8Num19z0"/>
    <w:qFormat/>
    <w:rPr/>
  </w:style>
  <w:style w:type="character" w:styleId="WW8Num19z1">
    <w:name w:val="WW8Num19z1"/>
    <w:qFormat/>
    <w:rPr>
      <w:rFonts w:ascii="Arial" w:hAnsi="Arial" w:cs="Arial"/>
      <w:sz w:val="20"/>
    </w:rPr>
  </w:style>
  <w:style w:type="character" w:styleId="WW8Num19z2">
    <w:name w:val="WW8Num19z2"/>
    <w:qFormat/>
    <w:rPr>
      <w:rFonts w:ascii="Arial" w:hAnsi="Arial" w:cs="Arial"/>
    </w:rPr>
  </w:style>
  <w:style w:type="character" w:styleId="WW8Num23z0">
    <w:name w:val="WW8Num23z0"/>
    <w:qFormat/>
    <w:rPr/>
  </w:style>
  <w:style w:type="character" w:styleId="WW8Num23z1">
    <w:name w:val="WW8Num23z1"/>
    <w:qFormat/>
    <w:rPr>
      <w:rFonts w:ascii="Arial" w:hAnsi="Arial" w:cs="Arial"/>
      <w:sz w:val="20"/>
    </w:rPr>
  </w:style>
  <w:style w:type="character" w:styleId="WW8Num23z2">
    <w:name w:val="WW8Num23z2"/>
    <w:qFormat/>
    <w:rPr>
      <w:rFonts w:ascii="Arial" w:hAnsi="Arial" w:cs="Arial"/>
    </w:rPr>
  </w:style>
  <w:style w:type="character" w:styleId="WW8Num24z0">
    <w:name w:val="WW8Num24z0"/>
    <w:qFormat/>
    <w:rPr/>
  </w:style>
  <w:style w:type="character" w:styleId="WW8Num24z1">
    <w:name w:val="WW8Num24z1"/>
    <w:qFormat/>
    <w:rPr>
      <w:rFonts w:ascii="Arial" w:hAnsi="Arial" w:cs="Arial"/>
      <w:sz w:val="20"/>
    </w:rPr>
  </w:style>
  <w:style w:type="character" w:styleId="WW8Num24z2">
    <w:name w:val="WW8Num24z2"/>
    <w:qFormat/>
    <w:rPr>
      <w:rFonts w:ascii="Arial" w:hAnsi="Arial" w:cs="Arial"/>
    </w:rPr>
  </w:style>
  <w:style w:type="character" w:styleId="WW8Num26z0">
    <w:name w:val="WW8Num26z0"/>
    <w:qFormat/>
    <w:rPr>
      <w:rFonts w:ascii="Wingdings" w:hAnsi="Wingdings" w:cs="Wingdings"/>
      <w:sz w:val="24"/>
    </w:rPr>
  </w:style>
  <w:style w:type="character" w:styleId="WW8Num26z1">
    <w:name w:val="WW8Num26z1"/>
    <w:qFormat/>
    <w:rPr>
      <w:rFonts w:ascii="Symbol" w:hAnsi="Symbol" w:cs="Symbol"/>
    </w:rPr>
  </w:style>
  <w:style w:type="character" w:styleId="WW8Num26z2">
    <w:name w:val="WW8Num26z2"/>
    <w:qFormat/>
    <w:rPr>
      <w:rFonts w:ascii="Wingdings" w:hAnsi="Wingdings" w:eastAsia="Times New Roman" w:cs="Aria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3z1">
    <w:name w:val="WW8Num33z1"/>
    <w:qFormat/>
    <w:rPr>
      <w:rFonts w:ascii="Arial" w:hAnsi="Arial" w:cs="Arial"/>
      <w:sz w:val="20"/>
    </w:rPr>
  </w:style>
  <w:style w:type="character" w:styleId="WW8Num33z2">
    <w:name w:val="WW8Num33z2"/>
    <w:qFormat/>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spacing w:before="0" w:after="200"/>
      <w:ind w:hanging="0" w:start="720" w:end="0"/>
    </w:pPr>
    <w:rPr>
      <w:rFonts w:ascii="Arial" w:hAnsi="Arial" w:cs="Arial"/>
      <w:color w:val="000000"/>
      <w:sz w:val="20"/>
      <w:szCs w:val="20"/>
    </w:rPr>
  </w:style>
  <w:style w:type="paragraph" w:styleId="BodyTextIndent2">
    <w:name w:val="Body Text Indent 2"/>
    <w:basedOn w:val="Normal"/>
    <w:qFormat/>
    <w:pPr>
      <w:autoSpaceDE w:val="false"/>
      <w:spacing w:before="0" w:after="200"/>
      <w:ind w:hanging="0" w:start="360" w:end="0"/>
    </w:pPr>
    <w:rPr>
      <w:rFonts w:ascii="Arial" w:hAnsi="Arial" w:cs="Arial"/>
      <w:color w:val="000000"/>
      <w:sz w:val="20"/>
      <w:szCs w:val="20"/>
    </w:rPr>
  </w:style>
  <w:style w:type="paragraph" w:styleId="BodyTextIndent3">
    <w:name w:val="Body Text Indent 3"/>
    <w:basedOn w:val="Normal"/>
    <w:qFormat/>
    <w:pPr>
      <w:autoSpaceDE w:val="false"/>
      <w:spacing w:before="0" w:after="200"/>
      <w:ind w:hanging="0" w:start="1440" w:end="0"/>
    </w:pPr>
    <w:rPr>
      <w:rFonts w:ascii="Arial" w:hAnsi="Arial" w:cs="Arial"/>
      <w:color w:val="000000"/>
      <w:sz w:val="20"/>
      <w:szCs w:val="20"/>
    </w:rPr>
  </w:style>
  <w:style w:type="paragraph" w:styleId="RateBody">
    <w:name w:val="Rate Body"/>
    <w:basedOn w:val="Normal"/>
    <w:qFormat/>
    <w:pPr>
      <w:suppressAutoHyphens w:val="true"/>
      <w:spacing w:lineRule="exact" w:line="200" w:before="0" w:after="200"/>
    </w:pPr>
    <w:rPr>
      <w:rFonts w:ascii="Arial" w:hAnsi="Arial" w:cs="Arial"/>
      <w:sz w:val="18"/>
      <w:szCs w:val="20"/>
    </w:rPr>
  </w:style>
  <w:style w:type="paragraph" w:styleId="Level1">
    <w:name w:val="Level 1"/>
    <w:basedOn w:val="RateBody"/>
    <w:next w:val="Normal"/>
    <w:qFormat/>
    <w:pPr>
      <w:ind w:hanging="432" w:start="432" w:end="0"/>
    </w:pPr>
    <w:rPr/>
  </w:style>
  <w:style w:type="paragraph" w:styleId="Level2">
    <w:name w:val="Level 2"/>
    <w:basedOn w:val="RateBody"/>
    <w:next w:val="Normal"/>
    <w:qFormat/>
    <w:pPr>
      <w:ind w:hanging="432" w:start="86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2001-04-17T20:20:00Z</dcterms:created>
  <dc:creator>Randy Wong</dc:creator>
  <dc:description/>
  <dc:language>en-CA</dc:language>
  <cp:lastModifiedBy>Nel Avendano</cp:lastModifiedBy>
  <cp:lastPrinted>2001-04-16T14:39:00Z</cp:lastPrinted>
  <dcterms:modified xsi:type="dcterms:W3CDTF">2001-04-17T20:20:00Z</dcterms:modified>
  <cp:revision>2</cp:revision>
  <dc:subject/>
  <dc:title>DRAFT</dc:title>
</cp:coreProperties>
</file>