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April 17, 2001</w:t>
      </w:r>
    </w:p>
    <w:p>
      <w:pPr>
        <w:pStyle w:val="Header"/>
        <w:tabs>
          <w:tab w:val="clear" w:pos="4320"/>
          <w:tab w:val="clear" w:pos="8640"/>
        </w:tabs>
        <w:rPr>
          <w:color w:val="000000"/>
        </w:rPr>
      </w:pPr>
      <w:r>
        <w:rPr>
          <w:color w:val="000000"/>
        </w:rPr>
      </w:r>
    </w:p>
    <w:p>
      <w:pPr>
        <w:pStyle w:val="Normal"/>
        <w:rPr>
          <w:color w:val="000000"/>
        </w:rPr>
      </w:pPr>
      <w:r>
        <w:rPr>
          <w:color w:val="000000"/>
        </w:rPr>
      </w:r>
    </w:p>
    <w:p>
      <w:pPr>
        <w:pStyle w:val="Normal"/>
        <w:rPr>
          <w:color w:val="000000"/>
        </w:rPr>
      </w:pPr>
      <w:r>
        <w:rPr>
          <w:b/>
          <w:bCs/>
          <w:color w:val="000000"/>
        </w:rPr>
        <w:t>ADVICE 2099-E-A</w:t>
      </w:r>
    </w:p>
    <w:p>
      <w:pPr>
        <w:pStyle w:val="Normal"/>
        <w:rPr>
          <w:color w:val="000000"/>
          <w:sz w:val="22"/>
          <w:szCs w:val="22"/>
        </w:rPr>
      </w:pPr>
      <w:r>
        <w:rPr>
          <w:color w:val="000000"/>
          <w:sz w:val="22"/>
          <w:szCs w:val="22"/>
        </w:rPr>
        <w:t>(Pacific Gas and Electric Company ID U 39 E)</w:t>
      </w:r>
    </w:p>
    <w:p>
      <w:pPr>
        <w:pStyle w:val="Normal"/>
        <w:rPr>
          <w:color w:val="000000"/>
          <w:sz w:val="22"/>
          <w:szCs w:val="22"/>
        </w:rPr>
      </w:pPr>
      <w:r>
        <w:rPr>
          <w:color w:val="000000"/>
          <w:sz w:val="22"/>
          <w:szCs w:val="22"/>
        </w:rPr>
      </w:r>
    </w:p>
    <w:p>
      <w:pPr>
        <w:pStyle w:val="Normal"/>
        <w:rPr>
          <w:color w:val="000000"/>
        </w:rPr>
      </w:pPr>
      <w:r>
        <w:rPr>
          <w:color w:val="000000"/>
        </w:rPr>
      </w:r>
    </w:p>
    <w:p>
      <w:pPr>
        <w:pStyle w:val="Normal"/>
        <w:rPr>
          <w:color w:val="000000"/>
        </w:rPr>
      </w:pPr>
      <w:r>
        <w:rPr>
          <w:color w:val="000000"/>
        </w:rPr>
        <w:t>Public Utilities Commission of the State of California</w:t>
      </w:r>
    </w:p>
    <w:p>
      <w:pPr>
        <w:pStyle w:val="Normal"/>
        <w:rPr>
          <w:color w:val="000000"/>
        </w:rPr>
      </w:pPr>
      <w:r>
        <w:rPr>
          <w:color w:val="000000"/>
        </w:rPr>
      </w:r>
    </w:p>
    <w:p>
      <w:pPr>
        <w:pStyle w:val="Normal"/>
        <w:rPr>
          <w:color w:val="000000"/>
        </w:rPr>
      </w:pPr>
      <w:r>
        <w:rPr>
          <w:color w:val="000000"/>
        </w:rPr>
      </w:r>
    </w:p>
    <w:p>
      <w:pPr>
        <w:pStyle w:val="Normal"/>
        <w:rPr>
          <w:color w:val="000000"/>
        </w:rPr>
      </w:pPr>
      <w:r>
        <w:rPr>
          <w:b/>
          <w:bCs/>
          <w:color w:val="000000"/>
          <w:u w:val="single"/>
        </w:rPr>
        <w:t>Subject:</w:t>
      </w:r>
      <w:r>
        <w:rPr>
          <w:color w:val="000000"/>
        </w:rPr>
        <w:t xml:space="preserve">  </w:t>
      </w:r>
      <w:r>
        <w:rPr>
          <w:b/>
          <w:bCs/>
          <w:color w:val="000000"/>
        </w:rPr>
        <w:t>Supplemental Filing</w:t>
      </w:r>
      <w:r>
        <w:rPr>
          <w:color w:val="000000"/>
        </w:rPr>
        <w:t xml:space="preserve"> -- </w:t>
      </w:r>
      <w:r>
        <w:rPr>
          <w:b/>
          <w:bCs/>
          <w:color w:val="000000"/>
        </w:rPr>
        <w:t>Electric Interruptible Load Programs</w:t>
      </w:r>
    </w:p>
    <w:p>
      <w:pPr>
        <w:pStyle w:val="Normal"/>
        <w:rPr>
          <w:color w:val="000000"/>
        </w:rPr>
      </w:pPr>
      <w:r>
        <w:rPr>
          <w:color w:val="000000"/>
        </w:rPr>
      </w:r>
    </w:p>
    <w:p>
      <w:pPr>
        <w:pStyle w:val="BodyText2"/>
        <w:rPr/>
      </w:pPr>
      <w:r>
        <w:rPr/>
        <w:t>Pacific Gas and Electric Company (the Company) hereby submits for filing revisions to its electric tariffs. The affected tariff sheets are listed on the enclosed Attachment I.</w:t>
      </w:r>
    </w:p>
    <w:p>
      <w:pPr>
        <w:pStyle w:val="BodyText2"/>
        <w:rPr/>
      </w:pPr>
      <w:r>
        <w:rPr/>
      </w:r>
    </w:p>
    <w:p>
      <w:pPr>
        <w:pStyle w:val="BodyText"/>
        <w:rPr/>
      </w:pPr>
      <w:r>
        <w:rPr/>
        <w:t>PG&amp;E reserves all legal rights to challenge the decisions or statutes under which it has been required to make this advice filing, and nothing in this advice filing constitutes a waiver of such rights.  Also, PG&amp;E reserves any additional legal rights to challenge the requirement to make this advice filing by reason of its status as a debtor under Chapter 11 of the Bankruptcy Code, and nothing in this advice filing constitutes a waiver of such rights.</w:t>
      </w:r>
    </w:p>
    <w:p>
      <w:pPr>
        <w:pStyle w:val="Normal"/>
        <w:rPr>
          <w:color w:val="000000"/>
        </w:rPr>
      </w:pPr>
      <w:r>
        <w:rPr>
          <w:color w:val="000000"/>
        </w:rPr>
      </w:r>
    </w:p>
    <w:p>
      <w:pPr>
        <w:pStyle w:val="Heading1"/>
        <w:ind w:hanging="0" w:start="0"/>
        <w:rPr>
          <w:color w:val="000000"/>
        </w:rPr>
      </w:pPr>
      <w:r>
        <w:rPr>
          <w:color w:val="000000"/>
        </w:rPr>
        <w:t>Purpose</w:t>
      </w:r>
    </w:p>
    <w:p>
      <w:pPr>
        <w:pStyle w:val="Normal"/>
        <w:rPr>
          <w:color w:val="000000"/>
        </w:rPr>
      </w:pPr>
      <w:r>
        <w:rPr>
          <w:color w:val="000000"/>
        </w:rPr>
      </w:r>
    </w:p>
    <w:p>
      <w:pPr>
        <w:pStyle w:val="Normal"/>
        <w:jc w:val="both"/>
        <w:rPr/>
      </w:pPr>
      <w:r>
        <w:rPr/>
        <w:t>In accordance with D. 01-04-006 issued April 3, 2001 (mailed April 4, 2001), and the Assigned Commissioner’s Ruling (ACR) on Filing and Service of draft Advice Letters and Tariffs in Rulemaking (R.) 00-10-002--Operation of Interruptible Load Programs (Programs), attached to this supplemental filing are further revisions to proposed Schedules E-BIP, E-VDRP, and E-OBMC for the new interruptible programs as filed in Advice 2099-E.  PG&amp;E and the Commission’s Energy Division have been in communication to clarify tariff changes necessary to ensure that the revised tariffs are in full compliance with D. 01-04-006.</w:t>
      </w:r>
    </w:p>
    <w:p>
      <w:pPr>
        <w:pStyle w:val="Header"/>
        <w:tabs>
          <w:tab w:val="clear" w:pos="4320"/>
          <w:tab w:val="clear" w:pos="8640"/>
        </w:tabs>
        <w:rPr/>
      </w:pPr>
      <w:r>
        <w:rPr/>
      </w:r>
    </w:p>
    <w:p>
      <w:pPr>
        <w:pStyle w:val="Heading1"/>
        <w:ind w:hanging="0" w:start="0"/>
        <w:rPr/>
      </w:pPr>
      <w:r>
        <w:rPr/>
        <w:t>Tariff Changes</w:t>
      </w:r>
    </w:p>
    <w:p>
      <w:pPr>
        <w:pStyle w:val="Header"/>
        <w:tabs>
          <w:tab w:val="clear" w:pos="4320"/>
          <w:tab w:val="clear" w:pos="8640"/>
        </w:tabs>
        <w:rPr/>
      </w:pPr>
      <w:r>
        <w:rPr/>
      </w:r>
    </w:p>
    <w:p>
      <w:pPr>
        <w:pStyle w:val="Header"/>
        <w:tabs>
          <w:tab w:val="clear" w:pos="4320"/>
          <w:tab w:val="clear" w:pos="8640"/>
        </w:tabs>
        <w:rPr>
          <w:b/>
          <w:bCs/>
          <w:u w:val="single"/>
        </w:rPr>
      </w:pPr>
      <w:r>
        <w:rPr>
          <w:b/>
          <w:bCs/>
        </w:rPr>
        <w:t>Preliminary Statement Part BX—Interruptible Load Programs Memorandum Account (ILPMA)</w:t>
      </w:r>
    </w:p>
    <w:p>
      <w:pPr>
        <w:pStyle w:val="Header"/>
        <w:tabs>
          <w:tab w:val="clear" w:pos="4320"/>
          <w:tab w:val="clear" w:pos="8640"/>
        </w:tabs>
        <w:rPr>
          <w:b/>
          <w:bCs/>
          <w:u w:val="single"/>
        </w:rPr>
      </w:pPr>
      <w:r>
        <w:rPr>
          <w:b/>
          <w:bCs/>
          <w:u w:val="single"/>
        </w:rPr>
      </w:r>
    </w:p>
    <w:p>
      <w:pPr>
        <w:pStyle w:val="Header"/>
        <w:tabs>
          <w:tab w:val="clear" w:pos="4320"/>
          <w:tab w:val="clear" w:pos="8640"/>
        </w:tabs>
        <w:jc w:val="both"/>
        <w:rPr/>
      </w:pPr>
      <w:r>
        <w:rPr/>
        <w:t xml:space="preserve">Text is added to indicate that revenues recorded in the ILPMA will include, </w:t>
      </w:r>
      <w:r>
        <w:rPr>
          <w:u w:val="single"/>
        </w:rPr>
        <w:t>but not necessarily be limited to</w:t>
      </w:r>
      <w:r>
        <w:rPr/>
        <w:t>, certain costs associated with the programs. The last paragraph to Part BX has been deleted, as the language from that paragraph is incorporated in Items 1 and 3.</w:t>
      </w:r>
    </w:p>
    <w:p>
      <w:pPr>
        <w:pStyle w:val="Header"/>
        <w:tabs>
          <w:tab w:val="clear" w:pos="4320"/>
          <w:tab w:val="clear" w:pos="8640"/>
        </w:tabs>
        <w:jc w:val="both"/>
        <w:rPr/>
      </w:pPr>
      <w:r>
        <w:rPr/>
      </w:r>
    </w:p>
    <w:p>
      <w:pPr>
        <w:pStyle w:val="Header"/>
        <w:tabs>
          <w:tab w:val="clear" w:pos="4320"/>
          <w:tab w:val="clear" w:pos="8640"/>
        </w:tabs>
        <w:rPr/>
      </w:pPr>
      <w:r>
        <w:rPr/>
      </w:r>
    </w:p>
    <w:p>
      <w:pPr>
        <w:pStyle w:val="Heading2"/>
        <w:ind w:hanging="0" w:start="0"/>
        <w:rPr>
          <w:u w:val="single"/>
        </w:rPr>
      </w:pPr>
      <w:r>
        <w:rPr>
          <w:u w:val="single"/>
        </w:rPr>
        <w:t>Schedule E-BIP - Base Interruptible Program</w:t>
      </w:r>
    </w:p>
    <w:p>
      <w:pPr>
        <w:pStyle w:val="Normal"/>
        <w:rPr>
          <w:u w:val="single"/>
        </w:rPr>
      </w:pPr>
      <w:r>
        <w:rPr>
          <w:u w:val="single"/>
        </w:rPr>
      </w:r>
    </w:p>
    <w:p>
      <w:pPr>
        <w:pStyle w:val="BodyText"/>
        <w:rPr/>
      </w:pPr>
      <w:r>
        <w:rPr/>
        <w:t>The modifications to the Base Interruptible Program under Schedule E-BIP applies as follows:</w:t>
      </w:r>
    </w:p>
    <w:p>
      <w:pPr>
        <w:pStyle w:val="Normal"/>
        <w:rPr/>
      </w:pPr>
      <w:r>
        <w:rPr/>
      </w:r>
    </w:p>
    <w:p>
      <w:pPr>
        <w:pStyle w:val="Normal"/>
        <w:numPr>
          <w:ilvl w:val="0"/>
          <w:numId w:val="2"/>
        </w:numPr>
        <w:tabs>
          <w:tab w:val="clear" w:pos="720"/>
          <w:tab w:val="left" w:pos="0" w:leader="none"/>
        </w:tabs>
        <w:ind w:hanging="380" w:start="760" w:end="0"/>
        <w:rPr/>
      </w:pPr>
      <w:r>
        <w:rPr/>
        <w:t xml:space="preserve">The start date of Schedule E-BIP is revised to reflect that it is effective </w:t>
      </w:r>
      <w:r>
        <w:rPr>
          <w:u w:val="single"/>
        </w:rPr>
        <w:t>upon Commission approval</w:t>
      </w:r>
      <w:r>
        <w:rPr/>
        <w:t xml:space="preserve"> and will continue in effect through December 31, 2002.</w:t>
      </w:r>
    </w:p>
    <w:p>
      <w:pPr>
        <w:pStyle w:val="Normal"/>
        <w:numPr>
          <w:ilvl w:val="0"/>
          <w:numId w:val="0"/>
        </w:numPr>
        <w:ind w:hanging="0" w:start="0"/>
        <w:rPr/>
      </w:pPr>
      <w:r>
        <w:rPr/>
      </w:r>
    </w:p>
    <w:p>
      <w:pPr>
        <w:pStyle w:val="Normal"/>
        <w:numPr>
          <w:ilvl w:val="0"/>
          <w:numId w:val="2"/>
        </w:numPr>
        <w:tabs>
          <w:tab w:val="clear" w:pos="720"/>
          <w:tab w:val="left" w:pos="0" w:leader="none"/>
        </w:tabs>
        <w:ind w:hanging="380" w:start="760" w:end="0"/>
        <w:rPr/>
      </w:pPr>
      <w:r>
        <w:rPr/>
        <w:t>The Firm Service Level (FSL) calculation is modified to reflect the customer’s highest monthly maximum demand during the summer on-peak and winter partial-peak periods.  This language was added to exclude customers with maximum usage that occurs during the off-peak hours from participating in the program and receiving an incentive that is based on on</w:t>
        <w:noBreakHyphen/>
        <w:t>peak load reduction.</w:t>
      </w:r>
    </w:p>
    <w:p>
      <w:pPr>
        <w:pStyle w:val="Normal"/>
        <w:numPr>
          <w:ilvl w:val="0"/>
          <w:numId w:val="0"/>
        </w:numPr>
        <w:ind w:hanging="0" w:start="0"/>
        <w:rPr/>
      </w:pPr>
      <w:r>
        <w:rPr/>
      </w:r>
    </w:p>
    <w:p>
      <w:pPr>
        <w:pStyle w:val="Normal"/>
        <w:numPr>
          <w:ilvl w:val="0"/>
          <w:numId w:val="2"/>
        </w:numPr>
        <w:tabs>
          <w:tab w:val="clear" w:pos="720"/>
          <w:tab w:val="left" w:pos="0" w:leader="none"/>
        </w:tabs>
        <w:ind w:hanging="380" w:start="760" w:end="0"/>
        <w:rPr/>
      </w:pPr>
      <w:r>
        <w:rPr/>
        <w:t>Language is added stating that an essential customer may commit no more than 50% of its average peak load to interruptible programs in accordance with D. 01-04-006, Attachment A, Section 3.4.</w:t>
      </w:r>
    </w:p>
    <w:p>
      <w:pPr>
        <w:pStyle w:val="Normal"/>
        <w:numPr>
          <w:ilvl w:val="0"/>
          <w:numId w:val="0"/>
        </w:numPr>
        <w:ind w:hanging="0" w:start="0"/>
        <w:rPr/>
      </w:pPr>
      <w:r>
        <w:rPr/>
      </w:r>
    </w:p>
    <w:p>
      <w:pPr>
        <w:pStyle w:val="Normal"/>
        <w:numPr>
          <w:ilvl w:val="0"/>
          <w:numId w:val="2"/>
        </w:numPr>
        <w:tabs>
          <w:tab w:val="clear" w:pos="720"/>
          <w:tab w:val="left" w:pos="0" w:leader="none"/>
        </w:tabs>
        <w:ind w:hanging="380" w:start="760" w:end="0"/>
        <w:rPr/>
      </w:pPr>
      <w:r>
        <w:rPr/>
        <w:t>Language is added clarifying that customers who receive an interval meter from PG&amp;E through this program will not be charged for the meter.</w:t>
      </w:r>
    </w:p>
    <w:p>
      <w:pPr>
        <w:pStyle w:val="Normal"/>
        <w:numPr>
          <w:ilvl w:val="0"/>
          <w:numId w:val="0"/>
        </w:numPr>
        <w:ind w:hanging="0" w:start="0"/>
        <w:rPr/>
      </w:pPr>
      <w:r>
        <w:rPr/>
      </w:r>
    </w:p>
    <w:p>
      <w:pPr>
        <w:pStyle w:val="Normal"/>
        <w:numPr>
          <w:ilvl w:val="0"/>
          <w:numId w:val="2"/>
        </w:numPr>
        <w:tabs>
          <w:tab w:val="clear" w:pos="720"/>
          <w:tab w:val="left" w:pos="0" w:leader="none"/>
        </w:tabs>
        <w:ind w:hanging="380" w:start="760" w:end="0"/>
        <w:rPr/>
      </w:pPr>
      <w:r>
        <w:rPr/>
        <w:t>Text is added clarifying that PG&amp;E reserves the right to terminate the program with thirty (30) days' written notice to customers, and Commission approval.</w:t>
      </w:r>
    </w:p>
    <w:p>
      <w:pPr>
        <w:pStyle w:val="Normal"/>
        <w:numPr>
          <w:ilvl w:val="0"/>
          <w:numId w:val="0"/>
        </w:numPr>
        <w:ind w:hanging="0" w:start="0"/>
        <w:rPr/>
      </w:pPr>
      <w:r>
        <w:rPr/>
      </w:r>
    </w:p>
    <w:p>
      <w:pPr>
        <w:pStyle w:val="Normal"/>
        <w:numPr>
          <w:ilvl w:val="0"/>
          <w:numId w:val="2"/>
        </w:numPr>
        <w:tabs>
          <w:tab w:val="clear" w:pos="720"/>
          <w:tab w:val="left" w:pos="0" w:leader="none"/>
        </w:tabs>
        <w:ind w:hanging="380" w:start="760" w:end="0"/>
        <w:rPr/>
      </w:pPr>
      <w:r>
        <w:rPr/>
        <w:t>Language for failure to pay non-compliance penalty is eliminated.</w:t>
      </w:r>
    </w:p>
    <w:p>
      <w:pPr>
        <w:pStyle w:val="Normal"/>
        <w:numPr>
          <w:ilvl w:val="0"/>
          <w:numId w:val="0"/>
        </w:numPr>
        <w:ind w:hanging="0" w:start="0"/>
        <w:rPr/>
      </w:pPr>
      <w:r>
        <w:rPr/>
      </w:r>
    </w:p>
    <w:p>
      <w:pPr>
        <w:pStyle w:val="Normal"/>
        <w:numPr>
          <w:ilvl w:val="0"/>
          <w:numId w:val="2"/>
        </w:numPr>
        <w:tabs>
          <w:tab w:val="clear" w:pos="720"/>
          <w:tab w:val="left" w:pos="0" w:leader="none"/>
        </w:tabs>
        <w:ind w:hanging="380" w:start="760" w:end="0"/>
        <w:rPr/>
      </w:pPr>
      <w:r>
        <w:rPr/>
        <w:t>Adds language stating that customers on Schedule E-OBMC plans cannot participate in Schedule E-BIP.</w:t>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b/>
          <w:bCs/>
          <w:u w:val="single"/>
        </w:rPr>
      </w:pPr>
      <w:r>
        <w:rPr>
          <w:b/>
          <w:bCs/>
          <w:u w:val="single"/>
        </w:rPr>
        <w:t>Schedule VDRP - Voluntary Demand Response Program</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t>The revision to the Voluntary Demand Response Program under Schedule E-VDRP applies as follows:</w:t>
      </w:r>
    </w:p>
    <w:p>
      <w:pPr>
        <w:pStyle w:val="Header"/>
        <w:numPr>
          <w:ilvl w:val="0"/>
          <w:numId w:val="0"/>
        </w:numPr>
        <w:tabs>
          <w:tab w:val="clear" w:pos="4320"/>
          <w:tab w:val="clear" w:pos="8640"/>
        </w:tabs>
        <w:ind w:hanging="0" w:start="0"/>
        <w:rPr/>
      </w:pPr>
      <w:r>
        <w:rPr/>
      </w:r>
    </w:p>
    <w:p>
      <w:pPr>
        <w:pStyle w:val="Normal"/>
        <w:numPr>
          <w:ilvl w:val="0"/>
          <w:numId w:val="2"/>
        </w:numPr>
        <w:tabs>
          <w:tab w:val="clear" w:pos="720"/>
          <w:tab w:val="left" w:pos="0" w:leader="none"/>
        </w:tabs>
        <w:spacing w:before="0" w:after="240"/>
        <w:ind w:hanging="380" w:start="760" w:end="0"/>
        <w:rPr/>
      </w:pPr>
      <w:r>
        <w:rPr/>
        <w:t xml:space="preserve">The start date of Schedule E-VDRP is revised to reflect that it is effective </w:t>
      </w:r>
      <w:r>
        <w:rPr>
          <w:u w:val="single"/>
        </w:rPr>
        <w:t>upon Commission approval</w:t>
      </w:r>
      <w:r>
        <w:rPr/>
        <w:t xml:space="preserve"> and will continue in effect through December 31, 2002.</w:t>
      </w:r>
    </w:p>
    <w:p>
      <w:pPr>
        <w:pStyle w:val="Normal"/>
        <w:numPr>
          <w:ilvl w:val="0"/>
          <w:numId w:val="2"/>
        </w:numPr>
        <w:tabs>
          <w:tab w:val="clear" w:pos="720"/>
          <w:tab w:val="left" w:pos="0" w:leader="none"/>
        </w:tabs>
        <w:spacing w:before="0" w:after="240"/>
        <w:ind w:hanging="374" w:start="748" w:end="0"/>
        <w:rPr/>
      </w:pPr>
      <w:r>
        <w:rPr/>
        <w:t>Language is added stating that an essential customer may commit no more than 50% of its average peak load to interruptible programs in accordance with D. 01-04-006, Attachment A, Section 3.4.</w:t>
      </w:r>
    </w:p>
    <w:p>
      <w:pPr>
        <w:pStyle w:val="Normal"/>
        <w:numPr>
          <w:ilvl w:val="0"/>
          <w:numId w:val="2"/>
        </w:numPr>
        <w:tabs>
          <w:tab w:val="clear" w:pos="720"/>
          <w:tab w:val="left" w:pos="0" w:leader="none"/>
        </w:tabs>
        <w:spacing w:before="0" w:after="240"/>
        <w:ind w:hanging="374" w:start="748" w:end="0"/>
        <w:rPr/>
      </w:pPr>
      <w:r>
        <w:rPr/>
        <w:t>Language is added clarifying that customers who receive an interval meter from PG&amp;E through this program will not be charged for the meter.</w:t>
      </w:r>
    </w:p>
    <w:p>
      <w:pPr>
        <w:pStyle w:val="Normal"/>
        <w:numPr>
          <w:ilvl w:val="0"/>
          <w:numId w:val="2"/>
        </w:numPr>
        <w:tabs>
          <w:tab w:val="clear" w:pos="720"/>
          <w:tab w:val="left" w:pos="0" w:leader="none"/>
        </w:tabs>
        <w:spacing w:before="0" w:after="240"/>
        <w:ind w:hanging="374" w:start="748" w:end="0"/>
        <w:rPr/>
      </w:pPr>
      <w:r>
        <w:rPr/>
        <w:t>“</w:t>
      </w:r>
      <w:r>
        <w:rPr/>
        <w:t>Terminated for cause” language is deleted in the Metering section, and clarifying language is added stating that the participant must bid and fully comply in at least 10 events in a 12-month period in order to receive the interval meter at no charge.</w:t>
      </w:r>
    </w:p>
    <w:p>
      <w:pPr>
        <w:pStyle w:val="Normal"/>
        <w:numPr>
          <w:ilvl w:val="0"/>
          <w:numId w:val="2"/>
        </w:numPr>
        <w:tabs>
          <w:tab w:val="clear" w:pos="720"/>
          <w:tab w:val="left" w:pos="0" w:leader="none"/>
        </w:tabs>
        <w:spacing w:before="0" w:after="240"/>
        <w:ind w:hanging="374" w:start="748" w:end="0"/>
        <w:rPr/>
      </w:pPr>
      <w:r>
        <w:rPr/>
        <w:t>Clarifying language is added stating that the baseline in Schedule E-VDRP will be calculated using the average of the same actual curtailment hour for the 10-day period.</w:t>
      </w:r>
    </w:p>
    <w:p>
      <w:pPr>
        <w:pStyle w:val="Normal"/>
        <w:numPr>
          <w:ilvl w:val="0"/>
          <w:numId w:val="2"/>
        </w:numPr>
        <w:tabs>
          <w:tab w:val="clear" w:pos="720"/>
          <w:tab w:val="left" w:pos="0" w:leader="none"/>
        </w:tabs>
        <w:spacing w:before="0" w:after="240"/>
        <w:ind w:hanging="374" w:start="748" w:end="0"/>
        <w:rPr>
          <w:color w:val="000000"/>
        </w:rPr>
      </w:pPr>
      <w:r>
        <w:rPr/>
        <w:t>Language from D. 01-04-006, Attachment A, Section 2.2.5 replaces the originally-filed language regarding the minimum payment for an event.</w:t>
      </w:r>
    </w:p>
    <w:p>
      <w:pPr>
        <w:pStyle w:val="Header"/>
        <w:tabs>
          <w:tab w:val="clear" w:pos="4320"/>
          <w:tab w:val="clear" w:pos="8640"/>
        </w:tabs>
        <w:rPr>
          <w:b/>
          <w:bCs/>
          <w:color w:val="000000"/>
          <w:u w:val="single"/>
        </w:rPr>
      </w:pPr>
      <w:r>
        <w:rPr>
          <w:b/>
          <w:bCs/>
          <w:color w:val="000000"/>
          <w:u w:val="single"/>
        </w:rPr>
        <w:t>Interruptible Program Agreement (Form 79-976)</w:t>
      </w:r>
    </w:p>
    <w:p>
      <w:pPr>
        <w:pStyle w:val="Header"/>
        <w:tabs>
          <w:tab w:val="clear" w:pos="4320"/>
          <w:tab w:val="clear" w:pos="8640"/>
        </w:tabs>
        <w:rPr>
          <w:b/>
          <w:bCs/>
          <w:color w:val="000000"/>
          <w:u w:val="single"/>
        </w:rPr>
      </w:pPr>
      <w:r>
        <w:rPr>
          <w:b/>
          <w:bCs/>
          <w:color w:val="000000"/>
          <w:u w:val="single"/>
        </w:rPr>
      </w:r>
    </w:p>
    <w:p>
      <w:pPr>
        <w:pStyle w:val="Header"/>
        <w:tabs>
          <w:tab w:val="clear" w:pos="4320"/>
          <w:tab w:val="clear" w:pos="8640"/>
        </w:tabs>
        <w:jc w:val="both"/>
        <w:rPr/>
      </w:pPr>
      <w:r>
        <w:rPr>
          <w:color w:val="000000"/>
        </w:rPr>
        <w:t xml:space="preserve">Changes to the </w:t>
      </w:r>
      <w:r>
        <w:rPr>
          <w:color w:val="000000"/>
          <w:u w:val="single"/>
        </w:rPr>
        <w:t>Interruptible Program Agreement</w:t>
      </w:r>
      <w:r>
        <w:rPr>
          <w:color w:val="000000"/>
        </w:rPr>
        <w:t xml:space="preserve"> (Form No. 79-976) is as follows:</w:t>
      </w:r>
    </w:p>
    <w:p>
      <w:pPr>
        <w:pStyle w:val="Normal"/>
        <w:rPr>
          <w:color w:val="000000"/>
        </w:rPr>
      </w:pPr>
      <w:r>
        <w:rPr>
          <w:color w:val="000000"/>
        </w:rPr>
      </w:r>
    </w:p>
    <w:p>
      <w:pPr>
        <w:pStyle w:val="Normal"/>
        <w:numPr>
          <w:ilvl w:val="0"/>
          <w:numId w:val="3"/>
        </w:numPr>
        <w:tabs>
          <w:tab w:val="clear" w:pos="720"/>
          <w:tab w:val="left" w:pos="0" w:leader="none"/>
          <w:tab w:val="left" w:pos="360" w:leader="none"/>
        </w:tabs>
        <w:ind w:hanging="720" w:start="1080" w:end="0"/>
        <w:rPr>
          <w:smallCaps/>
        </w:rPr>
      </w:pPr>
      <w:r>
        <w:rPr/>
        <w:t>Minor typographical and grammatical errors are corrected.</w:t>
      </w:r>
    </w:p>
    <w:p>
      <w:pPr>
        <w:pStyle w:val="Normal"/>
        <w:numPr>
          <w:ilvl w:val="0"/>
          <w:numId w:val="0"/>
        </w:numPr>
        <w:tabs>
          <w:tab w:val="left" w:pos="720" w:leader="none"/>
        </w:tabs>
        <w:ind w:hanging="0" w:start="0"/>
        <w:rPr>
          <w:smallCaps/>
        </w:rPr>
      </w:pPr>
      <w:r>
        <w:rPr>
          <w:smallCaps/>
        </w:rPr>
      </w:r>
    </w:p>
    <w:p>
      <w:pPr>
        <w:pStyle w:val="Normal"/>
        <w:numPr>
          <w:ilvl w:val="0"/>
          <w:numId w:val="4"/>
        </w:numPr>
        <w:tabs>
          <w:tab w:val="clear" w:pos="720"/>
          <w:tab w:val="left" w:pos="0" w:leader="none"/>
        </w:tabs>
        <w:spacing w:before="0" w:after="240"/>
        <w:ind w:hanging="0" w:start="760" w:end="0"/>
        <w:rPr/>
      </w:pPr>
      <w:r>
        <w:rPr/>
        <w:t>Adds language stating that customers on Schedule E-OBMC plans cannot participate in Schedule E-BIP.</w:t>
      </w:r>
    </w:p>
    <w:p>
      <w:pPr>
        <w:pStyle w:val="Normal"/>
        <w:numPr>
          <w:ilvl w:val="0"/>
          <w:numId w:val="5"/>
        </w:numPr>
        <w:tabs>
          <w:tab w:val="clear" w:pos="720"/>
          <w:tab w:val="left" w:pos="0" w:leader="none"/>
          <w:tab w:val="left" w:pos="360" w:leader="none"/>
        </w:tabs>
        <w:spacing w:before="0" w:after="240"/>
        <w:ind w:hanging="360" w:start="1080" w:end="0"/>
        <w:rPr/>
      </w:pPr>
      <w:r>
        <w:rPr/>
        <w:t>Language is deleted stating that essential customers may commit all of their load onto an interruptible program.</w:t>
      </w:r>
    </w:p>
    <w:p>
      <w:pPr>
        <w:pStyle w:val="Normal"/>
        <w:tabs>
          <w:tab w:val="left" w:pos="720" w:leader="none"/>
        </w:tabs>
        <w:ind w:start="360" w:end="0"/>
        <w:rPr/>
      </w:pPr>
      <w:r>
        <w:rPr/>
        <w:t xml:space="preserve"> </w:t>
      </w:r>
    </w:p>
    <w:p>
      <w:pPr>
        <w:pStyle w:val="Header"/>
        <w:tabs>
          <w:tab w:val="clear" w:pos="4320"/>
          <w:tab w:val="clear" w:pos="8640"/>
        </w:tabs>
        <w:rPr>
          <w:b/>
          <w:bCs/>
          <w:color w:val="000000"/>
          <w:u w:val="single"/>
        </w:rPr>
      </w:pPr>
      <w:r>
        <w:rPr>
          <w:b/>
          <w:bCs/>
          <w:color w:val="000000"/>
          <w:u w:val="single"/>
        </w:rPr>
        <w:t>Schedule E-OBMC—Optional Binding Mandatory Curtailment Plan</w:t>
      </w:r>
    </w:p>
    <w:p>
      <w:pPr>
        <w:pStyle w:val="Header"/>
        <w:tabs>
          <w:tab w:val="clear" w:pos="4320"/>
          <w:tab w:val="clear" w:pos="8640"/>
        </w:tabs>
        <w:rPr>
          <w:b/>
          <w:bCs/>
          <w:color w:val="000000"/>
          <w:u w:val="single"/>
        </w:rPr>
      </w:pPr>
      <w:r>
        <w:rPr>
          <w:b/>
          <w:bCs/>
          <w:color w:val="000000"/>
          <w:u w:val="single"/>
        </w:rPr>
      </w:r>
    </w:p>
    <w:p>
      <w:pPr>
        <w:pStyle w:val="Normal"/>
        <w:numPr>
          <w:ilvl w:val="0"/>
          <w:numId w:val="6"/>
        </w:numPr>
        <w:tabs>
          <w:tab w:val="clear" w:pos="720"/>
          <w:tab w:val="left" w:pos="0" w:leader="none"/>
        </w:tabs>
        <w:ind w:hanging="360" w:start="720" w:end="0"/>
        <w:rPr/>
      </w:pPr>
      <w:r>
        <w:rPr>
          <w:color w:val="000000"/>
        </w:rPr>
        <w:t xml:space="preserve">A new </w:t>
      </w:r>
      <w:r>
        <w:rPr>
          <w:color w:val="000000"/>
          <w:u w:val="single"/>
        </w:rPr>
        <w:t>Program Operations</w:t>
      </w:r>
      <w:r>
        <w:rPr>
          <w:color w:val="000000"/>
        </w:rPr>
        <w:t xml:space="preserve"> section is shown on Schedule E-OBMC. Language regarding implementation of required curtailments under Schedule E-OBMC concurrent with each firm load curtailment is relocated from the </w:t>
      </w:r>
      <w:r>
        <w:rPr>
          <w:color w:val="000000"/>
          <w:u w:val="single"/>
        </w:rPr>
        <w:t>Applicability</w:t>
      </w:r>
      <w:r>
        <w:rPr>
          <w:color w:val="000000"/>
        </w:rPr>
        <w:t xml:space="preserve"> section to the new </w:t>
      </w:r>
      <w:r>
        <w:rPr>
          <w:color w:val="000000"/>
          <w:u w:val="single"/>
        </w:rPr>
        <w:t>Program Operations</w:t>
      </w:r>
      <w:r>
        <w:rPr>
          <w:color w:val="000000"/>
        </w:rPr>
        <w:t xml:space="preserve"> section.</w:t>
      </w:r>
    </w:p>
    <w:p>
      <w:pPr>
        <w:pStyle w:val="Normal"/>
        <w:numPr>
          <w:ilvl w:val="0"/>
          <w:numId w:val="0"/>
        </w:numPr>
        <w:ind w:hanging="0" w:start="360" w:end="0"/>
        <w:rPr/>
      </w:pPr>
      <w:r>
        <w:rPr/>
      </w:r>
    </w:p>
    <w:p>
      <w:pPr>
        <w:pStyle w:val="Normal"/>
        <w:numPr>
          <w:ilvl w:val="0"/>
          <w:numId w:val="6"/>
        </w:numPr>
        <w:tabs>
          <w:tab w:val="clear" w:pos="720"/>
          <w:tab w:val="left" w:pos="0" w:leader="none"/>
        </w:tabs>
        <w:ind w:hanging="360" w:start="720" w:end="0"/>
        <w:rPr/>
      </w:pPr>
      <w:r>
        <w:rPr>
          <w:color w:val="000000"/>
        </w:rPr>
        <w:t xml:space="preserve">Language regarding immediate curtailment following curtailment notification has been added to the new </w:t>
      </w:r>
      <w:r>
        <w:rPr>
          <w:color w:val="000000"/>
          <w:u w:val="single"/>
        </w:rPr>
        <w:t>Program Operations</w:t>
      </w:r>
      <w:r>
        <w:rPr>
          <w:color w:val="000000"/>
        </w:rPr>
        <w:t xml:space="preserve"> section. Text describing calculation of the baseline has been placed in the </w:t>
      </w:r>
      <w:r>
        <w:rPr>
          <w:color w:val="000000"/>
          <w:u w:val="single"/>
        </w:rPr>
        <w:t>Program Operations</w:t>
      </w:r>
      <w:r>
        <w:rPr>
          <w:color w:val="000000"/>
        </w:rPr>
        <w:t xml:space="preserve"> section.</w:t>
      </w:r>
    </w:p>
    <w:p>
      <w:pPr>
        <w:pStyle w:val="Normal"/>
        <w:numPr>
          <w:ilvl w:val="0"/>
          <w:numId w:val="0"/>
        </w:numPr>
        <w:ind w:hanging="0" w:start="0"/>
        <w:rPr>
          <w:color w:val="000000"/>
        </w:rPr>
      </w:pPr>
      <w:r>
        <w:rPr>
          <w:color w:val="000000"/>
        </w:rPr>
      </w:r>
    </w:p>
    <w:p>
      <w:pPr>
        <w:pStyle w:val="Normal"/>
        <w:numPr>
          <w:ilvl w:val="0"/>
          <w:numId w:val="6"/>
        </w:numPr>
        <w:tabs>
          <w:tab w:val="clear" w:pos="720"/>
          <w:tab w:val="left" w:pos="0" w:leader="none"/>
        </w:tabs>
        <w:ind w:hanging="360" w:start="720" w:end="0"/>
        <w:rPr/>
      </w:pPr>
      <w:r>
        <w:rPr>
          <w:color w:val="000000"/>
          <w:u w:val="single"/>
        </w:rPr>
        <w:t>Eligibility</w:t>
      </w:r>
      <w:r>
        <w:rPr>
          <w:color w:val="000000"/>
        </w:rPr>
        <w:t xml:space="preserve"> section, Item 4 regarding participation in capacity interruptible and demand relief programs, and specific references to PG&amp;E and CAISO programs, has been deleted.</w:t>
      </w:r>
    </w:p>
    <w:p>
      <w:pPr>
        <w:pStyle w:val="Normal"/>
        <w:numPr>
          <w:ilvl w:val="0"/>
          <w:numId w:val="6"/>
        </w:numPr>
        <w:tabs>
          <w:tab w:val="clear" w:pos="720"/>
          <w:tab w:val="left" w:pos="0" w:leader="none"/>
        </w:tabs>
        <w:ind w:hanging="360" w:start="720" w:end="0"/>
        <w:rPr/>
      </w:pPr>
      <w:r>
        <w:rPr>
          <w:color w:val="000000"/>
        </w:rPr>
        <w:t xml:space="preserve">In the </w:t>
      </w:r>
      <w:r>
        <w:rPr>
          <w:color w:val="000000"/>
          <w:u w:val="single"/>
        </w:rPr>
        <w:t>Eligibility</w:t>
      </w:r>
      <w:r>
        <w:rPr>
          <w:color w:val="000000"/>
        </w:rPr>
        <w:t xml:space="preserve"> section, Item 5 regarding creditworthiness has been eliminated.</w:t>
      </w:r>
    </w:p>
    <w:p>
      <w:pPr>
        <w:pStyle w:val="Normal"/>
        <w:numPr>
          <w:ilvl w:val="0"/>
          <w:numId w:val="0"/>
        </w:numPr>
        <w:ind w:hanging="0" w:start="0"/>
        <w:rPr>
          <w:color w:val="000000"/>
        </w:rPr>
      </w:pPr>
      <w:r>
        <w:rPr>
          <w:color w:val="000000"/>
        </w:rPr>
      </w:r>
    </w:p>
    <w:p>
      <w:pPr>
        <w:pStyle w:val="Normal"/>
        <w:numPr>
          <w:ilvl w:val="0"/>
          <w:numId w:val="6"/>
        </w:numPr>
        <w:tabs>
          <w:tab w:val="clear" w:pos="720"/>
          <w:tab w:val="left" w:pos="0" w:leader="none"/>
        </w:tabs>
        <w:ind w:hanging="0" w:start="720" w:end="0"/>
        <w:rPr/>
      </w:pPr>
      <w:r>
        <w:rPr>
          <w:color w:val="000000"/>
        </w:rPr>
        <w:t xml:space="preserve">In the </w:t>
      </w:r>
      <w:r>
        <w:rPr>
          <w:color w:val="000000"/>
          <w:u w:val="single"/>
        </w:rPr>
        <w:t>Plan Components</w:t>
      </w:r>
      <w:r>
        <w:rPr>
          <w:color w:val="000000"/>
        </w:rPr>
        <w:t xml:space="preserve"> section, Item 8, language is added to indicate that the load reduction plan must include seasonal load reduction measures.</w:t>
      </w:r>
    </w:p>
    <w:p>
      <w:pPr>
        <w:pStyle w:val="Normal"/>
        <w:ind w:hanging="380" w:start="380" w:end="0"/>
        <w:rPr/>
      </w:pPr>
      <w:r>
        <w:rPr/>
      </w:r>
    </w:p>
    <w:p>
      <w:pPr>
        <w:pStyle w:val="Header"/>
        <w:tabs>
          <w:tab w:val="clear" w:pos="4320"/>
          <w:tab w:val="clear" w:pos="8640"/>
        </w:tabs>
        <w:rPr>
          <w:b/>
          <w:bCs/>
          <w:color w:val="000000"/>
          <w:u w:val="single"/>
        </w:rPr>
      </w:pPr>
      <w:r>
        <w:rPr>
          <w:b/>
          <w:bCs/>
          <w:color w:val="000000"/>
          <w:u w:val="single"/>
        </w:rPr>
        <w:t>OBMC Service Agreement</w:t>
      </w:r>
    </w:p>
    <w:p>
      <w:pPr>
        <w:pStyle w:val="Header"/>
        <w:tabs>
          <w:tab w:val="clear" w:pos="4320"/>
          <w:tab w:val="clear" w:pos="8640"/>
        </w:tabs>
        <w:rPr>
          <w:b/>
          <w:bCs/>
          <w:color w:val="000000"/>
          <w:u w:val="single"/>
        </w:rPr>
      </w:pPr>
      <w:r>
        <w:rPr>
          <w:b/>
          <w:bCs/>
          <w:color w:val="000000"/>
          <w:u w:val="single"/>
        </w:rPr>
      </w:r>
    </w:p>
    <w:p>
      <w:pPr>
        <w:pStyle w:val="Header"/>
        <w:numPr>
          <w:ilvl w:val="0"/>
          <w:numId w:val="7"/>
        </w:numPr>
        <w:tabs>
          <w:tab w:val="clear" w:pos="4320"/>
          <w:tab w:val="clear" w:pos="8640"/>
          <w:tab w:val="left" w:pos="0" w:leader="none"/>
          <w:tab w:val="left" w:pos="360" w:leader="none"/>
        </w:tabs>
        <w:ind w:hanging="720" w:start="1080" w:end="0"/>
        <w:rPr/>
      </w:pPr>
      <w:r>
        <w:rPr>
          <w:color w:val="000000"/>
        </w:rPr>
        <w:t>Section 4—</w:t>
      </w:r>
      <w:r>
        <w:rPr>
          <w:color w:val="000000"/>
          <w:u w:val="single"/>
        </w:rPr>
        <w:t>Participation in Capacity Interruptible Programs</w:t>
      </w:r>
      <w:r>
        <w:rPr>
          <w:color w:val="000000"/>
        </w:rPr>
        <w:t xml:space="preserve"> was revised to clarify that participants in the OBMC plan shall not participate in any capacity interruptible program but may participate in a voluntary demand relief program.</w:t>
      </w:r>
    </w:p>
    <w:p>
      <w:pPr>
        <w:pStyle w:val="Header"/>
        <w:numPr>
          <w:ilvl w:val="0"/>
          <w:numId w:val="0"/>
        </w:numPr>
        <w:tabs>
          <w:tab w:val="clear" w:pos="4320"/>
          <w:tab w:val="clear" w:pos="8640"/>
        </w:tabs>
        <w:ind w:hanging="0" w:start="0"/>
        <w:rPr>
          <w:color w:val="000000"/>
        </w:rPr>
      </w:pPr>
      <w:r>
        <w:rPr>
          <w:color w:val="000000"/>
        </w:rPr>
      </w:r>
    </w:p>
    <w:p>
      <w:pPr>
        <w:pStyle w:val="Header"/>
        <w:numPr>
          <w:ilvl w:val="0"/>
          <w:numId w:val="7"/>
        </w:numPr>
        <w:tabs>
          <w:tab w:val="clear" w:pos="4320"/>
          <w:tab w:val="clear" w:pos="8640"/>
          <w:tab w:val="left" w:pos="0" w:leader="none"/>
          <w:tab w:val="left" w:pos="360" w:leader="none"/>
        </w:tabs>
        <w:ind w:hanging="720" w:start="1080" w:end="0"/>
        <w:jc w:val="both"/>
        <w:rPr/>
      </w:pPr>
      <w:r>
        <w:rPr>
          <w:color w:val="000000"/>
        </w:rPr>
        <w:t>Section 8-</w:t>
      </w:r>
      <w:r>
        <w:rPr>
          <w:color w:val="000000"/>
          <w:u w:val="single"/>
        </w:rPr>
        <w:t>Applicant Information</w:t>
      </w:r>
      <w:r>
        <w:rPr>
          <w:color w:val="000000"/>
        </w:rPr>
        <w:t>—Adds language to require seasonal load reduction measures, to comport with Schedule E-OBMC.</w:t>
      </w:r>
    </w:p>
    <w:p>
      <w:pPr>
        <w:pStyle w:val="Header"/>
        <w:numPr>
          <w:ilvl w:val="0"/>
          <w:numId w:val="0"/>
        </w:numPr>
        <w:tabs>
          <w:tab w:val="clear" w:pos="4320"/>
          <w:tab w:val="clear" w:pos="8640"/>
        </w:tabs>
        <w:ind w:hanging="0" w:start="0"/>
        <w:jc w:val="both"/>
        <w:rPr>
          <w:color w:val="000000"/>
        </w:rPr>
      </w:pPr>
      <w:r>
        <w:rPr>
          <w:color w:val="000000"/>
        </w:rPr>
      </w:r>
    </w:p>
    <w:p>
      <w:pPr>
        <w:pStyle w:val="Normal"/>
        <w:numPr>
          <w:ilvl w:val="0"/>
          <w:numId w:val="7"/>
        </w:numPr>
        <w:tabs>
          <w:tab w:val="clear" w:pos="720"/>
          <w:tab w:val="left" w:pos="0" w:leader="none"/>
          <w:tab w:val="left" w:pos="360" w:leader="none"/>
        </w:tabs>
        <w:ind w:hanging="360" w:start="1080" w:end="0"/>
        <w:jc w:val="both"/>
        <w:rPr/>
      </w:pPr>
      <w:r>
        <w:rPr>
          <w:color w:val="000000"/>
        </w:rPr>
        <w:t>Section 12—</w:t>
      </w:r>
      <w:r>
        <w:rPr>
          <w:color w:val="000000"/>
          <w:u w:val="single"/>
        </w:rPr>
        <w:t>Failure to Comply and Non-Compliance Penalties</w:t>
      </w:r>
      <w:r>
        <w:rPr>
          <w:color w:val="000000"/>
        </w:rPr>
        <w:t xml:space="preserve">—Changes language to read that PG&amp;E </w:t>
      </w:r>
      <w:r>
        <w:rPr>
          <w:color w:val="000000"/>
          <w:u w:val="single"/>
        </w:rPr>
        <w:t>shall</w:t>
      </w:r>
      <w:r>
        <w:rPr>
          <w:color w:val="000000"/>
        </w:rPr>
        <w:t>, [rather than “may”] without liability terminate any OBMC Plan immediately for failure to reduce circuit load levels to within five (5) percent of the required load reduction for the entire duration of the RO for a second time during a twelve (12) month period.</w:t>
      </w:r>
    </w:p>
    <w:p>
      <w:pPr>
        <w:pStyle w:val="Header"/>
        <w:tabs>
          <w:tab w:val="clear" w:pos="4320"/>
          <w:tab w:val="clear" w:pos="8640"/>
        </w:tabs>
        <w:rPr>
          <w:color w:val="000000"/>
        </w:rPr>
      </w:pPr>
      <w:r>
        <w:rPr>
          <w:color w:val="000000"/>
        </w:rPr>
      </w:r>
    </w:p>
    <w:p>
      <w:pPr>
        <w:pStyle w:val="Header"/>
        <w:tabs>
          <w:tab w:val="clear" w:pos="4320"/>
          <w:tab w:val="clear" w:pos="8640"/>
        </w:tabs>
        <w:rPr>
          <w:b/>
          <w:bCs/>
          <w:color w:val="000000"/>
          <w:u w:val="single"/>
        </w:rPr>
      </w:pPr>
      <w:r>
        <w:rPr>
          <w:b/>
          <w:bCs/>
          <w:color w:val="000000"/>
          <w:u w:val="single"/>
        </w:rPr>
        <w:t>Schedules E-19 and E-20</w:t>
      </w:r>
    </w:p>
    <w:p>
      <w:pPr>
        <w:pStyle w:val="Header"/>
        <w:tabs>
          <w:tab w:val="clear" w:pos="4320"/>
          <w:tab w:val="clear" w:pos="8640"/>
        </w:tabs>
        <w:rPr>
          <w:b/>
          <w:bCs/>
          <w:color w:val="000000"/>
          <w:u w:val="single"/>
        </w:rPr>
      </w:pPr>
      <w:r>
        <w:rPr>
          <w:b/>
          <w:bCs/>
          <w:color w:val="000000"/>
          <w:u w:val="single"/>
        </w:rPr>
      </w:r>
    </w:p>
    <w:p>
      <w:pPr>
        <w:pStyle w:val="Header"/>
        <w:tabs>
          <w:tab w:val="clear" w:pos="4320"/>
          <w:tab w:val="clear" w:pos="8640"/>
        </w:tabs>
        <w:spacing w:before="0" w:after="240"/>
        <w:jc w:val="both"/>
        <w:rPr>
          <w:color w:val="000000"/>
        </w:rPr>
      </w:pPr>
      <w:r>
        <w:rPr>
          <w:color w:val="000000"/>
        </w:rPr>
        <w:t>Revisions to Schedules E-19 and E-20 to provide for new Interruptible Load Programs in accordance with D. 01-04-006 and R. 00-10-002 are as follows:</w:t>
      </w:r>
    </w:p>
    <w:p>
      <w:pPr>
        <w:pStyle w:val="Header"/>
        <w:numPr>
          <w:ilvl w:val="0"/>
          <w:numId w:val="8"/>
        </w:numPr>
        <w:tabs>
          <w:tab w:val="clear" w:pos="4320"/>
          <w:tab w:val="clear" w:pos="8640"/>
          <w:tab w:val="left" w:pos="0" w:leader="none"/>
          <w:tab w:val="left" w:pos="360" w:leader="none"/>
        </w:tabs>
        <w:spacing w:before="0" w:after="240"/>
        <w:ind w:hanging="720" w:start="1080" w:end="0"/>
        <w:jc w:val="both"/>
        <w:rPr>
          <w:color w:val="000000"/>
        </w:rPr>
      </w:pPr>
      <w:r>
        <w:rPr>
          <w:color w:val="000000"/>
        </w:rPr>
        <w:t xml:space="preserve">Language is added in the </w:t>
      </w:r>
      <w:r>
        <w:rPr>
          <w:color w:val="000000"/>
          <w:u w:val="single"/>
        </w:rPr>
        <w:t>Eligibility</w:t>
      </w:r>
      <w:r>
        <w:rPr>
          <w:color w:val="000000"/>
        </w:rPr>
        <w:t xml:space="preserve"> section stating that </w:t>
      </w:r>
      <w:r>
        <w:rPr/>
        <w:t>customers who are deemed essential under the Electric Emergency Plan must submit a written declaration to PG&amp;E if they want to participate in an interruptible program.  In addition, an essential customer may commit no more than 50% of its average peak load to interruptible programs.</w:t>
      </w:r>
    </w:p>
    <w:p>
      <w:pPr>
        <w:pStyle w:val="Header"/>
        <w:numPr>
          <w:ilvl w:val="0"/>
          <w:numId w:val="8"/>
        </w:numPr>
        <w:tabs>
          <w:tab w:val="clear" w:pos="4320"/>
          <w:tab w:val="clear" w:pos="8640"/>
          <w:tab w:val="left" w:pos="0" w:leader="none"/>
          <w:tab w:val="left" w:pos="360" w:leader="none"/>
        </w:tabs>
        <w:spacing w:before="0" w:after="240"/>
        <w:ind w:hanging="360" w:start="1080" w:end="0"/>
        <w:jc w:val="both"/>
        <w:rPr>
          <w:color w:val="000000"/>
        </w:rPr>
      </w:pPr>
      <w:r>
        <w:rPr/>
        <w:t>Language is added that states that all transmission level customers except essential use customers, OBMC participants, net suppliers to the electrical grid, or others exempt by the Commission, are to be included in rotating outages in the event of an emergency.  Language was also added to reflect the penalty for non-compliance of a rotating outage in accordance with D. 01-04-006, Attachment A, Section 3.2.</w:t>
      </w:r>
    </w:p>
    <w:p>
      <w:pPr>
        <w:pStyle w:val="Heading1"/>
        <w:ind w:hanging="0" w:start="0"/>
        <w:rPr>
          <w:color w:val="000000"/>
        </w:rPr>
      </w:pPr>
      <w:r>
        <w:rPr>
          <w:color w:val="000000"/>
        </w:rPr>
        <w:t>Protests</w:t>
      </w:r>
    </w:p>
    <w:p>
      <w:pPr>
        <w:pStyle w:val="Normal"/>
        <w:rPr>
          <w:color w:val="000000"/>
        </w:rPr>
      </w:pPr>
      <w:r>
        <w:rPr>
          <w:color w:val="000000"/>
        </w:rPr>
      </w:r>
    </w:p>
    <w:p>
      <w:pPr>
        <w:pStyle w:val="Normal"/>
        <w:jc w:val="both"/>
        <w:rPr>
          <w:color w:val="000000"/>
        </w:rPr>
      </w:pPr>
      <w:r>
        <w:rPr>
          <w:color w:val="000000"/>
        </w:rPr>
        <w:t>Anyone wishing to protest this filing may do so by sending a letter within 20 days of the date of this filing.  The protest must state the grounds upon which it is based, including such items as financial and service impact, and should be submitted expeditiously.  Protests should be sent by U.S. mail and via facsimile to:</w:t>
      </w:r>
    </w:p>
    <w:p>
      <w:pPr>
        <w:pStyle w:val="Normal"/>
        <w:ind w:start="2700" w:end="0"/>
        <w:jc w:val="both"/>
        <w:rPr>
          <w:color w:val="000000"/>
        </w:rPr>
      </w:pPr>
      <w:r>
        <w:rPr>
          <w:color w:val="000000"/>
        </w:rPr>
        <w:t>IMC Branch Chief</w:t>
      </w:r>
    </w:p>
    <w:p>
      <w:pPr>
        <w:pStyle w:val="Normal"/>
        <w:ind w:start="2700" w:end="0"/>
        <w:jc w:val="both"/>
        <w:rPr>
          <w:color w:val="000000"/>
        </w:rPr>
      </w:pPr>
      <w:r>
        <w:rPr>
          <w:color w:val="000000"/>
        </w:rPr>
        <w:t>Energy Division</w:t>
      </w:r>
    </w:p>
    <w:p>
      <w:pPr>
        <w:pStyle w:val="Normal"/>
        <w:ind w:start="2700" w:end="0"/>
        <w:jc w:val="both"/>
        <w:rPr>
          <w:color w:val="000000"/>
        </w:rPr>
      </w:pPr>
      <w:r>
        <w:rPr>
          <w:color w:val="000000"/>
        </w:rPr>
        <w:t>California Public Utilities Commission</w:t>
      </w:r>
    </w:p>
    <w:p>
      <w:pPr>
        <w:pStyle w:val="Normal"/>
        <w:ind w:start="2700" w:end="0"/>
        <w:jc w:val="both"/>
        <w:rPr>
          <w:color w:val="000000"/>
        </w:rPr>
      </w:pPr>
      <w:r>
        <w:rPr>
          <w:color w:val="000000"/>
        </w:rPr>
        <w:t>505 Van Ness Avenue, Room 4002</w:t>
      </w:r>
    </w:p>
    <w:p>
      <w:pPr>
        <w:pStyle w:val="Normal"/>
        <w:ind w:start="2700" w:end="0"/>
        <w:jc w:val="both"/>
        <w:rPr>
          <w:color w:val="000000"/>
        </w:rPr>
      </w:pPr>
      <w:r>
        <w:rPr>
          <w:color w:val="000000"/>
        </w:rPr>
        <w:t>San Francisco, CA  94102</w:t>
      </w:r>
    </w:p>
    <w:p>
      <w:pPr>
        <w:pStyle w:val="Normal"/>
        <w:ind w:start="2700" w:end="0"/>
        <w:jc w:val="both"/>
        <w:rPr>
          <w:color w:val="000000"/>
        </w:rPr>
      </w:pPr>
      <w:r>
        <w:rPr>
          <w:color w:val="000000"/>
        </w:rPr>
        <w:t>Facsimile: (415) 703-2200</w:t>
      </w:r>
    </w:p>
    <w:p>
      <w:pPr>
        <w:pStyle w:val="Normal"/>
        <w:jc w:val="both"/>
        <w:rPr>
          <w:color w:val="000000"/>
        </w:rPr>
      </w:pPr>
      <w:r>
        <w:rPr>
          <w:color w:val="000000"/>
        </w:rPr>
      </w:r>
    </w:p>
    <w:p>
      <w:pPr>
        <w:pStyle w:val="Normal"/>
        <w:jc w:val="both"/>
        <w:rPr/>
      </w:pPr>
      <w:r>
        <w:rPr>
          <w:color w:val="000000"/>
        </w:rPr>
        <w:t xml:space="preserve">Copies should also be mailed to the attention of the Director, Energy Division, Room 4005 and Jerry Royer, Energy Division, at the address shown above.  It is also requested that a copy of the protest be sent via postal mail </w:t>
      </w:r>
      <w:r>
        <w:rPr>
          <w:color w:val="000000"/>
          <w:u w:val="single"/>
        </w:rPr>
        <w:t>and</w:t>
      </w:r>
      <w:r>
        <w:rPr>
          <w:color w:val="000000"/>
        </w:rPr>
        <w:t xml:space="preserve"> facsimile to Pacific Gas and Electric Company on the same date it is mailed or delivered to the Commission at the address shown below.</w:t>
      </w:r>
    </w:p>
    <w:p>
      <w:pPr>
        <w:pStyle w:val="Normal"/>
        <w:jc w:val="both"/>
        <w:rPr>
          <w:color w:val="000000"/>
        </w:rPr>
      </w:pPr>
      <w:r>
        <w:rPr>
          <w:color w:val="000000"/>
        </w:rPr>
      </w:r>
    </w:p>
    <w:p>
      <w:pPr>
        <w:pStyle w:val="Header"/>
        <w:tabs>
          <w:tab w:val="clear" w:pos="4320"/>
          <w:tab w:val="clear" w:pos="8640"/>
        </w:tabs>
        <w:rPr>
          <w:color w:val="000000"/>
        </w:rPr>
      </w:pPr>
      <w:r>
        <w:rPr>
          <w:color w:val="000000"/>
        </w:rPr>
        <w:tab/>
        <w:tab/>
        <w:tab/>
        <w:tab/>
        <w:t>Pacific Gas and Electric Company</w:t>
      </w:r>
    </w:p>
    <w:p>
      <w:pPr>
        <w:pStyle w:val="Normal"/>
        <w:ind w:start="2880" w:end="0"/>
        <w:rPr>
          <w:color w:val="000000"/>
        </w:rPr>
      </w:pPr>
      <w:r>
        <w:rPr>
          <w:color w:val="000000"/>
        </w:rPr>
        <w:t>Attention: Les Guliasi</w:t>
      </w:r>
    </w:p>
    <w:p>
      <w:pPr>
        <w:pStyle w:val="Normal"/>
        <w:ind w:start="2880" w:end="0"/>
        <w:rPr>
          <w:color w:val="000000"/>
        </w:rPr>
      </w:pPr>
      <w:r>
        <w:rPr>
          <w:color w:val="000000"/>
        </w:rPr>
        <w:t>Director, Regulatory Relations</w:t>
      </w:r>
    </w:p>
    <w:p>
      <w:pPr>
        <w:pStyle w:val="Normal"/>
        <w:ind w:start="2880" w:end="0"/>
        <w:rPr>
          <w:color w:val="000000"/>
        </w:rPr>
      </w:pPr>
      <w:r>
        <w:rPr>
          <w:color w:val="000000"/>
        </w:rPr>
        <w:t>77 Beale Street, Mailcode B10C</w:t>
      </w:r>
    </w:p>
    <w:p>
      <w:pPr>
        <w:pStyle w:val="Normal"/>
        <w:ind w:start="2880" w:end="0"/>
        <w:rPr>
          <w:color w:val="000000"/>
        </w:rPr>
      </w:pPr>
      <w:r>
        <w:rPr>
          <w:color w:val="000000"/>
        </w:rPr>
        <w:t>P.O. Box 770000</w:t>
      </w:r>
    </w:p>
    <w:p>
      <w:pPr>
        <w:pStyle w:val="Normal"/>
        <w:ind w:start="2880" w:end="0"/>
        <w:rPr>
          <w:color w:val="000000"/>
        </w:rPr>
      </w:pPr>
      <w:r>
        <w:rPr>
          <w:color w:val="000000"/>
        </w:rPr>
        <w:t>San Francisco, CA  94177</w:t>
      </w:r>
    </w:p>
    <w:p>
      <w:pPr>
        <w:pStyle w:val="Normal"/>
        <w:ind w:start="2880" w:end="0"/>
        <w:rPr>
          <w:color w:val="000000"/>
        </w:rPr>
      </w:pPr>
      <w:r>
        <w:rPr>
          <w:color w:val="000000"/>
        </w:rPr>
        <w:t>Facsimile: (415) 973-7226</w:t>
      </w:r>
    </w:p>
    <w:p>
      <w:pPr>
        <w:pStyle w:val="Heading1"/>
        <w:ind w:hanging="0" w:start="0"/>
        <w:rPr>
          <w:color w:val="000000"/>
        </w:rPr>
      </w:pPr>
      <w:r>
        <w:rPr>
          <w:color w:val="000000"/>
        </w:rPr>
        <w:t>Effective Date</w:t>
      </w:r>
    </w:p>
    <w:p>
      <w:pPr>
        <w:pStyle w:val="Normal"/>
        <w:rPr>
          <w:color w:val="000000"/>
        </w:rPr>
      </w:pPr>
      <w:r>
        <w:rPr>
          <w:color w:val="000000"/>
        </w:rPr>
      </w:r>
    </w:p>
    <w:p>
      <w:pPr>
        <w:pStyle w:val="Normal"/>
        <w:jc w:val="both"/>
        <w:rPr>
          <w:color w:val="000000"/>
        </w:rPr>
      </w:pPr>
      <w:r>
        <w:rPr>
          <w:color w:val="000000"/>
        </w:rPr>
        <w:t>On April 13, 2001, the Commission issued a letter suspending Advice 2099-E until it determines that PG&amp;E’s tariffs comply with D. 01-04-006.  The letter is attached to this filing. Therefore, PG&amp;E requests that this advice filing become effective upon Commission approval.</w:t>
      </w:r>
    </w:p>
    <w:p>
      <w:pPr>
        <w:pStyle w:val="Normal"/>
        <w:rPr>
          <w:color w:val="000000"/>
        </w:rPr>
      </w:pPr>
      <w:r>
        <w:rPr>
          <w:color w:val="000000"/>
        </w:rPr>
      </w:r>
    </w:p>
    <w:p>
      <w:pPr>
        <w:pStyle w:val="Heading2"/>
        <w:ind w:hanging="0" w:start="0"/>
        <w:rPr>
          <w:color w:val="000000"/>
          <w:u w:val="single"/>
        </w:rPr>
      </w:pPr>
      <w:r>
        <w:rPr>
          <w:color w:val="000000"/>
          <w:u w:val="single"/>
        </w:rPr>
        <w:t>Notice</w:t>
      </w:r>
    </w:p>
    <w:p>
      <w:pPr>
        <w:pStyle w:val="Normal"/>
        <w:rPr>
          <w:color w:val="000000"/>
          <w:u w:val="single"/>
        </w:rPr>
      </w:pPr>
      <w:r>
        <w:rPr>
          <w:color w:val="000000"/>
          <w:u w:val="single"/>
        </w:rPr>
      </w:r>
    </w:p>
    <w:p>
      <w:pPr>
        <w:pStyle w:val="BodyText"/>
        <w:rPr>
          <w:color w:val="000000"/>
        </w:rPr>
      </w:pPr>
      <w:r>
        <w:rPr>
          <w:color w:val="000000"/>
        </w:rPr>
        <w:t>In accordance with Section III, Paragraph G, of General Order 96-A, a copy of this advice letter is being sent electronically and via U.S. mail to parties shown on the attached list.  Address changes should be directed to Nelia Avendano at (415) 973-3529. Advice letter filings can also be accessed electronically at:</w:t>
        <w:tab/>
        <w:tab/>
        <w:tab/>
        <w:tab/>
        <w:tab/>
      </w:r>
      <w:r>
        <w:rPr>
          <w:color w:val="0000FF"/>
        </w:rPr>
        <w:t>http://www.pge.com/business/tariffs/</w:t>
      </w:r>
    </w:p>
    <w:p>
      <w:pPr>
        <w:pStyle w:val="Normal"/>
        <w:rPr>
          <w:color w:val="000000"/>
        </w:rPr>
      </w:pPr>
      <w:r>
        <w:rPr>
          <w:color w:val="000000"/>
        </w:rPr>
      </w:r>
    </w:p>
    <w:p>
      <w:pPr>
        <w:pStyle w:val="Normal"/>
        <w:rPr>
          <w:color w:val="000000"/>
        </w:rPr>
      </w:pPr>
      <w:r>
        <w:rPr>
          <w:color w:val="000000"/>
        </w:rPr>
      </w:r>
    </w:p>
    <w:p>
      <w:pPr>
        <w:pStyle w:val="Header"/>
        <w:tabs>
          <w:tab w:val="clear" w:pos="4320"/>
          <w:tab w:val="clear" w:pos="8640"/>
        </w:tabs>
        <w:rPr>
          <w:color w:val="000000"/>
        </w:rPr>
      </w:pPr>
      <w:r>
        <w:rPr>
          <w:color w:val="000000"/>
        </w:rPr>
      </w:r>
    </w:p>
    <w:p>
      <w:pPr>
        <w:pStyle w:val="Normal"/>
        <w:rPr>
          <w:color w:val="000000"/>
        </w:rPr>
      </w:pPr>
      <w:r>
        <w:rPr>
          <w:color w:val="000000"/>
        </w:rPr>
        <w:t>Vice President - Regulatory Relations</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Attachments</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cc: Service List – Rulemaking 01-10-002</w:t>
      </w:r>
    </w:p>
    <w:sectPr>
      <w:headerReference w:type="default" r:id="rId2"/>
      <w:headerReference w:type="first" r:id="rId3"/>
      <w:type w:val="nextPage"/>
      <w:pgSz w:w="12240" w:h="15840"/>
      <w:pgMar w:left="1728" w:right="1728" w:gutter="0" w:header="72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Header"/>
            <w:rPr/>
          </w:pPr>
          <w:r>
            <w:rPr/>
            <w:t xml:space="preserve"> </w:t>
          </w:r>
          <w:r>
            <w:rPr/>
            <w:t>Advice 2099-E-A</w:t>
          </w:r>
        </w:p>
      </w:tc>
      <w:tc>
        <w:tcPr>
          <w:tcW w:w="2952" w:type="dxa"/>
          <w:tcBorders/>
        </w:tcPr>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tc>
      <w:tc>
        <w:tcPr>
          <w:tcW w:w="2952" w:type="dxa"/>
          <w:tcBorders/>
        </w:tcPr>
        <w:p>
          <w:pPr>
            <w:pStyle w:val="Header"/>
            <w:jc w:val="end"/>
            <w:rPr/>
          </w:pPr>
          <w:r>
            <w:rPr/>
            <w:t>April 17, 2001</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suff w:val="nothing"/>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bullet"/>
      <w:suff w:val="nothing"/>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bullet"/>
      <w:suff w:val="nothing"/>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spacing w:before="0" w:after="200"/>
      <w:outlineLvl w:val="2"/>
    </w:pPr>
    <w:rPr>
      <w:b/>
      <w:bCs/>
      <w:smallCaps/>
      <w:color w:val="00000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0000"/>
    </w:rPr>
  </w:style>
  <w:style w:type="paragraph" w:styleId="BodyTextIndent2">
    <w:name w:val="Body Text Indent 2"/>
    <w:basedOn w:val="Normal"/>
    <w:qFormat/>
    <w:pPr>
      <w:spacing w:before="0" w:after="200"/>
      <w:ind w:hanging="0" w:start="360" w:end="0"/>
    </w:pPr>
    <w:rPr>
      <w:color w:val="000000"/>
      <w:sz w:val="20"/>
      <w:szCs w:val="20"/>
    </w:rPr>
  </w:style>
  <w:style w:type="paragraph" w:styleId="BodyText3">
    <w:name w:val="Body Text 3"/>
    <w:basedOn w:val="Normal"/>
    <w:qFormat/>
    <w:pPr/>
    <w:rPr>
      <w:b/>
      <w:bCs/>
      <w:smallCaps/>
      <w:color w:val="000000"/>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2001-04-17T20:19:00Z</dcterms:created>
  <dc:creator>A Valued Microsoft Customer</dc:creator>
  <dc:description/>
  <dc:language>en-CA</dc:language>
  <cp:lastModifiedBy>Nel Avendano</cp:lastModifiedBy>
  <cp:lastPrinted>2001-04-16T17:29:00Z</cp:lastPrinted>
  <dcterms:modified xsi:type="dcterms:W3CDTF">2001-04-17T20:19:00Z</dcterms:modified>
  <cp:revision>2</cp:revision>
  <dc:subject/>
  <dc:title>Date</dc:title>
</cp:coreProperties>
</file>