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April 9, 2001</w:t>
      </w:r>
    </w:p>
    <w:p>
      <w:pPr>
        <w:pStyle w:val="Header"/>
        <w:tabs>
          <w:tab w:val="clear" w:pos="4320"/>
          <w:tab w:val="clear" w:pos="8640"/>
        </w:tabs>
        <w:rPr>
          <w:color w:val="000000"/>
        </w:rPr>
      </w:pPr>
      <w:r>
        <w:rPr>
          <w:color w:val="000000"/>
        </w:rPr>
      </w:r>
    </w:p>
    <w:p>
      <w:pPr>
        <w:pStyle w:val="Normal"/>
        <w:rPr>
          <w:color w:val="000000"/>
        </w:rPr>
      </w:pPr>
      <w:r>
        <w:rPr>
          <w:color w:val="000000"/>
        </w:rPr>
      </w:r>
    </w:p>
    <w:p>
      <w:pPr>
        <w:pStyle w:val="Normal"/>
        <w:rPr>
          <w:color w:val="000000"/>
        </w:rPr>
      </w:pPr>
      <w:r>
        <w:rPr>
          <w:b/>
          <w:bCs/>
          <w:color w:val="000000"/>
        </w:rPr>
        <w:t>ADVICE 2099-E</w:t>
      </w:r>
    </w:p>
    <w:p>
      <w:pPr>
        <w:pStyle w:val="Normal"/>
        <w:rPr>
          <w:color w:val="000000"/>
          <w:sz w:val="22"/>
          <w:szCs w:val="22"/>
        </w:rPr>
      </w:pPr>
      <w:r>
        <w:rPr>
          <w:color w:val="000000"/>
          <w:sz w:val="22"/>
          <w:szCs w:val="22"/>
        </w:rPr>
        <w:t>(Pacific Gas and Electric Company ID U 39 E)</w:t>
      </w:r>
    </w:p>
    <w:p>
      <w:pPr>
        <w:pStyle w:val="Normal"/>
        <w:rPr>
          <w:color w:val="000000"/>
          <w:sz w:val="22"/>
          <w:szCs w:val="22"/>
        </w:rPr>
      </w:pPr>
      <w:r>
        <w:rPr>
          <w:color w:val="000000"/>
          <w:sz w:val="22"/>
          <w:szCs w:val="22"/>
        </w:rPr>
      </w:r>
    </w:p>
    <w:p>
      <w:pPr>
        <w:pStyle w:val="Normal"/>
        <w:rPr>
          <w:color w:val="000000"/>
        </w:rPr>
      </w:pPr>
      <w:r>
        <w:rPr>
          <w:color w:val="000000"/>
        </w:rPr>
      </w:r>
    </w:p>
    <w:p>
      <w:pPr>
        <w:pStyle w:val="Normal"/>
        <w:rPr>
          <w:color w:val="000000"/>
        </w:rPr>
      </w:pPr>
      <w:r>
        <w:rPr>
          <w:color w:val="000000"/>
        </w:rPr>
        <w:t>Public Utilities Commission of the State of California</w:t>
      </w:r>
    </w:p>
    <w:p>
      <w:pPr>
        <w:pStyle w:val="Normal"/>
        <w:rPr>
          <w:color w:val="000000"/>
        </w:rPr>
      </w:pPr>
      <w:r>
        <w:rPr>
          <w:color w:val="000000"/>
        </w:rPr>
      </w:r>
    </w:p>
    <w:p>
      <w:pPr>
        <w:pStyle w:val="Normal"/>
        <w:rPr>
          <w:color w:val="000000"/>
        </w:rPr>
      </w:pPr>
      <w:r>
        <w:rPr>
          <w:color w:val="000000"/>
        </w:rPr>
      </w:r>
    </w:p>
    <w:p>
      <w:pPr>
        <w:pStyle w:val="Normal"/>
        <w:rPr>
          <w:color w:val="000000"/>
        </w:rPr>
      </w:pPr>
      <w:r>
        <w:rPr>
          <w:b/>
          <w:bCs/>
          <w:color w:val="000000"/>
          <w:u w:val="single"/>
        </w:rPr>
        <w:t>Subject:</w:t>
      </w:r>
      <w:r>
        <w:rPr>
          <w:color w:val="000000"/>
        </w:rPr>
        <w:t xml:space="preserve">  </w:t>
      </w:r>
      <w:r>
        <w:rPr>
          <w:b/>
          <w:bCs/>
          <w:color w:val="000000"/>
        </w:rPr>
        <w:t>Electric Interruptible Load Programs</w:t>
      </w:r>
    </w:p>
    <w:p>
      <w:pPr>
        <w:pStyle w:val="Normal"/>
        <w:rPr>
          <w:color w:val="000000"/>
        </w:rPr>
      </w:pPr>
      <w:r>
        <w:rPr>
          <w:color w:val="000000"/>
        </w:rPr>
      </w:r>
    </w:p>
    <w:p>
      <w:pPr>
        <w:pStyle w:val="BodyText2"/>
        <w:rPr/>
      </w:pPr>
      <w:r>
        <w:rPr/>
        <w:t>Pacific Gas and Electric Company (the Company) hereby submits for filing revisions to its electric tariffs. The affected tariff sheets are listed on the enclosed Attachment I.</w:t>
      </w:r>
    </w:p>
    <w:p>
      <w:pPr>
        <w:pStyle w:val="BodyText2"/>
        <w:rPr/>
      </w:pPr>
      <w:r>
        <w:rPr/>
      </w:r>
    </w:p>
    <w:p>
      <w:pPr>
        <w:pStyle w:val="BodyText"/>
        <w:rPr/>
      </w:pPr>
      <w:r>
        <w:rPr/>
        <w:t>PG&amp;E reserves all legal rights to challenge the decisions or statutes under which it has been required to make this advice filing, and nothing in this advice filing constitutes a waiver of such rights.  Also, PG&amp;E reserves any additional legal rights to challenge the requirement to make this advice filing by reason of its status as a debtor under Chapter 11 of the Bankruptcy Code, and nothing in this advice filing constitutes a waiver of such rights.</w:t>
      </w:r>
    </w:p>
    <w:p>
      <w:pPr>
        <w:pStyle w:val="Normal"/>
        <w:rPr>
          <w:color w:val="000000"/>
        </w:rPr>
      </w:pPr>
      <w:r>
        <w:rPr>
          <w:color w:val="000000"/>
        </w:rPr>
      </w:r>
    </w:p>
    <w:p>
      <w:pPr>
        <w:pStyle w:val="Heading1"/>
        <w:ind w:hanging="0" w:start="0"/>
        <w:rPr>
          <w:color w:val="000000"/>
        </w:rPr>
      </w:pPr>
      <w:r>
        <w:rPr>
          <w:color w:val="000000"/>
        </w:rPr>
        <w:t>Purpose</w:t>
      </w:r>
    </w:p>
    <w:p>
      <w:pPr>
        <w:pStyle w:val="Normal"/>
        <w:rPr>
          <w:color w:val="000000"/>
        </w:rPr>
      </w:pPr>
      <w:r>
        <w:rPr>
          <w:color w:val="000000"/>
        </w:rPr>
      </w:r>
    </w:p>
    <w:p>
      <w:pPr>
        <w:pStyle w:val="Normal"/>
        <w:jc w:val="both"/>
        <w:rPr/>
      </w:pPr>
      <w:r>
        <w:rPr/>
        <w:t>In accordance with D. 01-04-006 issued April 3, 2001, (mailed April 4, 2001), and the Assigned Commissioner’s Ruling (ACR) on Filing and Service of draft Advice Letters and Tariffs in Rulemaking (R.) 00-01-002--Operation of Interruptible Load Programs (Programs), attached are final tariffs for the new interruptible programs under proposed Schedules E-BIP, E-VDRP, and OBMC.</w:t>
      </w:r>
    </w:p>
    <w:p>
      <w:pPr>
        <w:pStyle w:val="Header"/>
        <w:tabs>
          <w:tab w:val="clear" w:pos="4320"/>
          <w:tab w:val="clear" w:pos="8640"/>
        </w:tabs>
        <w:rPr/>
      </w:pPr>
      <w:r>
        <w:rPr/>
      </w:r>
    </w:p>
    <w:p>
      <w:pPr>
        <w:pStyle w:val="Heading1"/>
        <w:ind w:hanging="0" w:start="0"/>
        <w:rPr>
          <w:color w:val="000000"/>
        </w:rPr>
      </w:pPr>
      <w:r>
        <w:rPr>
          <w:color w:val="000000"/>
        </w:rPr>
        <w:t>Background</w:t>
      </w:r>
    </w:p>
    <w:p>
      <w:pPr>
        <w:pStyle w:val="Normal"/>
        <w:rPr>
          <w:color w:val="000000"/>
        </w:rPr>
      </w:pPr>
      <w:r>
        <w:rPr>
          <w:color w:val="000000"/>
        </w:rPr>
      </w:r>
    </w:p>
    <w:p>
      <w:pPr>
        <w:pStyle w:val="BodyText"/>
        <w:rPr/>
      </w:pPr>
      <w:r>
        <w:rPr/>
        <w:t>The ACR directed the utilities to submit the draft filing and tariffs within five days after filing and service of the Draft Decision that was subsequently issued on March 16, 2001. The programs, including installation of meters and other associated equipment, are expected to be implemented by Summer 2001.  PG&amp;E submitted its draft advice filing and tariffs on March 21, 2001, in accordance with the instructions issued in the ACR. The revised final tariffs submitted herein reflect comments that PG&amp;E received from the Commission Energy Division on its draft tariffs, together with relevant changes reflecting the final provisions of D. 01-04-006.</w:t>
      </w:r>
    </w:p>
    <w:p>
      <w:pPr>
        <w:pStyle w:val="BodyText"/>
        <w:rPr/>
      </w:pPr>
      <w:r>
        <w:rPr/>
      </w:r>
    </w:p>
    <w:p>
      <w:pPr>
        <w:pStyle w:val="BodyText"/>
        <w:rPr/>
      </w:pPr>
      <w:r>
        <w:rPr/>
      </w:r>
    </w:p>
    <w:p>
      <w:pPr>
        <w:pStyle w:val="BodyText"/>
        <w:rPr/>
      </w:pPr>
      <w:r>
        <w:rPr/>
      </w:r>
    </w:p>
    <w:p>
      <w:pPr>
        <w:pStyle w:val="Heading1"/>
        <w:ind w:hanging="0" w:start="0"/>
        <w:rPr/>
      </w:pPr>
      <w:r>
        <w:rPr/>
        <w:t>Tariff Changes</w:t>
      </w:r>
    </w:p>
    <w:p>
      <w:pPr>
        <w:pStyle w:val="Header"/>
        <w:tabs>
          <w:tab w:val="clear" w:pos="4320"/>
          <w:tab w:val="clear" w:pos="8640"/>
        </w:tabs>
        <w:rPr/>
      </w:pPr>
      <w:r>
        <w:rPr/>
      </w:r>
    </w:p>
    <w:p>
      <w:pPr>
        <w:pStyle w:val="Header"/>
        <w:tabs>
          <w:tab w:val="clear" w:pos="4320"/>
          <w:tab w:val="clear" w:pos="8640"/>
        </w:tabs>
        <w:rPr>
          <w:b/>
          <w:bCs/>
          <w:u w:val="single"/>
        </w:rPr>
      </w:pPr>
      <w:r>
        <w:rPr>
          <w:b/>
          <w:bCs/>
          <w:u w:val="single"/>
        </w:rPr>
        <w:t>Preliminary Statement Part BZ—Interruptible Load Programs Memorandum Account (ILPMA)</w:t>
      </w:r>
    </w:p>
    <w:p>
      <w:pPr>
        <w:pStyle w:val="Header"/>
        <w:tabs>
          <w:tab w:val="clear" w:pos="4320"/>
          <w:tab w:val="clear" w:pos="8640"/>
        </w:tabs>
        <w:rPr>
          <w:b/>
          <w:bCs/>
          <w:u w:val="single"/>
        </w:rPr>
      </w:pPr>
      <w:r>
        <w:rPr>
          <w:b/>
          <w:bCs/>
          <w:u w:val="single"/>
        </w:rPr>
      </w:r>
    </w:p>
    <w:p>
      <w:pPr>
        <w:pStyle w:val="Header"/>
        <w:tabs>
          <w:tab w:val="clear" w:pos="4320"/>
          <w:tab w:val="clear" w:pos="8640"/>
        </w:tabs>
        <w:jc w:val="both"/>
        <w:rPr/>
      </w:pPr>
      <w:r>
        <w:rPr/>
        <w:t>The purpose of the Interruptible Load Programs Memorandum Account (ILPMA) is to record costs incurred by PG&amp;E to implement and administer new load management and rotating outage programs during calendar years 2001 and 2002, where these costs are in excess of the costs authorized in current rates but represent new expenditures or activities that PG&amp;E has been ordered to undertake pursuant to D. 01-04-006.  Certain related new revenues related to these programs and activities will also be recorded to the ILPMA.</w:t>
      </w:r>
    </w:p>
    <w:p>
      <w:pPr>
        <w:pStyle w:val="Header"/>
        <w:tabs>
          <w:tab w:val="clear" w:pos="4320"/>
          <w:tab w:val="clear" w:pos="8640"/>
        </w:tabs>
        <w:jc w:val="both"/>
        <w:rPr/>
      </w:pPr>
      <w:r>
        <w:rPr/>
      </w:r>
    </w:p>
    <w:p>
      <w:pPr>
        <w:pStyle w:val="Header"/>
        <w:tabs>
          <w:tab w:val="clear" w:pos="4320"/>
          <w:tab w:val="clear" w:pos="8640"/>
        </w:tabs>
        <w:rPr/>
      </w:pPr>
      <w:r>
        <w:rPr/>
      </w:r>
    </w:p>
    <w:p>
      <w:pPr>
        <w:pStyle w:val="Heading2"/>
        <w:ind w:hanging="0" w:start="0"/>
        <w:rPr>
          <w:u w:val="single"/>
        </w:rPr>
      </w:pPr>
      <w:r>
        <w:rPr>
          <w:u w:val="single"/>
        </w:rPr>
        <w:t>Schedule E-BIP - Base Interruptible Program</w:t>
      </w:r>
    </w:p>
    <w:p>
      <w:pPr>
        <w:pStyle w:val="Normal"/>
        <w:rPr>
          <w:u w:val="single"/>
        </w:rPr>
      </w:pPr>
      <w:r>
        <w:rPr>
          <w:u w:val="single"/>
        </w:rPr>
      </w:r>
    </w:p>
    <w:p>
      <w:pPr>
        <w:pStyle w:val="Normal"/>
        <w:rPr/>
      </w:pPr>
      <w:r>
        <w:rPr/>
        <w:t>The Base Interruptible Program under Schedule E-BIP applies as follows:</w:t>
      </w:r>
    </w:p>
    <w:p>
      <w:pPr>
        <w:pStyle w:val="Normal"/>
        <w:rPr/>
      </w:pPr>
      <w:r>
        <w:rPr/>
      </w:r>
    </w:p>
    <w:p>
      <w:pPr>
        <w:pStyle w:val="Normal"/>
        <w:numPr>
          <w:ilvl w:val="0"/>
          <w:numId w:val="2"/>
        </w:numPr>
        <w:tabs>
          <w:tab w:val="clear" w:pos="720"/>
          <w:tab w:val="left" w:pos="0" w:leader="none"/>
        </w:tabs>
        <w:ind w:hanging="380" w:start="760" w:end="0"/>
        <w:rPr/>
      </w:pPr>
      <w:r>
        <w:rPr/>
        <w:t>Curtailments are limited to one 4-hour event per day, 10 events per month, and 120 hours per year.</w:t>
      </w:r>
    </w:p>
    <w:p>
      <w:pPr>
        <w:pStyle w:val="Normal"/>
        <w:numPr>
          <w:ilvl w:val="0"/>
          <w:numId w:val="0"/>
        </w:numPr>
        <w:ind w:hanging="0" w:start="380" w:end="0"/>
        <w:rPr/>
      </w:pPr>
      <w:r>
        <w:rPr/>
      </w:r>
    </w:p>
    <w:p>
      <w:pPr>
        <w:pStyle w:val="Normal"/>
        <w:numPr>
          <w:ilvl w:val="0"/>
          <w:numId w:val="2"/>
        </w:numPr>
        <w:tabs>
          <w:tab w:val="clear" w:pos="720"/>
          <w:tab w:val="left" w:pos="0" w:leader="none"/>
        </w:tabs>
        <w:ind w:hanging="380" w:start="760" w:end="0"/>
        <w:rPr/>
      </w:pPr>
      <w:r>
        <w:rPr/>
        <w:t>Incentive payments will be paid based on the difference between the customer’s average peak period demand and its designated firm service level.  This difference will be multiplied by the price of $7.00 per kW-month to determine the incentive payment.</w:t>
      </w:r>
    </w:p>
    <w:p>
      <w:pPr>
        <w:pStyle w:val="Normal"/>
        <w:numPr>
          <w:ilvl w:val="0"/>
          <w:numId w:val="0"/>
        </w:numPr>
        <w:ind w:hanging="0" w:start="380" w:end="0"/>
        <w:rPr/>
      </w:pPr>
      <w:r>
        <w:rPr/>
      </w:r>
    </w:p>
    <w:p>
      <w:pPr>
        <w:pStyle w:val="Normal"/>
        <w:numPr>
          <w:ilvl w:val="0"/>
          <w:numId w:val="2"/>
        </w:numPr>
        <w:tabs>
          <w:tab w:val="clear" w:pos="720"/>
          <w:tab w:val="left" w:pos="0" w:leader="none"/>
        </w:tabs>
        <w:ind w:hanging="380" w:start="760" w:end="0"/>
        <w:rPr/>
      </w:pPr>
      <w:r>
        <w:rPr/>
        <w:t>$6 per kWh penalty level for energy consumption in excess of the customer firm service level.</w:t>
      </w:r>
    </w:p>
    <w:p>
      <w:pPr>
        <w:pStyle w:val="Normal"/>
        <w:numPr>
          <w:ilvl w:val="0"/>
          <w:numId w:val="0"/>
        </w:numPr>
        <w:ind w:hanging="0" w:start="380" w:end="0"/>
        <w:rPr/>
      </w:pPr>
      <w:r>
        <w:rPr/>
      </w:r>
    </w:p>
    <w:p>
      <w:pPr>
        <w:pStyle w:val="Normal"/>
        <w:numPr>
          <w:ilvl w:val="0"/>
          <w:numId w:val="2"/>
        </w:numPr>
        <w:tabs>
          <w:tab w:val="clear" w:pos="720"/>
          <w:tab w:val="left" w:pos="0" w:leader="none"/>
        </w:tabs>
        <w:ind w:hanging="380" w:start="760" w:end="0"/>
        <w:rPr/>
      </w:pPr>
      <w:r>
        <w:rPr/>
        <w:t>Customer must have a minimum of average load of 100 kW and be able to curtail 15% of load with a minimum load drop of 100 kW per event.</w:t>
      </w:r>
    </w:p>
    <w:p>
      <w:pPr>
        <w:pStyle w:val="Normal"/>
        <w:numPr>
          <w:ilvl w:val="0"/>
          <w:numId w:val="0"/>
        </w:numPr>
        <w:ind w:hanging="0" w:start="0"/>
        <w:rPr/>
      </w:pPr>
      <w:r>
        <w:rPr/>
      </w:r>
    </w:p>
    <w:p>
      <w:pPr>
        <w:pStyle w:val="Normal"/>
        <w:numPr>
          <w:ilvl w:val="0"/>
          <w:numId w:val="2"/>
        </w:numPr>
        <w:tabs>
          <w:tab w:val="clear" w:pos="720"/>
          <w:tab w:val="left" w:pos="0" w:leader="none"/>
        </w:tabs>
        <w:ind w:hanging="380" w:start="760" w:end="0"/>
        <w:rPr/>
      </w:pPr>
      <w:r>
        <w:rPr/>
        <w:t>PG&amp;E will provide and install an interval meter for customers to participate in the program if the customer stays on program for 1 year.</w:t>
      </w:r>
    </w:p>
    <w:p>
      <w:pPr>
        <w:pStyle w:val="Normal"/>
        <w:numPr>
          <w:ilvl w:val="0"/>
          <w:numId w:val="0"/>
        </w:numPr>
        <w:ind w:hanging="0" w:start="0"/>
        <w:rPr/>
      </w:pPr>
      <w:r>
        <w:rPr/>
      </w:r>
    </w:p>
    <w:p>
      <w:pPr>
        <w:pStyle w:val="Normal"/>
        <w:numPr>
          <w:ilvl w:val="0"/>
          <w:numId w:val="0"/>
        </w:numPr>
        <w:ind w:hanging="0" w:start="0"/>
        <w:rPr>
          <w:b/>
          <w:bCs/>
          <w:u w:val="single"/>
        </w:rPr>
      </w:pPr>
      <w:r>
        <w:rPr>
          <w:b/>
          <w:bCs/>
          <w:u w:val="single"/>
        </w:rPr>
        <w:t>Schedule VDRP - Voluntary Demand Response Program</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t>The Voluntary Demand Response Program under Schedule VDRP applies as follows:</w:t>
      </w:r>
    </w:p>
    <w:p>
      <w:pPr>
        <w:pStyle w:val="Header"/>
        <w:numPr>
          <w:ilvl w:val="0"/>
          <w:numId w:val="0"/>
        </w:numPr>
        <w:tabs>
          <w:tab w:val="clear" w:pos="4320"/>
          <w:tab w:val="clear" w:pos="8640"/>
        </w:tabs>
        <w:ind w:hanging="0" w:start="0"/>
        <w:rPr/>
      </w:pPr>
      <w:r>
        <w:rPr/>
      </w:r>
    </w:p>
    <w:p>
      <w:pPr>
        <w:pStyle w:val="Normal"/>
        <w:numPr>
          <w:ilvl w:val="0"/>
          <w:numId w:val="2"/>
        </w:numPr>
        <w:tabs>
          <w:tab w:val="clear" w:pos="720"/>
          <w:tab w:val="left" w:pos="0" w:leader="none"/>
        </w:tabs>
        <w:ind w:hanging="380" w:start="760" w:end="0"/>
        <w:rPr/>
      </w:pPr>
      <w:r>
        <w:rPr/>
        <w:t>Incentive payment is $0.35 per kWh.</w:t>
      </w:r>
    </w:p>
    <w:p>
      <w:pPr>
        <w:pStyle w:val="Normal"/>
        <w:numPr>
          <w:ilvl w:val="0"/>
          <w:numId w:val="0"/>
        </w:numPr>
        <w:ind w:hanging="0" w:start="380" w:end="0"/>
        <w:rPr/>
      </w:pPr>
      <w:r>
        <w:rPr/>
      </w:r>
    </w:p>
    <w:p>
      <w:pPr>
        <w:pStyle w:val="Normal"/>
        <w:numPr>
          <w:ilvl w:val="0"/>
          <w:numId w:val="2"/>
        </w:numPr>
        <w:tabs>
          <w:tab w:val="clear" w:pos="720"/>
          <w:tab w:val="left" w:pos="0" w:leader="none"/>
        </w:tabs>
        <w:ind w:hanging="380" w:start="760" w:end="0"/>
        <w:rPr/>
      </w:pPr>
      <w:r>
        <w:rPr/>
        <w:t>Customer must commit to curtail at least 15% of baseline load with a minimum load drop of 100 kW.</w:t>
      </w:r>
    </w:p>
    <w:p>
      <w:pPr>
        <w:pStyle w:val="Normal"/>
        <w:numPr>
          <w:ilvl w:val="0"/>
          <w:numId w:val="0"/>
        </w:numPr>
        <w:ind w:hanging="0" w:start="380" w:end="0"/>
        <w:rPr/>
      </w:pPr>
      <w:r>
        <w:rPr/>
      </w:r>
    </w:p>
    <w:p>
      <w:pPr>
        <w:pStyle w:val="Normal"/>
        <w:numPr>
          <w:ilvl w:val="0"/>
          <w:numId w:val="2"/>
        </w:numPr>
        <w:tabs>
          <w:tab w:val="clear" w:pos="720"/>
          <w:tab w:val="left" w:pos="0" w:leader="none"/>
        </w:tabs>
        <w:ind w:hanging="380" w:start="760" w:end="0"/>
        <w:rPr/>
      </w:pPr>
      <w:r>
        <w:rPr/>
        <w:t>Baseline is the average of the immediate past 10 similar days.</w:t>
      </w:r>
    </w:p>
    <w:p>
      <w:pPr>
        <w:pStyle w:val="Normal"/>
        <w:numPr>
          <w:ilvl w:val="0"/>
          <w:numId w:val="0"/>
        </w:numPr>
        <w:ind w:hanging="0" w:start="380" w:end="0"/>
        <w:rPr/>
      </w:pPr>
      <w:r>
        <w:rPr/>
      </w:r>
    </w:p>
    <w:p>
      <w:pPr>
        <w:pStyle w:val="Normal"/>
        <w:numPr>
          <w:ilvl w:val="0"/>
          <w:numId w:val="2"/>
        </w:numPr>
        <w:tabs>
          <w:tab w:val="clear" w:pos="720"/>
          <w:tab w:val="left" w:pos="0" w:leader="none"/>
        </w:tabs>
        <w:ind w:hanging="380" w:start="760" w:end="0"/>
        <w:rPr/>
      </w:pPr>
      <w:r>
        <w:rPr/>
        <w:t>Request can be made the day before or for the same day.  Customers will be given at least 2-hour notice.</w:t>
      </w:r>
    </w:p>
    <w:p>
      <w:pPr>
        <w:pStyle w:val="Normal"/>
        <w:numPr>
          <w:ilvl w:val="0"/>
          <w:numId w:val="0"/>
        </w:numPr>
        <w:ind w:hanging="0" w:start="380" w:end="0"/>
        <w:rPr/>
      </w:pPr>
      <w:r>
        <w:rPr/>
      </w:r>
    </w:p>
    <w:p>
      <w:pPr>
        <w:pStyle w:val="Normal"/>
        <w:numPr>
          <w:ilvl w:val="0"/>
          <w:numId w:val="2"/>
        </w:numPr>
        <w:tabs>
          <w:tab w:val="clear" w:pos="720"/>
          <w:tab w:val="left" w:pos="0" w:leader="none"/>
        </w:tabs>
        <w:ind w:hanging="0" w:start="760" w:end="0"/>
        <w:rPr/>
      </w:pPr>
      <w:r>
        <w:rPr/>
        <w:t>PG&amp;E will provide and install an interval meter for customers to participate in the program if the customer stays on program for 1 year and complies with at least 10 events in a 12-month period.</w:t>
      </w:r>
    </w:p>
    <w:p>
      <w:pPr>
        <w:pStyle w:val="Normal"/>
        <w:rPr>
          <w:color w:val="000000"/>
        </w:rPr>
      </w:pPr>
      <w:r>
        <w:rPr>
          <w:color w:val="000000"/>
        </w:rPr>
      </w:r>
    </w:p>
    <w:p>
      <w:pPr>
        <w:pStyle w:val="Header"/>
        <w:tabs>
          <w:tab w:val="clear" w:pos="4320"/>
          <w:tab w:val="clear" w:pos="8640"/>
        </w:tabs>
        <w:rPr>
          <w:b/>
          <w:bCs/>
          <w:color w:val="000000"/>
          <w:u w:val="single"/>
        </w:rPr>
      </w:pPr>
      <w:r>
        <w:rPr>
          <w:b/>
          <w:bCs/>
          <w:color w:val="000000"/>
          <w:u w:val="single"/>
        </w:rPr>
        <w:t>E-BIP/E-VDRP Service Agreement (Form 79-976)</w:t>
      </w:r>
    </w:p>
    <w:p>
      <w:pPr>
        <w:pStyle w:val="Header"/>
        <w:tabs>
          <w:tab w:val="clear" w:pos="4320"/>
          <w:tab w:val="clear" w:pos="8640"/>
        </w:tabs>
        <w:rPr>
          <w:b/>
          <w:bCs/>
          <w:color w:val="000000"/>
          <w:u w:val="single"/>
        </w:rPr>
      </w:pPr>
      <w:r>
        <w:rPr>
          <w:b/>
          <w:bCs/>
          <w:color w:val="000000"/>
          <w:u w:val="single"/>
        </w:rPr>
      </w:r>
    </w:p>
    <w:p>
      <w:pPr>
        <w:pStyle w:val="Header"/>
        <w:tabs>
          <w:tab w:val="clear" w:pos="4320"/>
          <w:tab w:val="clear" w:pos="8640"/>
        </w:tabs>
        <w:jc w:val="both"/>
        <w:rPr/>
      </w:pPr>
      <w:r>
        <w:rPr>
          <w:color w:val="000000"/>
        </w:rPr>
        <w:t xml:space="preserve">Customers eligible for E-BIP or E-VDRP must complete and submit an </w:t>
      </w:r>
      <w:r>
        <w:rPr>
          <w:color w:val="000000"/>
          <w:u w:val="single"/>
        </w:rPr>
        <w:t>Interruptible Program Agreement</w:t>
      </w:r>
      <w:r>
        <w:rPr>
          <w:color w:val="000000"/>
        </w:rPr>
        <w:t xml:space="preserve"> (Form No. 79-976), and a Customer Enrollment Questionnaire in order to establish service under either Program.  Customers also must have the required metering and notification equipment in place as described in the tariff prior to participation in their Program of choice.</w:t>
      </w:r>
    </w:p>
    <w:p>
      <w:pPr>
        <w:pStyle w:val="Header"/>
        <w:tabs>
          <w:tab w:val="clear" w:pos="4320"/>
          <w:tab w:val="clear" w:pos="8640"/>
        </w:tabs>
        <w:jc w:val="both"/>
        <w:rPr>
          <w:color w:val="000000"/>
        </w:rPr>
      </w:pPr>
      <w:r>
        <w:rPr>
          <w:color w:val="000000"/>
        </w:rPr>
      </w:r>
    </w:p>
    <w:p>
      <w:pPr>
        <w:pStyle w:val="Header"/>
        <w:tabs>
          <w:tab w:val="clear" w:pos="4320"/>
          <w:tab w:val="clear" w:pos="8640"/>
        </w:tabs>
        <w:jc w:val="both"/>
        <w:rPr>
          <w:color w:val="000000"/>
        </w:rPr>
      </w:pPr>
      <w:r>
        <w:rPr>
          <w:color w:val="000000"/>
        </w:rPr>
        <w:t>Attachments to Form No. 79-976 include:</w:t>
      </w:r>
    </w:p>
    <w:p>
      <w:pPr>
        <w:pStyle w:val="Normal"/>
        <w:rPr>
          <w:color w:val="000000"/>
        </w:rPr>
      </w:pPr>
      <w:r>
        <w:rPr>
          <w:color w:val="000000"/>
        </w:rPr>
      </w:r>
    </w:p>
    <w:p>
      <w:pPr>
        <w:pStyle w:val="Normal"/>
        <w:numPr>
          <w:ilvl w:val="0"/>
          <w:numId w:val="3"/>
        </w:numPr>
        <w:tabs>
          <w:tab w:val="clear" w:pos="720"/>
          <w:tab w:val="left" w:pos="0" w:leader="none"/>
          <w:tab w:val="left" w:pos="360" w:leader="none"/>
        </w:tabs>
        <w:ind w:hanging="720" w:start="1080" w:end="0"/>
        <w:rPr/>
      </w:pPr>
      <w:r>
        <w:rPr>
          <w:u w:val="single"/>
        </w:rPr>
        <w:t>Firm Service Level</w:t>
      </w:r>
      <w:r>
        <w:rPr/>
        <w:t>—Must be supplied by Schedule E-BIP customers.</w:t>
      </w:r>
    </w:p>
    <w:p>
      <w:pPr>
        <w:pStyle w:val="Normal"/>
        <w:numPr>
          <w:ilvl w:val="0"/>
          <w:numId w:val="0"/>
        </w:numPr>
        <w:ind w:hanging="0" w:start="0"/>
        <w:rPr>
          <w:smallCaps/>
          <w:u w:val="single"/>
        </w:rPr>
      </w:pPr>
      <w:r>
        <w:rPr>
          <w:smallCaps/>
          <w:u w:val="single"/>
        </w:rPr>
      </w:r>
    </w:p>
    <w:p>
      <w:pPr>
        <w:pStyle w:val="Normal"/>
        <w:numPr>
          <w:ilvl w:val="0"/>
          <w:numId w:val="3"/>
        </w:numPr>
        <w:tabs>
          <w:tab w:val="clear" w:pos="720"/>
          <w:tab w:val="left" w:pos="0" w:leader="none"/>
          <w:tab w:val="left" w:pos="360" w:leader="none"/>
        </w:tabs>
        <w:ind w:hanging="720" w:start="1080" w:end="0"/>
        <w:jc w:val="both"/>
        <w:rPr/>
      </w:pPr>
      <w:r>
        <w:rPr>
          <w:u w:val="single"/>
        </w:rPr>
        <w:t>Declaration of No Insurance</w:t>
      </w:r>
      <w:r>
        <w:rPr/>
        <w:t>--Applicant must confirm they do not currently have, nor will obtain, any insurance for the purpose of paying non-compliance penalties for willful failure to comply with requests for curtailments under any of the Programs.</w:t>
      </w:r>
    </w:p>
    <w:p>
      <w:pPr>
        <w:pStyle w:val="Normal"/>
        <w:numPr>
          <w:ilvl w:val="0"/>
          <w:numId w:val="0"/>
        </w:numPr>
        <w:ind w:hanging="0" w:start="0"/>
        <w:rPr>
          <w:smallCaps/>
          <w:u w:val="single"/>
        </w:rPr>
      </w:pPr>
      <w:r>
        <w:rPr>
          <w:smallCaps/>
          <w:u w:val="single"/>
        </w:rPr>
      </w:r>
    </w:p>
    <w:p>
      <w:pPr>
        <w:pStyle w:val="Normal"/>
        <w:numPr>
          <w:ilvl w:val="0"/>
          <w:numId w:val="3"/>
        </w:numPr>
        <w:tabs>
          <w:tab w:val="clear" w:pos="720"/>
          <w:tab w:val="left" w:pos="0" w:leader="none"/>
          <w:tab w:val="left" w:pos="360" w:leader="none"/>
        </w:tabs>
        <w:ind w:hanging="720" w:start="1080" w:end="0"/>
        <w:rPr>
          <w:smallCaps/>
        </w:rPr>
      </w:pPr>
      <w:r>
        <w:rPr>
          <w:u w:val="single"/>
        </w:rPr>
        <w:t xml:space="preserve">Essential Customer Declaration </w:t>
      </w:r>
      <w:r>
        <w:rPr/>
        <w:t>—Written acknowledgement stating that customer is an essential customer under Commission rules and exempt from rotating outages but is voluntarily participating in PG&amp;E’s interruptible program for no more than 50% of the their average peak load.</w:t>
      </w:r>
    </w:p>
    <w:p>
      <w:pPr>
        <w:pStyle w:val="Normal"/>
        <w:rPr/>
      </w:pPr>
      <w:r>
        <w:rPr/>
      </w:r>
    </w:p>
    <w:p>
      <w:pPr>
        <w:pStyle w:val="Header"/>
        <w:tabs>
          <w:tab w:val="clear" w:pos="4320"/>
          <w:tab w:val="clear" w:pos="8640"/>
        </w:tabs>
        <w:rPr>
          <w:b/>
          <w:bCs/>
          <w:color w:val="000000"/>
          <w:u w:val="single"/>
        </w:rPr>
      </w:pPr>
      <w:r>
        <w:rPr>
          <w:b/>
          <w:bCs/>
          <w:color w:val="000000"/>
          <w:u w:val="single"/>
        </w:rPr>
        <w:t>Schedule E-OBMC—Optional Binding Mandatory Curtailment Plan</w:t>
      </w:r>
    </w:p>
    <w:p>
      <w:pPr>
        <w:pStyle w:val="Header"/>
        <w:tabs>
          <w:tab w:val="clear" w:pos="4320"/>
          <w:tab w:val="clear" w:pos="8640"/>
        </w:tabs>
        <w:rPr>
          <w:b/>
          <w:bCs/>
          <w:color w:val="000000"/>
          <w:u w:val="single"/>
        </w:rPr>
      </w:pPr>
      <w:r>
        <w:rPr>
          <w:b/>
          <w:bCs/>
          <w:color w:val="000000"/>
          <w:u w:val="single"/>
        </w:rPr>
      </w:r>
    </w:p>
    <w:p>
      <w:pPr>
        <w:pStyle w:val="Header"/>
        <w:tabs>
          <w:tab w:val="clear" w:pos="4320"/>
          <w:tab w:val="clear" w:pos="8640"/>
        </w:tabs>
        <w:jc w:val="both"/>
        <w:rPr/>
      </w:pPr>
      <w:r>
        <w:rPr>
          <w:color w:val="000000"/>
        </w:rPr>
        <w:t>An Optional Binding Mandatory Curtailment Plan u</w:t>
      </w:r>
      <w:r>
        <w:rPr/>
        <w:t xml:space="preserve">nder Schedule E-OBMC provides for customers to reduce demand on their entire circuit by a prescribed amount of electric load in lieu of being included in a utility’s rotating outage block progression.  Eligible customers must submit an OBMC Plan to the utility for review and acceptance. Schedule E-OBMC establishes the eligibility requirements for an OBMC Plan, including measuring equipment necessary to verify compliance with an OBMC Plan, penalties associated with failure to comply with an OBMC Plan, and the termination of an OBMC Plan.  </w:t>
      </w:r>
      <w:r>
        <w:rPr>
          <w:color w:val="000000"/>
        </w:rPr>
        <w:t xml:space="preserve">Schedule OBMC was originally filed in Advice 2019-E dated July 20, 2000.  </w:t>
      </w:r>
      <w:r>
        <w:rPr/>
        <w:t xml:space="preserve">The Commission issued Draft Resolution E-3701 pertaining to Advice 2019-E on September 7, 2000, but the resolution has not yet been issued in final form by the Commission. </w:t>
      </w:r>
      <w:r>
        <w:rPr>
          <w:color w:val="000000"/>
        </w:rPr>
        <w:t xml:space="preserve"> In this filing, PG&amp;E supersedes Schedule OBMC and Form 79-966 as filed in Advice 2019-E.  PG&amp;E intends to withdraw Advice 2019-E by separate letter.</w:t>
      </w:r>
    </w:p>
    <w:p>
      <w:pPr>
        <w:pStyle w:val="Header"/>
        <w:tabs>
          <w:tab w:val="clear" w:pos="4320"/>
          <w:tab w:val="clear" w:pos="8640"/>
        </w:tabs>
        <w:jc w:val="both"/>
        <w:rPr>
          <w:color w:val="000000"/>
        </w:rPr>
      </w:pPr>
      <w:r>
        <w:rPr>
          <w:color w:val="000000"/>
        </w:rPr>
      </w:r>
    </w:p>
    <w:p>
      <w:pPr>
        <w:pStyle w:val="Normal"/>
        <w:jc w:val="both"/>
        <w:rPr/>
      </w:pPr>
      <w:r>
        <w:rPr/>
        <w:t>Schedule OBMC is revised from the version filed in Advice 2019-E to reflect the directions in D. 01-04-006.</w:t>
      </w:r>
    </w:p>
    <w:p>
      <w:pPr>
        <w:pStyle w:val="Header"/>
        <w:tabs>
          <w:tab w:val="clear" w:pos="4320"/>
          <w:tab w:val="clear" w:pos="8640"/>
        </w:tabs>
        <w:rPr/>
      </w:pPr>
      <w:r>
        <w:rPr/>
      </w:r>
    </w:p>
    <w:p>
      <w:pPr>
        <w:pStyle w:val="Normal"/>
        <w:rPr/>
      </w:pPr>
      <w:r>
        <w:rPr/>
        <w:t>Changes to draft Schedule E-OBMC as filed in Advice 2019-E include:</w:t>
      </w:r>
    </w:p>
    <w:p>
      <w:pPr>
        <w:pStyle w:val="Normal"/>
        <w:rPr/>
      </w:pPr>
      <w:r>
        <w:rPr/>
      </w:r>
    </w:p>
    <w:p>
      <w:pPr>
        <w:pStyle w:val="Normal"/>
        <w:numPr>
          <w:ilvl w:val="0"/>
          <w:numId w:val="4"/>
        </w:numPr>
        <w:tabs>
          <w:tab w:val="clear" w:pos="720"/>
          <w:tab w:val="left" w:pos="0" w:leader="none"/>
        </w:tabs>
        <w:ind w:hanging="340" w:start="720" w:end="0"/>
        <w:rPr/>
      </w:pPr>
      <w:r>
        <w:rPr/>
        <w:t>Provision for 'major facility changes' to be considered in evaluating whether an OBMC plan can achieve the required 15% circuit load reduction.  A registered professional engineer must attest to the facility changes.</w:t>
      </w:r>
    </w:p>
    <w:p>
      <w:pPr>
        <w:pStyle w:val="Normal"/>
        <w:numPr>
          <w:ilvl w:val="0"/>
          <w:numId w:val="0"/>
        </w:numPr>
        <w:ind w:hanging="0" w:start="380" w:end="0"/>
        <w:rPr/>
      </w:pPr>
      <w:r>
        <w:rPr/>
      </w:r>
    </w:p>
    <w:p>
      <w:pPr>
        <w:pStyle w:val="Normal"/>
        <w:numPr>
          <w:ilvl w:val="0"/>
          <w:numId w:val="4"/>
        </w:numPr>
        <w:tabs>
          <w:tab w:val="clear" w:pos="720"/>
          <w:tab w:val="left" w:pos="0" w:leader="none"/>
        </w:tabs>
        <w:ind w:hanging="360" w:start="720" w:end="0"/>
        <w:rPr/>
      </w:pPr>
      <w:r>
        <w:rPr/>
        <w:t>Penalty for non-compliance is $6.00 per KWH of excess usage.</w:t>
      </w:r>
    </w:p>
    <w:p>
      <w:pPr>
        <w:pStyle w:val="Normal"/>
        <w:numPr>
          <w:ilvl w:val="0"/>
          <w:numId w:val="0"/>
        </w:numPr>
        <w:ind w:hanging="0" w:start="0"/>
        <w:rPr/>
      </w:pPr>
      <w:r>
        <w:rPr/>
      </w:r>
    </w:p>
    <w:p>
      <w:pPr>
        <w:pStyle w:val="Normal"/>
        <w:numPr>
          <w:ilvl w:val="0"/>
          <w:numId w:val="4"/>
        </w:numPr>
        <w:tabs>
          <w:tab w:val="clear" w:pos="720"/>
          <w:tab w:val="left" w:pos="0" w:leader="none"/>
        </w:tabs>
        <w:ind w:hanging="360" w:start="720" w:end="0"/>
        <w:rPr/>
      </w:pPr>
      <w:r>
        <w:rPr/>
        <w:t>Customer’s OBMC Plan will be terminated for a second non-compliance during a 12-month period and prohibit the customer from participating in another OBMC plan for five years.</w:t>
      </w:r>
    </w:p>
    <w:p>
      <w:pPr>
        <w:pStyle w:val="Normal"/>
        <w:numPr>
          <w:ilvl w:val="0"/>
          <w:numId w:val="0"/>
        </w:numPr>
        <w:ind w:hanging="0" w:start="360" w:end="0"/>
        <w:rPr/>
      </w:pPr>
      <w:r>
        <w:rPr/>
      </w:r>
    </w:p>
    <w:p>
      <w:pPr>
        <w:pStyle w:val="Normal"/>
        <w:numPr>
          <w:ilvl w:val="0"/>
          <w:numId w:val="4"/>
        </w:numPr>
        <w:tabs>
          <w:tab w:val="clear" w:pos="720"/>
          <w:tab w:val="left" w:pos="0" w:leader="none"/>
        </w:tabs>
        <w:ind w:hanging="0" w:start="720" w:end="0"/>
        <w:rPr/>
      </w:pPr>
      <w:r>
        <w:rPr/>
        <w:t>Baseline for measurement of load drop calculated based on immediate past 10 similar days, business or weekend days, and holidays, excluding days when the customer was paid to reduce load and OBMC operation days.</w:t>
      </w:r>
    </w:p>
    <w:p>
      <w:pPr>
        <w:pStyle w:val="Normal"/>
        <w:ind w:hanging="380" w:start="380" w:end="0"/>
        <w:rPr/>
      </w:pPr>
      <w:r>
        <w:rPr/>
      </w:r>
    </w:p>
    <w:p>
      <w:pPr>
        <w:pStyle w:val="Header"/>
        <w:tabs>
          <w:tab w:val="clear" w:pos="4320"/>
          <w:tab w:val="clear" w:pos="8640"/>
        </w:tabs>
        <w:rPr>
          <w:b/>
          <w:bCs/>
          <w:color w:val="000000"/>
          <w:u w:val="single"/>
        </w:rPr>
      </w:pPr>
      <w:r>
        <w:rPr>
          <w:b/>
          <w:bCs/>
          <w:color w:val="000000"/>
          <w:u w:val="single"/>
        </w:rPr>
        <w:t>OBMC Service Agreement</w:t>
      </w:r>
    </w:p>
    <w:p>
      <w:pPr>
        <w:pStyle w:val="Header"/>
        <w:tabs>
          <w:tab w:val="clear" w:pos="4320"/>
          <w:tab w:val="clear" w:pos="8640"/>
        </w:tabs>
        <w:rPr>
          <w:b/>
          <w:bCs/>
          <w:color w:val="000000"/>
          <w:u w:val="single"/>
        </w:rPr>
      </w:pPr>
      <w:r>
        <w:rPr>
          <w:b/>
          <w:bCs/>
          <w:color w:val="000000"/>
          <w:u w:val="single"/>
        </w:rPr>
      </w:r>
    </w:p>
    <w:p>
      <w:pPr>
        <w:pStyle w:val="Normal"/>
        <w:jc w:val="both"/>
        <w:rPr/>
      </w:pPr>
      <w:r>
        <w:rPr/>
        <w:t xml:space="preserve">Service under Schedule OBMC also requires customers to complete the </w:t>
      </w:r>
      <w:r>
        <w:rPr>
          <w:u w:val="single"/>
        </w:rPr>
        <w:t>Agreement for Schedule OBMC</w:t>
      </w:r>
      <w:r>
        <w:rPr/>
        <w:t xml:space="preserve"> (Form No. 79-966).</w:t>
      </w:r>
    </w:p>
    <w:p>
      <w:pPr>
        <w:pStyle w:val="Header"/>
        <w:tabs>
          <w:tab w:val="clear" w:pos="4320"/>
          <w:tab w:val="clear" w:pos="8640"/>
        </w:tabs>
        <w:rPr>
          <w:color w:val="000000"/>
        </w:rPr>
      </w:pPr>
      <w:r>
        <w:rPr>
          <w:color w:val="000000"/>
        </w:rPr>
      </w:r>
    </w:p>
    <w:p>
      <w:pPr>
        <w:pStyle w:val="Header"/>
        <w:tabs>
          <w:tab w:val="clear" w:pos="4320"/>
          <w:tab w:val="clear" w:pos="8640"/>
        </w:tabs>
        <w:rPr>
          <w:b/>
          <w:bCs/>
          <w:color w:val="000000"/>
          <w:u w:val="single"/>
        </w:rPr>
      </w:pPr>
      <w:r>
        <w:rPr>
          <w:b/>
          <w:bCs/>
          <w:color w:val="000000"/>
          <w:u w:val="single"/>
        </w:rPr>
        <w:t>Schedules E-19 and E-20</w:t>
      </w:r>
    </w:p>
    <w:p>
      <w:pPr>
        <w:pStyle w:val="Header"/>
        <w:tabs>
          <w:tab w:val="clear" w:pos="4320"/>
          <w:tab w:val="clear" w:pos="8640"/>
        </w:tabs>
        <w:rPr>
          <w:b/>
          <w:bCs/>
          <w:color w:val="000000"/>
          <w:u w:val="single"/>
        </w:rPr>
      </w:pPr>
      <w:r>
        <w:rPr>
          <w:b/>
          <w:bCs/>
          <w:color w:val="000000"/>
          <w:u w:val="single"/>
        </w:rPr>
      </w:r>
    </w:p>
    <w:p>
      <w:pPr>
        <w:pStyle w:val="Header"/>
        <w:tabs>
          <w:tab w:val="clear" w:pos="4320"/>
          <w:tab w:val="clear" w:pos="8640"/>
        </w:tabs>
        <w:jc w:val="both"/>
        <w:rPr>
          <w:color w:val="000000"/>
        </w:rPr>
      </w:pPr>
      <w:r>
        <w:rPr>
          <w:color w:val="000000"/>
        </w:rPr>
        <w:t>Revisions have also been made to Schedules E-19 and E-20 to provide for new Interruptible Load Programs in accordance with D. 01-04-006 and R. 00-01-002.</w:t>
      </w:r>
    </w:p>
    <w:p>
      <w:pPr>
        <w:pStyle w:val="Header"/>
        <w:tabs>
          <w:tab w:val="clear" w:pos="4320"/>
          <w:tab w:val="clear" w:pos="8640"/>
        </w:tabs>
        <w:rPr>
          <w:color w:val="000000"/>
        </w:rPr>
      </w:pPr>
      <w:r>
        <w:rPr>
          <w:color w:val="000000"/>
        </w:rPr>
      </w:r>
    </w:p>
    <w:p>
      <w:pPr>
        <w:pStyle w:val="Heading1"/>
        <w:ind w:hanging="0" w:start="0"/>
        <w:rPr>
          <w:color w:val="000000"/>
        </w:rPr>
      </w:pPr>
      <w:r>
        <w:rPr>
          <w:color w:val="000000"/>
        </w:rPr>
        <w:t>Protests</w:t>
      </w:r>
    </w:p>
    <w:p>
      <w:pPr>
        <w:pStyle w:val="Normal"/>
        <w:rPr>
          <w:color w:val="000000"/>
        </w:rPr>
      </w:pPr>
      <w:r>
        <w:rPr>
          <w:color w:val="000000"/>
        </w:rPr>
      </w:r>
    </w:p>
    <w:p>
      <w:pPr>
        <w:pStyle w:val="Normal"/>
        <w:jc w:val="both"/>
        <w:rPr>
          <w:color w:val="000000"/>
        </w:rPr>
      </w:pPr>
      <w:r>
        <w:rPr>
          <w:color w:val="000000"/>
        </w:rPr>
        <w:t>Anyone wishing to protest this filing may do so by sending a letter within 20 days of the date of this filing.  The protest must state the grounds upon which it is based, including such items as financial and service impact, and should be submitted expeditiously.  Protests should be sent by U.S. mail and via facsimile to:</w:t>
      </w:r>
    </w:p>
    <w:p>
      <w:pPr>
        <w:pStyle w:val="Normal"/>
        <w:jc w:val="both"/>
        <w:rPr>
          <w:color w:val="000000"/>
        </w:rPr>
      </w:pPr>
      <w:r>
        <w:rPr>
          <w:color w:val="000000"/>
        </w:rPr>
      </w:r>
    </w:p>
    <w:p>
      <w:pPr>
        <w:pStyle w:val="Normal"/>
        <w:ind w:start="2700" w:end="0"/>
        <w:jc w:val="both"/>
        <w:rPr>
          <w:color w:val="000000"/>
        </w:rPr>
      </w:pPr>
      <w:r>
        <w:rPr>
          <w:color w:val="000000"/>
        </w:rPr>
        <w:t>IMC Branch Chief</w:t>
      </w:r>
    </w:p>
    <w:p>
      <w:pPr>
        <w:pStyle w:val="Normal"/>
        <w:ind w:start="2700" w:end="0"/>
        <w:jc w:val="both"/>
        <w:rPr>
          <w:color w:val="000000"/>
        </w:rPr>
      </w:pPr>
      <w:r>
        <w:rPr>
          <w:color w:val="000000"/>
        </w:rPr>
        <w:t>Energy Division</w:t>
      </w:r>
    </w:p>
    <w:p>
      <w:pPr>
        <w:pStyle w:val="Normal"/>
        <w:ind w:start="2700" w:end="0"/>
        <w:jc w:val="both"/>
        <w:rPr>
          <w:color w:val="000000"/>
        </w:rPr>
      </w:pPr>
      <w:r>
        <w:rPr>
          <w:color w:val="000000"/>
        </w:rPr>
        <w:t>California Public Utilities Commission</w:t>
      </w:r>
    </w:p>
    <w:p>
      <w:pPr>
        <w:pStyle w:val="Normal"/>
        <w:ind w:start="2700" w:end="0"/>
        <w:jc w:val="both"/>
        <w:rPr>
          <w:color w:val="000000"/>
        </w:rPr>
      </w:pPr>
      <w:r>
        <w:rPr>
          <w:color w:val="000000"/>
        </w:rPr>
        <w:t>505 Van Ness Avenue, Room 4002</w:t>
      </w:r>
    </w:p>
    <w:p>
      <w:pPr>
        <w:pStyle w:val="Normal"/>
        <w:ind w:start="2700" w:end="0"/>
        <w:jc w:val="both"/>
        <w:rPr>
          <w:color w:val="000000"/>
        </w:rPr>
      </w:pPr>
      <w:r>
        <w:rPr>
          <w:color w:val="000000"/>
        </w:rPr>
        <w:t>San Francisco, CA  94102</w:t>
      </w:r>
    </w:p>
    <w:p>
      <w:pPr>
        <w:pStyle w:val="Normal"/>
        <w:ind w:start="2700" w:end="0"/>
        <w:jc w:val="both"/>
        <w:rPr>
          <w:color w:val="000000"/>
        </w:rPr>
      </w:pPr>
      <w:r>
        <w:rPr>
          <w:color w:val="000000"/>
        </w:rPr>
        <w:t>Facsimile: (415) 703-2200</w:t>
      </w:r>
    </w:p>
    <w:p>
      <w:pPr>
        <w:pStyle w:val="Normal"/>
        <w:jc w:val="both"/>
        <w:rPr>
          <w:color w:val="000000"/>
        </w:rPr>
      </w:pPr>
      <w:r>
        <w:rPr>
          <w:color w:val="000000"/>
        </w:rPr>
      </w:r>
    </w:p>
    <w:p>
      <w:pPr>
        <w:pStyle w:val="Normal"/>
        <w:jc w:val="both"/>
        <w:rPr/>
      </w:pPr>
      <w:r>
        <w:rPr>
          <w:color w:val="000000"/>
        </w:rPr>
        <w:t xml:space="preserve">Copies should also be mailed to the attention of the Director, Energy Division, Room 4005 and Jerry Royer, Energy Division, at the address shown above.  It is also requested that a copy of the protest be sent via postal mail </w:t>
      </w:r>
      <w:r>
        <w:rPr>
          <w:color w:val="000000"/>
          <w:u w:val="single"/>
        </w:rPr>
        <w:t>and</w:t>
      </w:r>
      <w:r>
        <w:rPr>
          <w:color w:val="000000"/>
        </w:rPr>
        <w:t xml:space="preserve"> facsimile to Pacific Gas and Electric Company on the same date it is mailed or delivered to the Commission at the address shown below.</w:t>
      </w:r>
    </w:p>
    <w:p>
      <w:pPr>
        <w:pStyle w:val="Normal"/>
        <w:jc w:val="both"/>
        <w:rPr>
          <w:color w:val="000000"/>
        </w:rPr>
      </w:pPr>
      <w:r>
        <w:rPr>
          <w:color w:val="000000"/>
        </w:rPr>
      </w:r>
    </w:p>
    <w:p>
      <w:pPr>
        <w:pStyle w:val="Header"/>
        <w:tabs>
          <w:tab w:val="clear" w:pos="4320"/>
          <w:tab w:val="clear" w:pos="8640"/>
        </w:tabs>
        <w:rPr>
          <w:color w:val="000000"/>
        </w:rPr>
      </w:pPr>
      <w:r>
        <w:rPr>
          <w:color w:val="000000"/>
        </w:rPr>
        <w:tab/>
        <w:tab/>
        <w:tab/>
        <w:tab/>
        <w:t>Pacific Gas and Electric Company</w:t>
      </w:r>
    </w:p>
    <w:p>
      <w:pPr>
        <w:pStyle w:val="Normal"/>
        <w:ind w:start="2880" w:end="0"/>
        <w:rPr>
          <w:color w:val="000000"/>
        </w:rPr>
      </w:pPr>
      <w:r>
        <w:rPr>
          <w:color w:val="000000"/>
        </w:rPr>
        <w:t>Attention: Les Guliasi</w:t>
      </w:r>
    </w:p>
    <w:p>
      <w:pPr>
        <w:pStyle w:val="Normal"/>
        <w:ind w:start="2880" w:end="0"/>
        <w:rPr>
          <w:color w:val="000000"/>
        </w:rPr>
      </w:pPr>
      <w:r>
        <w:rPr>
          <w:color w:val="000000"/>
        </w:rPr>
        <w:t>Director, Regulatory Relations</w:t>
      </w:r>
    </w:p>
    <w:p>
      <w:pPr>
        <w:pStyle w:val="Normal"/>
        <w:ind w:start="2880" w:end="0"/>
        <w:rPr>
          <w:color w:val="000000"/>
        </w:rPr>
      </w:pPr>
      <w:r>
        <w:rPr>
          <w:color w:val="000000"/>
        </w:rPr>
        <w:t>77 Beale Street, Mailcode B10C</w:t>
      </w:r>
    </w:p>
    <w:p>
      <w:pPr>
        <w:pStyle w:val="Normal"/>
        <w:ind w:start="2880" w:end="0"/>
        <w:rPr>
          <w:color w:val="000000"/>
        </w:rPr>
      </w:pPr>
      <w:r>
        <w:rPr>
          <w:color w:val="000000"/>
        </w:rPr>
        <w:t>P.O. Box 770000</w:t>
      </w:r>
    </w:p>
    <w:p>
      <w:pPr>
        <w:pStyle w:val="Normal"/>
        <w:ind w:start="2880" w:end="0"/>
        <w:rPr>
          <w:color w:val="000000"/>
        </w:rPr>
      </w:pPr>
      <w:r>
        <w:rPr>
          <w:color w:val="000000"/>
        </w:rPr>
        <w:t>San Francisco, CA  94177</w:t>
      </w:r>
    </w:p>
    <w:p>
      <w:pPr>
        <w:pStyle w:val="Normal"/>
        <w:ind w:start="2880" w:end="0"/>
        <w:rPr>
          <w:color w:val="000000"/>
        </w:rPr>
      </w:pPr>
      <w:r>
        <w:rPr>
          <w:color w:val="000000"/>
        </w:rPr>
        <w:t>Facsimile: (415) 973-7226</w:t>
      </w:r>
    </w:p>
    <w:p>
      <w:pPr>
        <w:pStyle w:val="Normal"/>
        <w:rPr>
          <w:color w:val="000000"/>
        </w:rPr>
      </w:pPr>
      <w:r>
        <w:rPr>
          <w:color w:val="000000"/>
        </w:rPr>
      </w:r>
    </w:p>
    <w:p>
      <w:pPr>
        <w:pStyle w:val="Heading1"/>
        <w:ind w:hanging="0" w:start="0"/>
        <w:rPr>
          <w:color w:val="000000"/>
        </w:rPr>
      </w:pPr>
      <w:r>
        <w:rPr>
          <w:color w:val="000000"/>
        </w:rPr>
        <w:t>Effective Date</w:t>
      </w:r>
    </w:p>
    <w:p>
      <w:pPr>
        <w:pStyle w:val="Normal"/>
        <w:rPr>
          <w:color w:val="000000"/>
        </w:rPr>
      </w:pPr>
      <w:r>
        <w:rPr>
          <w:color w:val="000000"/>
        </w:rPr>
      </w:r>
    </w:p>
    <w:p>
      <w:pPr>
        <w:pStyle w:val="Normal"/>
        <w:jc w:val="both"/>
        <w:rPr/>
      </w:pPr>
      <w:r>
        <w:rPr>
          <w:color w:val="000000"/>
        </w:rPr>
        <w:t xml:space="preserve">In accordance with D. 01-04-006, PG&amp;E requests that this advice filing become effective on </w:t>
      </w:r>
      <w:r>
        <w:rPr>
          <w:b/>
          <w:bCs/>
          <w:color w:val="000000"/>
        </w:rPr>
        <w:t>April 9, 2001</w:t>
      </w:r>
      <w:r>
        <w:rPr>
          <w:color w:val="000000"/>
        </w:rPr>
        <w:t>.</w:t>
      </w:r>
    </w:p>
    <w:p>
      <w:pPr>
        <w:pStyle w:val="Normal"/>
        <w:rPr>
          <w:color w:val="000000"/>
        </w:rPr>
      </w:pPr>
      <w:r>
        <w:rPr>
          <w:color w:val="000000"/>
        </w:rPr>
      </w:r>
    </w:p>
    <w:p>
      <w:pPr>
        <w:pStyle w:val="Heading2"/>
        <w:ind w:hanging="0" w:start="0"/>
        <w:rPr>
          <w:color w:val="000000"/>
          <w:u w:val="single"/>
        </w:rPr>
      </w:pPr>
      <w:r>
        <w:rPr>
          <w:color w:val="000000"/>
          <w:u w:val="single"/>
        </w:rPr>
        <w:t>Notice</w:t>
      </w:r>
    </w:p>
    <w:p>
      <w:pPr>
        <w:pStyle w:val="Normal"/>
        <w:rPr>
          <w:color w:val="000000"/>
          <w:u w:val="single"/>
        </w:rPr>
      </w:pPr>
      <w:r>
        <w:rPr>
          <w:color w:val="000000"/>
          <w:u w:val="single"/>
        </w:rPr>
      </w:r>
    </w:p>
    <w:p>
      <w:pPr>
        <w:pStyle w:val="BodyText"/>
        <w:rPr>
          <w:color w:val="000000"/>
        </w:rPr>
      </w:pPr>
      <w:r>
        <w:rPr>
          <w:color w:val="000000"/>
        </w:rPr>
        <w:t>In accordance with Section III, Paragraph G, of General Order 96-A, a copy of this advice letter is being sent electronically and via U.S. mail to parties shown on the attached list.  Address changes should be directed to Nelia Avendano at (415) 973-3529. Advice letter filings can also be accessed electronically at:</w:t>
        <w:tab/>
        <w:tab/>
        <w:tab/>
        <w:tab/>
        <w:tab/>
      </w:r>
      <w:r>
        <w:rPr>
          <w:color w:val="0000FF"/>
        </w:rPr>
        <w:t>http://www.pge.com/business/tariffs/</w:t>
      </w:r>
    </w:p>
    <w:p>
      <w:pPr>
        <w:pStyle w:val="Normal"/>
        <w:rPr>
          <w:color w:val="000000"/>
        </w:rPr>
      </w:pPr>
      <w:r>
        <w:rPr>
          <w:color w:val="000000"/>
        </w:rPr>
      </w:r>
    </w:p>
    <w:p>
      <w:pPr>
        <w:pStyle w:val="Normal"/>
        <w:rPr>
          <w:color w:val="000000"/>
        </w:rPr>
      </w:pPr>
      <w:r>
        <w:rPr>
          <w:color w:val="000000"/>
        </w:rPr>
      </w:r>
    </w:p>
    <w:p>
      <w:pPr>
        <w:pStyle w:val="Header"/>
        <w:tabs>
          <w:tab w:val="clear" w:pos="4320"/>
          <w:tab w:val="clear" w:pos="8640"/>
        </w:tabs>
        <w:rPr>
          <w:color w:val="000000"/>
        </w:rPr>
      </w:pPr>
      <w:r>
        <w:rPr>
          <w:color w:val="000000"/>
        </w:rPr>
      </w:r>
    </w:p>
    <w:p>
      <w:pPr>
        <w:pStyle w:val="Normal"/>
        <w:rPr>
          <w:color w:val="000000"/>
        </w:rPr>
      </w:pPr>
      <w:r>
        <w:rPr>
          <w:color w:val="000000"/>
        </w:rPr>
        <w:t>Vice President - Regulatory Relations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Attachments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cc: Service List – Rulemaking 01-10-002</w:t>
      </w:r>
    </w:p>
    <w:sectPr>
      <w:headerReference w:type="default" r:id="rId2"/>
      <w:headerReference w:type="first" r:id="rId3"/>
      <w:type w:val="nextPage"/>
      <w:pgSz w:w="12240" w:h="15840"/>
      <w:pgMar w:left="1728" w:right="1728"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rPr/>
          </w:pPr>
          <w:r>
            <w:rPr/>
            <w:t xml:space="preserve"> </w:t>
          </w:r>
          <w:r>
            <w:rPr/>
            <w:t>Advice 2099-E</w:t>
          </w:r>
        </w:p>
      </w:tc>
      <w:tc>
        <w:tcPr>
          <w:tcW w:w="2952" w:type="dxa"/>
          <w:tcBorders/>
        </w:tcPr>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c>
      <w:tc>
        <w:tcPr>
          <w:tcW w:w="2952" w:type="dxa"/>
          <w:tcBorders/>
        </w:tcPr>
        <w:p>
          <w:pPr>
            <w:pStyle w:val="Header"/>
            <w:jc w:val="end"/>
            <w:rPr/>
          </w:pPr>
          <w:r>
            <w:rPr/>
            <w:t>April 9, 2001</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spacing w:before="0" w:after="200"/>
      <w:outlineLvl w:val="2"/>
    </w:pPr>
    <w:rPr>
      <w:b/>
      <w:bCs/>
      <w:smallCaps/>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0000"/>
    </w:rPr>
  </w:style>
  <w:style w:type="paragraph" w:styleId="BodyTextIndent2">
    <w:name w:val="Body Text Indent 2"/>
    <w:basedOn w:val="Normal"/>
    <w:qFormat/>
    <w:pPr>
      <w:spacing w:before="0" w:after="200"/>
      <w:ind w:hanging="0" w:start="360" w:end="0"/>
    </w:pPr>
    <w:rPr>
      <w:color w:val="000000"/>
      <w:sz w:val="20"/>
      <w:szCs w:val="20"/>
    </w:rPr>
  </w:style>
  <w:style w:type="paragraph" w:styleId="BodyText3">
    <w:name w:val="Body Text 3"/>
    <w:basedOn w:val="Normal"/>
    <w:qFormat/>
    <w:pPr/>
    <w:rPr>
      <w:b/>
      <w:bCs/>
      <w:smallCaps/>
      <w:color w:val="000000"/>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2001-04-10T13:01:00Z</dcterms:created>
  <dc:creator>A Valued Microsoft Customer</dc:creator>
  <dc:description/>
  <dc:language>en-CA</dc:language>
  <cp:lastModifiedBy>Nel Avendano</cp:lastModifiedBy>
  <cp:lastPrinted>2001-04-09T14:24:00Z</cp:lastPrinted>
  <dcterms:modified xsi:type="dcterms:W3CDTF">2001-04-10T13:01:00Z</dcterms:modified>
  <cp:revision>2</cp:revision>
  <dc:subject/>
  <dc:title>Date</dc:title>
</cp:coreProperties>
</file>