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sz w:val="22"/>
        </w:rPr>
      </w:pPr>
      <w:r>
        <w:rPr>
          <w:b/>
          <w:bCs/>
          <w:sz w:val="22"/>
        </w:rPr>
        <w:t>TIMING AND STRUCTURE OF REVISED REORGANIZATION</w:t>
      </w:r>
    </w:p>
    <w:p>
      <w:pPr>
        <w:pStyle w:val="VEBodyText"/>
        <w:rPr/>
      </w:pPr>
      <w:r>
        <w:rPr>
          <w:b/>
          <w:bCs/>
          <w:sz w:val="22"/>
        </w:rPr>
        <w:t>Proposed Reorganization</w:t>
      </w:r>
      <w:r>
        <w:rPr>
          <w:sz w:val="22"/>
        </w:rPr>
        <w:t xml:space="preserve">.  </w:t>
      </w:r>
    </w:p>
    <w:p>
      <w:pPr>
        <w:pStyle w:val="VEBodyText"/>
        <w:numPr>
          <w:ilvl w:val="0"/>
          <w:numId w:val="9"/>
        </w:numPr>
        <w:rPr>
          <w:sz w:val="22"/>
        </w:rPr>
      </w:pPr>
      <w:r>
        <w:rPr>
          <w:sz w:val="22"/>
        </w:rPr>
        <w:t xml:space="preserve">The reorganization would make each OLP a 100%-owned subsidiary.  </w:t>
      </w:r>
    </w:p>
    <w:p>
      <w:pPr>
        <w:pStyle w:val="VEBodyText"/>
        <w:numPr>
          <w:ilvl w:val="0"/>
          <w:numId w:val="9"/>
        </w:numPr>
        <w:rPr>
          <w:sz w:val="22"/>
        </w:rPr>
      </w:pPr>
      <w:r>
        <w:rPr>
          <w:sz w:val="22"/>
        </w:rPr>
        <w:t>Otherwise, each OLP will be required to furnish separate financial statements in connection with offerings of debt securities of the MLP that are guaranteed by the OLPs.</w:t>
      </w:r>
    </w:p>
    <w:p>
      <w:pPr>
        <w:pStyle w:val="VEBodyText"/>
        <w:rPr/>
      </w:pPr>
      <w:r>
        <w:rPr>
          <w:b/>
          <w:bCs/>
          <w:sz w:val="22"/>
        </w:rPr>
        <w:t>Purpose of Memo</w:t>
      </w:r>
      <w:r>
        <w:rPr>
          <w:sz w:val="22"/>
        </w:rPr>
        <w:t xml:space="preserve">.  </w:t>
      </w:r>
    </w:p>
    <w:p>
      <w:pPr>
        <w:pStyle w:val="VEBodyText"/>
        <w:numPr>
          <w:ilvl w:val="0"/>
          <w:numId w:val="11"/>
        </w:numPr>
        <w:rPr>
          <w:sz w:val="22"/>
        </w:rPr>
      </w:pPr>
      <w:r>
        <w:rPr>
          <w:sz w:val="22"/>
        </w:rPr>
        <w:t>This memo discusses accomplishing the reorganization by replacing EOTT Energy Corp. as general partner of each of the OLPs immediately and determining later exactly what interest in the MLP EOTT Energy Corp. will receive in exchange for its interests in the operating partnerships.</w:t>
      </w:r>
    </w:p>
    <w:p>
      <w:pPr>
        <w:pStyle w:val="VEBodyText"/>
        <w:rPr>
          <w:sz w:val="22"/>
        </w:rPr>
      </w:pPr>
      <w:r>
        <w:rPr>
          <w:b/>
          <w:bCs/>
          <w:sz w:val="22"/>
        </w:rPr>
        <w:t>Reorganization Structure</w:t>
      </w:r>
      <w:r>
        <w:rPr>
          <w:sz w:val="22"/>
        </w:rPr>
        <w:t xml:space="preserve"> </w:t>
      </w:r>
      <w:r>
        <w:rPr>
          <w:b/>
          <w:bCs/>
          <w:sz w:val="22"/>
        </w:rPr>
        <w:t>and Consequences</w:t>
      </w:r>
    </w:p>
    <w:p>
      <w:pPr>
        <w:pStyle w:val="VEBodyText"/>
        <w:numPr>
          <w:ilvl w:val="0"/>
          <w:numId w:val="11"/>
        </w:numPr>
        <w:rPr>
          <w:sz w:val="22"/>
        </w:rPr>
      </w:pPr>
      <w:r>
        <w:rPr>
          <w:sz w:val="22"/>
        </w:rPr>
        <w:t>Organize a new corporation (the “New GP”) that will be a subsidiary of the MLP and that will serve as general partner for each of the OLPs.  EOTT Energy General Partner, L.L.C. was organized in connection with Project Timber, and therefore this step has been accomplished.  All that remains is to convert it into a “C corporation” for federal income tax purposes prior to the reorgnization.</w:t>
      </w:r>
    </w:p>
    <w:p>
      <w:pPr>
        <w:pStyle w:val="VEBodyText"/>
        <w:numPr>
          <w:ilvl w:val="0"/>
          <w:numId w:val="11"/>
        </w:numPr>
        <w:rPr>
          <w:sz w:val="22"/>
        </w:rPr>
      </w:pPr>
      <w:r>
        <w:rPr>
          <w:sz w:val="22"/>
        </w:rPr>
        <w:t xml:space="preserve">EOTT Energy Corp. (which will remain the general partner of the MLP) will exchange its interests in the three OLPs for an additional general partner interest in the MLP.  </w:t>
      </w:r>
    </w:p>
    <w:p>
      <w:pPr>
        <w:pStyle w:val="VEBodyText"/>
        <w:numPr>
          <w:ilvl w:val="0"/>
          <w:numId w:val="11"/>
        </w:numPr>
        <w:rPr>
          <w:sz w:val="22"/>
        </w:rPr>
      </w:pPr>
      <w:r>
        <w:rPr>
          <w:sz w:val="22"/>
        </w:rPr>
        <w:t>The amount of the additional general partner interest will be an interest that is not less than .99% nor more than 1.97%.  The additional interest will not be subject to incentive distributions.  The exact percentage interest to be received by EOTT Energy Corp. will be determined by the Audit Committee, after engaging independent investment bankers to do an appraisal of the interests exchanged.</w:t>
      </w:r>
    </w:p>
    <w:p>
      <w:pPr>
        <w:pStyle w:val="VEBodyText"/>
        <w:numPr>
          <w:ilvl w:val="0"/>
          <w:numId w:val="8"/>
        </w:numPr>
        <w:rPr>
          <w:sz w:val="22"/>
        </w:rPr>
      </w:pPr>
      <w:r>
        <w:rPr>
          <w:sz w:val="22"/>
        </w:rPr>
        <w:t xml:space="preserve">Each OLP will be 100% owned because all equity interests in all OLPs will be owned by the MLP (directly, through New GP or through the first tier OLP).    </w:t>
      </w:r>
    </w:p>
    <w:p>
      <w:pPr>
        <w:pStyle w:val="VEBodyText"/>
        <w:rPr/>
      </w:pPr>
      <w:r>
        <w:rPr>
          <w:b/>
          <w:bCs/>
          <w:sz w:val="22"/>
        </w:rPr>
        <w:t>Reorganization Procedures</w:t>
      </w:r>
      <w:r>
        <w:rPr>
          <w:sz w:val="22"/>
        </w:rPr>
        <w:t xml:space="preserve">.  </w:t>
      </w:r>
    </w:p>
    <w:p>
      <w:pPr>
        <w:pStyle w:val="VEBodyText"/>
        <w:numPr>
          <w:ilvl w:val="0"/>
          <w:numId w:val="7"/>
        </w:numPr>
        <w:rPr>
          <w:sz w:val="22"/>
        </w:rPr>
      </w:pPr>
      <w:r>
        <w:rPr>
          <w:sz w:val="22"/>
        </w:rPr>
        <w:t>The partnership agreements for the MLP and the OLPs may be amended, either:</w:t>
      </w:r>
    </w:p>
    <w:p>
      <w:pPr>
        <w:pStyle w:val="VEBodyText"/>
        <w:numPr>
          <w:ilvl w:val="1"/>
          <w:numId w:val="7"/>
        </w:numPr>
        <w:rPr>
          <w:sz w:val="22"/>
        </w:rPr>
      </w:pPr>
      <w:r>
        <w:rPr>
          <w:sz w:val="22"/>
        </w:rPr>
        <w:t xml:space="preserve">by vote of unitholders or </w:t>
      </w:r>
    </w:p>
    <w:p>
      <w:pPr>
        <w:pStyle w:val="VEBodyText"/>
        <w:numPr>
          <w:ilvl w:val="1"/>
          <w:numId w:val="7"/>
        </w:numPr>
        <w:rPr>
          <w:sz w:val="22"/>
        </w:rPr>
      </w:pPr>
      <w:r>
        <w:rPr>
          <w:sz w:val="22"/>
        </w:rPr>
        <w:t xml:space="preserve">by the EOTT Energy Corp. board if it determines that the amendments will not adversely affect the MLP’s limited partners in any material respect.  </w:t>
      </w:r>
    </w:p>
    <w:p>
      <w:pPr>
        <w:pStyle w:val="VEBodyText"/>
        <w:numPr>
          <w:ilvl w:val="0"/>
          <w:numId w:val="8"/>
        </w:numPr>
        <w:rPr>
          <w:sz w:val="22"/>
        </w:rPr>
      </w:pPr>
      <w:r>
        <w:rPr>
          <w:sz w:val="22"/>
        </w:rPr>
        <w:t xml:space="preserve">For the reorganization to be done expeditiously, the amendments must be done by the board.  </w:t>
      </w:r>
    </w:p>
    <w:p>
      <w:pPr>
        <w:pStyle w:val="VEBodyText"/>
        <w:numPr>
          <w:ilvl w:val="0"/>
          <w:numId w:val="8"/>
        </w:numPr>
        <w:rPr>
          <w:sz w:val="22"/>
        </w:rPr>
      </w:pPr>
      <w:r>
        <w:rPr>
          <w:sz w:val="22"/>
        </w:rPr>
        <w:t>The Audit Committee can then determine the fairness of the terms of the exchange after the reorganization is accomplished.</w:t>
      </w:r>
      <w:r>
        <w:br w:type="page"/>
      </w:r>
    </w:p>
    <w:p>
      <w:pPr>
        <w:pStyle w:val="VEBodyText"/>
        <w:rPr>
          <w:b/>
          <w:bCs/>
          <w:sz w:val="22"/>
        </w:rPr>
      </w:pPr>
      <w:r>
        <w:rPr>
          <w:b/>
          <w:bCs/>
          <w:sz w:val="22"/>
        </w:rPr>
        <w:t>Documentation and Timing</w:t>
      </w:r>
    </w:p>
    <w:p>
      <w:pPr>
        <w:pStyle w:val="VEBodyText"/>
        <w:numPr>
          <w:ilvl w:val="0"/>
          <w:numId w:val="6"/>
        </w:numPr>
        <w:rPr>
          <w:sz w:val="22"/>
        </w:rPr>
      </w:pPr>
      <w:r>
        <w:rPr>
          <w:sz w:val="22"/>
        </w:rPr>
        <w:t>Draft amendments to the partnership agreements for the MLP and the OLPs, draft a memorandum to the board describing the reorganization, draft an opinion relating to the ability of the board to adopt the proposed amendments, draft resolutions and call a board meeting.</w:t>
      </w:r>
    </w:p>
    <w:p>
      <w:pPr>
        <w:pStyle w:val="VEBodyText"/>
        <w:numPr>
          <w:ilvl w:val="0"/>
          <w:numId w:val="6"/>
        </w:numPr>
        <w:rPr>
          <w:sz w:val="22"/>
        </w:rPr>
      </w:pPr>
      <w:r>
        <w:rPr>
          <w:sz w:val="22"/>
        </w:rPr>
        <w:t>This task should be accomplishable in two weeks.</w:t>
      </w:r>
    </w:p>
    <w:p>
      <w:pPr>
        <w:pStyle w:val="VEBodyText"/>
        <w:numPr>
          <w:ilvl w:val="0"/>
          <w:numId w:val="6"/>
        </w:numPr>
        <w:rPr>
          <w:sz w:val="22"/>
        </w:rPr>
      </w:pPr>
      <w:r>
        <w:rPr>
          <w:sz w:val="22"/>
        </w:rPr>
        <w:t>EOTT can commence preparing a registration statement, and the registration statement could be filed immediately after the board meeting.</w:t>
      </w:r>
    </w:p>
    <w:p>
      <w:pPr>
        <w:pStyle w:val="VEBodyText"/>
        <w:numPr>
          <w:ilvl w:val="0"/>
          <w:numId w:val="6"/>
        </w:numPr>
        <w:rPr>
          <w:sz w:val="22"/>
        </w:rPr>
      </w:pPr>
      <w:r>
        <w:rPr>
          <w:sz w:val="22"/>
        </w:rPr>
        <w:t>The Audit Committee action can take place after the reorganization is effected.</w:t>
      </w:r>
    </w:p>
    <w:p>
      <w:pPr>
        <w:pStyle w:val="VEBodyText"/>
        <w:spacing w:before="0" w:after="240"/>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1440"/>
        </w:tabs>
        <w:ind w:start="1440" w:hanging="720"/>
      </w:pPr>
      <w:rPr>
        <w:rFonts w:ascii="Symbol" w:hAnsi="Symbol" w:cs="Symbol" w:hint="default"/>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12"/>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10"/>
      </w:numPr>
      <w:spacing w:before="0" w:after="240"/>
      <w:outlineLvl w:val="0"/>
    </w:pPr>
    <w:rPr>
      <w:bCs/>
    </w:rPr>
  </w:style>
  <w:style w:type="paragraph" w:styleId="VENumbered2">
    <w:name w:val="VE Numbered 2"/>
    <w:basedOn w:val="VENormal"/>
    <w:next w:val="VEBodyTextFLI"/>
    <w:qFormat/>
    <w:pPr>
      <w:numPr>
        <w:ilvl w:val="0"/>
        <w:numId w:val="10"/>
      </w:numPr>
      <w:spacing w:before="0" w:after="240"/>
      <w:outlineLvl w:val="1"/>
    </w:pPr>
    <w:rPr/>
  </w:style>
  <w:style w:type="paragraph" w:styleId="VENumbered3">
    <w:name w:val="VE Numbered 3"/>
    <w:basedOn w:val="VENormal"/>
    <w:next w:val="VEBodyTextFLI"/>
    <w:qFormat/>
    <w:pPr>
      <w:numPr>
        <w:ilvl w:val="0"/>
        <w:numId w:val="10"/>
      </w:numPr>
      <w:spacing w:before="0" w:after="240"/>
      <w:outlineLvl w:val="2"/>
    </w:pPr>
    <w:rPr/>
  </w:style>
  <w:style w:type="paragraph" w:styleId="VENumbered4">
    <w:name w:val="VE Numbered 4"/>
    <w:basedOn w:val="VENormal"/>
    <w:next w:val="VEBodyTextFLI"/>
    <w:qFormat/>
    <w:pPr>
      <w:numPr>
        <w:ilvl w:val="0"/>
        <w:numId w:val="10"/>
      </w:numPr>
      <w:spacing w:before="0" w:after="240"/>
      <w:outlineLvl w:val="3"/>
    </w:pPr>
    <w:rPr/>
  </w:style>
  <w:style w:type="paragraph" w:styleId="VENumbered5">
    <w:name w:val="VE Numbered 5"/>
    <w:basedOn w:val="VENormal"/>
    <w:next w:val="VEBodyTextFLI"/>
    <w:qFormat/>
    <w:pPr>
      <w:numPr>
        <w:ilvl w:val="0"/>
        <w:numId w:val="10"/>
      </w:numPr>
      <w:spacing w:before="0" w:after="240"/>
      <w:outlineLvl w:val="4"/>
    </w:pPr>
    <w:rPr/>
  </w:style>
  <w:style w:type="paragraph" w:styleId="VENumbered6">
    <w:name w:val="VE Numbered 6"/>
    <w:basedOn w:val="VENormal"/>
    <w:next w:val="VEBodyTextFLI"/>
    <w:qFormat/>
    <w:pPr>
      <w:numPr>
        <w:ilvl w:val="0"/>
        <w:numId w:val="10"/>
      </w:numPr>
      <w:spacing w:before="0" w:after="240"/>
      <w:outlineLvl w:val="5"/>
    </w:pPr>
    <w:rPr/>
  </w:style>
  <w:style w:type="paragraph" w:styleId="VENumbered7">
    <w:name w:val="VE Numbered 7"/>
    <w:basedOn w:val="VENormal"/>
    <w:next w:val="VEBodyTextFLI"/>
    <w:qFormat/>
    <w:pPr>
      <w:numPr>
        <w:ilvl w:val="0"/>
        <w:numId w:val="10"/>
      </w:numPr>
      <w:spacing w:before="0" w:after="240"/>
      <w:outlineLvl w:val="6"/>
    </w:pPr>
    <w:rPr/>
  </w:style>
  <w:style w:type="paragraph" w:styleId="VENumbered8">
    <w:name w:val="VE Numbered 8"/>
    <w:basedOn w:val="VENormal"/>
    <w:next w:val="VEBodyTextFLI"/>
    <w:qFormat/>
    <w:pPr>
      <w:numPr>
        <w:ilvl w:val="0"/>
        <w:numId w:val="10"/>
      </w:numPr>
      <w:spacing w:before="0" w:after="240"/>
      <w:outlineLvl w:val="7"/>
    </w:pPr>
    <w:rPr/>
  </w:style>
  <w:style w:type="paragraph" w:styleId="VENumbered9">
    <w:name w:val="VE Numbered 9"/>
    <w:basedOn w:val="VENormal"/>
    <w:next w:val="VEBodyTextFLI"/>
    <w:qFormat/>
    <w:pPr>
      <w:numPr>
        <w:ilvl w:val="0"/>
        <w:numId w:val="10"/>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2001-07-02T16:40:00Z</dcterms:created>
  <dc:creator>V&amp;E</dc:creator>
  <dc:description/>
  <dc:language>en-CA</dc:language>
  <cp:lastModifiedBy>V&amp;E</cp:lastModifiedBy>
  <dcterms:modified xsi:type="dcterms:W3CDTF">2001-07-02T16:54:00Z</dcterms:modified>
  <cp:revision>1</cp:revision>
  <dc:subject/>
  <dc:title>TIMING AND STRUCTURE OF REVISED REORGANIZATION</dc:title>
</cp:coreProperties>
</file>