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rPr>
          <w:rFonts w:ascii="Arial" w:hAnsi="Arial" w:cs="Arial"/>
          <w:b/>
          <w:sz w:val="28"/>
        </w:rPr>
      </w:pPr>
      <w:r>
        <w:rPr>
          <w:rFonts w:cs="Arial" w:ascii="Arial" w:hAnsi="Arial"/>
          <w:b/>
          <w:sz w:val="28"/>
        </w:rPr>
        <w:t>SEC. 407. MARKET-BASED RATES.</w:t>
      </w:r>
    </w:p>
    <w:p>
      <w:pPr>
        <w:pStyle w:val="Normal"/>
        <w:ind w:firstLine="720" w:end="0"/>
        <w:rPr>
          <w:rFonts w:ascii="Arial" w:hAnsi="Arial" w:cs="Arial"/>
          <w:b/>
          <w:sz w:val="28"/>
        </w:rPr>
      </w:pPr>
      <w:r>
        <w:rPr>
          <w:rFonts w:cs="Arial" w:ascii="Arial" w:hAnsi="Arial"/>
          <w:b/>
          <w:sz w:val="28"/>
        </w:rPr>
      </w:r>
    </w:p>
    <w:p>
      <w:pPr>
        <w:pStyle w:val="BodyTextIndent"/>
        <w:numPr>
          <w:ilvl w:val="0"/>
          <w:numId w:val="1"/>
        </w:numPr>
        <w:rPr/>
      </w:pPr>
      <w:r>
        <w:rPr/>
        <w:t>APPROVAL OF MARKET-BASED RATES. – Section 205 of the Federal Power Act (16 U.S.C. 824d) is further amended by adding at the end the following:</w:t>
      </w:r>
    </w:p>
    <w:p>
      <w:pPr>
        <w:pStyle w:val="Normal"/>
        <w:ind w:firstLine="720" w:end="0"/>
        <w:rPr>
          <w:rFonts w:ascii="Arial" w:hAnsi="Arial" w:cs="Arial"/>
          <w:sz w:val="28"/>
        </w:rPr>
      </w:pPr>
      <w:r>
        <w:rPr>
          <w:rFonts w:cs="Arial" w:ascii="Arial" w:hAnsi="Arial"/>
          <w:sz w:val="28"/>
        </w:rPr>
      </w:r>
    </w:p>
    <w:p>
      <w:pPr>
        <w:pStyle w:val="Normal"/>
        <w:ind w:start="1125" w:end="0"/>
        <w:rPr>
          <w:rFonts w:ascii="Arial" w:hAnsi="Arial" w:cs="Arial"/>
          <w:sz w:val="28"/>
        </w:rPr>
      </w:pPr>
      <w:r>
        <w:rPr>
          <w:rFonts w:cs="Arial" w:ascii="Arial" w:hAnsi="Arial"/>
          <w:sz w:val="28"/>
        </w:rPr>
        <w:t>“</w:t>
      </w:r>
      <w:r>
        <w:rPr>
          <w:rFonts w:cs="Arial" w:ascii="Arial" w:hAnsi="Arial"/>
          <w:sz w:val="28"/>
        </w:rPr>
        <w:t xml:space="preserve">(h) The Commission may determine a market-based rate for the sale of electric energy subject to the jurisdiction of the Commission to be just and reasonable only if the Commission finds that – </w:t>
      </w:r>
    </w:p>
    <w:p>
      <w:pPr>
        <w:pStyle w:val="Normal"/>
        <w:ind w:start="1125" w:end="0"/>
        <w:rPr>
          <w:rFonts w:ascii="Arial" w:hAnsi="Arial" w:cs="Arial"/>
          <w:sz w:val="28"/>
        </w:rPr>
      </w:pPr>
      <w:r>
        <w:rPr>
          <w:rFonts w:cs="Arial" w:ascii="Arial" w:hAnsi="Arial"/>
          <w:sz w:val="28"/>
        </w:rPr>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w:t>
      </w:r>
      <w:r>
        <w:rPr>
          <w:rFonts w:cs="Arial" w:ascii="Arial" w:hAnsi="Arial"/>
          <w:sz w:val="28"/>
        </w:rPr>
        <w:t>(1) the seller and its affiliates do not have, or have</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adequately mitigated, market power in the generation and</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transmission of electric energy; and</w:t>
      </w:r>
    </w:p>
    <w:p>
      <w:pPr>
        <w:pStyle w:val="Normal"/>
        <w:ind w:start="1125" w:end="0"/>
        <w:rPr>
          <w:rFonts w:ascii="Arial" w:hAnsi="Arial" w:eastAsia="Arial" w:cs="Arial"/>
          <w:sz w:val="28"/>
        </w:rPr>
      </w:pPr>
      <w:r>
        <w:rPr>
          <w:rFonts w:eastAsia="Arial" w:cs="Arial" w:ascii="Arial" w:hAnsi="Arial"/>
          <w:sz w:val="28"/>
        </w:rPr>
        <w:t xml:space="preserve">     </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 xml:space="preserve">(2) at the time the rate is agreed upon by the parties, </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 xml:space="preserve">the market for which delivery is intended has not been </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 xml:space="preserve">found by the Commission to be insufficiently competitive, </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 xml:space="preserve">pursuant to rules to be adopted by the Commission </w:t>
      </w:r>
    </w:p>
    <w:p>
      <w:pPr>
        <w:pStyle w:val="Normal"/>
        <w:ind w:start="1125" w:end="0"/>
        <w:rPr>
          <w:rFonts w:ascii="Arial" w:hAnsi="Arial" w:cs="Arial"/>
          <w:sz w:val="28"/>
        </w:rPr>
      </w:pPr>
      <w:r>
        <w:rPr>
          <w:rFonts w:eastAsia="Arial" w:cs="Arial" w:ascii="Arial" w:hAnsi="Arial"/>
          <w:sz w:val="28"/>
        </w:rPr>
        <w:t xml:space="preserve">     </w:t>
      </w:r>
      <w:r>
        <w:rPr>
          <w:rFonts w:cs="Arial" w:ascii="Arial" w:hAnsi="Arial"/>
          <w:sz w:val="28"/>
        </w:rPr>
        <w:t>under subsection (i) hereof;</w:t>
      </w:r>
    </w:p>
    <w:p>
      <w:pPr>
        <w:pStyle w:val="Normal"/>
        <w:ind w:start="1125" w:end="0"/>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 xml:space="preserve">Not later than one year after the date of enactment of </w:t>
      </w:r>
    </w:p>
    <w:p>
      <w:pPr>
        <w:pStyle w:val="Normal"/>
        <w:ind w:start="1200" w:end="0"/>
        <w:rPr>
          <w:rFonts w:ascii="Arial" w:hAnsi="Arial" w:cs="Arial"/>
          <w:sz w:val="28"/>
        </w:rPr>
      </w:pPr>
      <w:r>
        <w:rPr>
          <w:rFonts w:cs="Arial" w:ascii="Arial" w:hAnsi="Arial"/>
          <w:sz w:val="28"/>
        </w:rPr>
        <w:t xml:space="preserve">the Electric Restructuring Act of 2001, after notice and opportunity for public comment, the Commission may issue rules delineating relevant wholesale power supply markets, prescribing the standards for determining whether each such market is sufficiently competitive so that market-based rates may be deemed just and reasonable, and providing procedures for the review of the competitiveness of such markets upon complaint or upon the Commission’s own motion.   </w:t>
      </w:r>
    </w:p>
    <w:p>
      <w:pPr>
        <w:pStyle w:val="Normal"/>
        <w:ind w:start="1200" w:end="0"/>
        <w:rPr>
          <w:rFonts w:ascii="Arial" w:hAnsi="Arial" w:cs="Arial"/>
          <w:sz w:val="28"/>
        </w:rPr>
      </w:pPr>
      <w:r>
        <w:rPr>
          <w:rFonts w:cs="Arial" w:ascii="Arial" w:hAnsi="Arial"/>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125"/>
        </w:tabs>
        <w:ind w:start="1125" w:hanging="405"/>
      </w:pPr>
      <w:rPr/>
    </w:lvl>
  </w:abstractNum>
  <w:abstractNum w:abstractNumId="2">
    <w:lvl w:ilvl="0">
      <w:start w:val="1"/>
      <w:numFmt w:val="lowerRoman"/>
      <w:lvlText w:val="(%1)"/>
      <w:lvlJc w:val="start"/>
      <w:pPr>
        <w:tabs>
          <w:tab w:val="num" w:pos="1920"/>
        </w:tabs>
        <w:ind w:start="192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32"/>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rFonts w:ascii="Arial" w:hAnsi="Arial" w:cs="Arial"/>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2001-09-13T20:18:00Z</dcterms:created>
  <dc:creator>llgm</dc:creator>
  <dc:description/>
  <dc:language>en-CA</dc:language>
  <cp:lastModifiedBy>llgm</cp:lastModifiedBy>
  <dcterms:modified xsi:type="dcterms:W3CDTF">2001-09-13T20:18:00Z</dcterms:modified>
  <cp:revision>2</cp:revision>
  <dc:subject/>
  <dc:title>SEC</dc:title>
</cp:coreProperties>
</file>