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right" w:pos="11070" w:leader="none"/>
        </w:tabs>
        <w:spacing w:before="80" w:after="0"/>
        <w:rPr>
          <w:rFonts w:ascii="Arial" w:hAnsi="Arial" w:cs="Arial"/>
          <w:sz w:val="24"/>
        </w:rPr>
      </w:pPr>
      <w:r>
        <w:rPr>
          <w:rFonts w:cs="Arial" w:ascii="Arial" w:hAnsi="Arial"/>
          <w:sz w:val="24"/>
        </w:rPr>
      </w:r>
    </w:p>
    <w:p>
      <w:pPr>
        <w:pStyle w:val="Normal"/>
        <w:ind w:firstLine="720" w:end="0"/>
        <w:rPr/>
      </w:pPr>
      <w:r>
        <w:rPr>
          <w:rFonts w:eastAsia="Book Antiqua" w:cs="Book Antiqua" w:ascii="Book Antiqua" w:hAnsi="Book Antiqua"/>
          <w:sz w:val="22"/>
        </w:rPr>
        <w:t xml:space="preserve"> </w:t>
      </w:r>
      <w:r>
        <w:rPr>
          <w:rFonts w:cs="Book Antiqua" w:ascii="Book Antiqua" w:hAnsi="Book Antiqua"/>
          <w:sz w:val="24"/>
        </w:rPr>
        <w:t xml:space="preserve">December 4, 2000 </w:t>
      </w:r>
    </w:p>
    <w:p>
      <w:pPr>
        <w:pStyle w:val="Normal"/>
        <w:ind w:firstLine="720" w:end="0"/>
        <w:rPr>
          <w:rFonts w:ascii="Book Antiqua" w:hAnsi="Book Antiqua" w:cs="Book Antiqua"/>
          <w:sz w:val="24"/>
        </w:rPr>
      </w:pPr>
      <w:r>
        <w:rPr>
          <w:rFonts w:cs="Book Antiqua" w:ascii="Book Antiqua" w:hAnsi="Book Antiqua"/>
          <w:sz w:val="24"/>
        </w:rPr>
      </w:r>
    </w:p>
    <w:p>
      <w:pPr>
        <w:pStyle w:val="Normal"/>
        <w:ind w:firstLine="720" w:end="0"/>
        <w:rPr>
          <w:rFonts w:ascii="Book Antiqua" w:hAnsi="Book Antiqua" w:cs="Book Antiqua"/>
          <w:sz w:val="24"/>
        </w:rPr>
      </w:pPr>
      <w:r>
        <w:rPr>
          <w:rFonts w:cs="Book Antiqua" w:ascii="Book Antiqua" w:hAnsi="Book Antiqua"/>
          <w:sz w:val="24"/>
        </w:rPr>
      </w:r>
    </w:p>
    <w:p>
      <w:pPr>
        <w:pStyle w:val="Heading2"/>
        <w:rPr>
          <w:rFonts w:ascii="Book Antiqua" w:hAnsi="Book Antiqua" w:cs="Book Antiqua"/>
          <w:sz w:val="24"/>
        </w:rPr>
      </w:pPr>
      <w:r>
        <w:rPr>
          <w:rFonts w:cs="Book Antiqua" w:ascii="Book Antiqua" w:hAnsi="Book Antiqua"/>
          <w:sz w:val="24"/>
        </w:rPr>
        <w:t xml:space="preserve">DeAnn Hapner, Vice President of Regulatory Relations </w:t>
      </w:r>
    </w:p>
    <w:p>
      <w:pPr>
        <w:pStyle w:val="Normal"/>
        <w:ind w:firstLine="720" w:end="0"/>
        <w:rPr>
          <w:rFonts w:ascii="Book Antiqua" w:hAnsi="Book Antiqua" w:cs="Book Antiqua"/>
          <w:sz w:val="24"/>
        </w:rPr>
      </w:pPr>
      <w:r>
        <w:rPr>
          <w:rFonts w:cs="Book Antiqua" w:ascii="Book Antiqua" w:hAnsi="Book Antiqua"/>
          <w:sz w:val="24"/>
        </w:rPr>
        <w:t>Pacific Gas and Electric Company</w:t>
      </w:r>
    </w:p>
    <w:p>
      <w:pPr>
        <w:pStyle w:val="Heading1"/>
        <w:ind w:firstLine="720" w:start="0" w:end="0"/>
        <w:rPr>
          <w:rFonts w:ascii="Book Antiqua" w:hAnsi="Book Antiqua" w:cs="Book Antiqua"/>
          <w:sz w:val="24"/>
        </w:rPr>
      </w:pPr>
      <w:r>
        <w:rPr>
          <w:rFonts w:cs="Book Antiqua" w:ascii="Book Antiqua" w:hAnsi="Book Antiqua"/>
          <w:sz w:val="24"/>
        </w:rPr>
        <w:t>77 Beale Street</w:t>
      </w:r>
    </w:p>
    <w:p>
      <w:pPr>
        <w:pStyle w:val="Normal"/>
        <w:ind w:firstLine="720" w:end="0"/>
        <w:rPr>
          <w:rFonts w:ascii="Book Antiqua" w:hAnsi="Book Antiqua" w:cs="Book Antiqua"/>
          <w:sz w:val="24"/>
        </w:rPr>
      </w:pPr>
      <w:r>
        <w:rPr>
          <w:rFonts w:cs="Book Antiqua" w:ascii="Book Antiqua" w:hAnsi="Book Antiqua"/>
          <w:sz w:val="24"/>
        </w:rPr>
        <w:t>Mail Code B10A</w:t>
        <w:tab/>
        <w:tab/>
        <w:tab/>
        <w:tab/>
        <w:tab/>
        <w:tab/>
        <w:tab/>
        <w:t>BY  FAX</w:t>
      </w:r>
    </w:p>
    <w:p>
      <w:pPr>
        <w:pStyle w:val="Normal"/>
        <w:ind w:firstLine="720" w:end="0"/>
        <w:rPr>
          <w:rFonts w:ascii="Book Antiqua" w:hAnsi="Book Antiqua" w:cs="Book Antiqua"/>
          <w:sz w:val="24"/>
        </w:rPr>
      </w:pPr>
      <w:r>
        <w:rPr>
          <w:rFonts w:cs="Book Antiqua" w:ascii="Book Antiqua" w:hAnsi="Book Antiqua"/>
          <w:sz w:val="24"/>
        </w:rPr>
        <w:t>P.O. Box 770000</w:t>
        <w:tab/>
        <w:tab/>
        <w:tab/>
        <w:tab/>
        <w:tab/>
        <w:tab/>
        <w:tab/>
        <w:t>(415) 972-5625</w:t>
      </w:r>
    </w:p>
    <w:p>
      <w:pPr>
        <w:pStyle w:val="Normal"/>
        <w:ind w:firstLine="720" w:end="0"/>
        <w:rPr>
          <w:rFonts w:ascii="Book Antiqua" w:hAnsi="Book Antiqua" w:cs="Book Antiqua"/>
          <w:sz w:val="24"/>
        </w:rPr>
      </w:pPr>
      <w:r>
        <w:rPr>
          <w:rFonts w:cs="Book Antiqua" w:ascii="Book Antiqua" w:hAnsi="Book Antiqua"/>
          <w:sz w:val="24"/>
        </w:rPr>
        <w:t>San Francisco, CA 94177</w:t>
      </w:r>
    </w:p>
    <w:p>
      <w:pPr>
        <w:pStyle w:val="Normal"/>
        <w:ind w:firstLine="720" w:end="0"/>
        <w:rPr>
          <w:rFonts w:ascii="Book Antiqua" w:hAnsi="Book Antiqua" w:cs="Book Antiqua"/>
          <w:sz w:val="24"/>
        </w:rPr>
      </w:pPr>
      <w:r>
        <w:rPr>
          <w:rFonts w:cs="Book Antiqua" w:ascii="Book Antiqua" w:hAnsi="Book Antiqua"/>
          <w:sz w:val="24"/>
        </w:rPr>
      </w:r>
    </w:p>
    <w:p>
      <w:pPr>
        <w:pStyle w:val="Normal"/>
        <w:ind w:firstLine="720" w:end="0"/>
        <w:rPr>
          <w:rFonts w:ascii="Book Antiqua" w:hAnsi="Book Antiqua" w:cs="Book Antiqua"/>
          <w:sz w:val="24"/>
        </w:rPr>
      </w:pPr>
      <w:r>
        <w:rPr>
          <w:rFonts w:cs="Book Antiqua" w:ascii="Book Antiqua" w:hAnsi="Book Antiqua"/>
          <w:sz w:val="24"/>
        </w:rPr>
        <w:t xml:space="preserve">Re:  Advice Letters 2057-E </w:t>
      </w:r>
    </w:p>
    <w:p>
      <w:pPr>
        <w:pStyle w:val="Normal"/>
        <w:ind w:firstLine="720" w:end="0"/>
        <w:rPr>
          <w:rFonts w:ascii="Book Antiqua" w:hAnsi="Book Antiqua" w:cs="Book Antiqua"/>
          <w:sz w:val="24"/>
        </w:rPr>
      </w:pPr>
      <w:r>
        <w:rPr>
          <w:rFonts w:cs="Book Antiqua" w:ascii="Book Antiqua" w:hAnsi="Book Antiqua"/>
          <w:sz w:val="24"/>
        </w:rPr>
      </w:r>
    </w:p>
    <w:p>
      <w:pPr>
        <w:pStyle w:val="Normal"/>
        <w:ind w:firstLine="720" w:end="0"/>
        <w:rPr>
          <w:rFonts w:ascii="Book Antiqua" w:hAnsi="Book Antiqua" w:cs="Book Antiqua"/>
          <w:sz w:val="24"/>
        </w:rPr>
      </w:pPr>
      <w:r>
        <w:rPr>
          <w:rFonts w:cs="Book Antiqua" w:ascii="Book Antiqua" w:hAnsi="Book Antiqua"/>
          <w:sz w:val="24"/>
        </w:rPr>
        <w:t>Dear Ms. Hapner:</w:t>
      </w:r>
    </w:p>
    <w:p>
      <w:pPr>
        <w:pStyle w:val="Normal"/>
        <w:ind w:firstLine="720" w:end="0"/>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t>On November 22, 2000, Pacific Gas and Electric Company (PG&amp;E) filed Advice Letter (AL)  2057-E.   AL 2057-E seeks to implement revisions to all electric rate schedules and preliminary statements to change the company’s rates effective January 1, 2001.</w:t>
      </w:r>
    </w:p>
    <w:p>
      <w:pPr>
        <w:pStyle w:val="Normal"/>
        <w:ind w:start="720" w:end="828"/>
        <w:rPr>
          <w:rFonts w:ascii="Book Antiqua" w:hAnsi="Book Antiqua" w:eastAsia="Book Antiqua" w:cs="Book Antiqua"/>
          <w:sz w:val="24"/>
        </w:rPr>
      </w:pPr>
      <w:r>
        <w:rPr>
          <w:rFonts w:eastAsia="Book Antiqua" w:cs="Book Antiqua" w:ascii="Book Antiqua" w:hAnsi="Book Antiqua"/>
          <w:sz w:val="24"/>
        </w:rPr>
        <w:t xml:space="preserve"> </w:t>
      </w:r>
    </w:p>
    <w:p>
      <w:pPr>
        <w:pStyle w:val="Normal"/>
        <w:ind w:start="720" w:end="828"/>
        <w:rPr>
          <w:rFonts w:ascii="Book Antiqua" w:hAnsi="Book Antiqua" w:cs="Book Antiqua"/>
          <w:sz w:val="24"/>
        </w:rPr>
      </w:pPr>
      <w:r>
        <w:rPr>
          <w:rFonts w:cs="Book Antiqua" w:ascii="Book Antiqua" w:hAnsi="Book Antiqua"/>
          <w:sz w:val="24"/>
        </w:rPr>
        <w:t xml:space="preserve">PG&amp;E asserts that AL 2057-E is a Compliance Filing authorized by Decision Nos. 99-10-057, 00-03-058, and 00-06-034 (in Application 99-01-016). D.99-10-057 authorizes certain advice letters to “become effective within 30 days of the end of the rate freeze subject to Energy Division determining the Advice Letter is in compliance with this and subsequent decisions.”  The Ordering Paragraphs of  D.99-10-057 authorize certain specific tariff changes and set forth specific requirements and conditions.  Ordering Paragraph (O.P.) 1 states: “the Advice Letter shall propose tariff modifications and provide calculations of proposed post rate freeze rates. O.P. 2 states that PG&amp;E’s tariffs  “shall implement interim ratemaking mechanisms and rate design changes as proposed or as modified by this decision.”  D.00-03-058 makes only one adjustment to O.P. 2 to allow for interest accruals.  D.00-06-034 contains O.P. 5, which similarly provides that the end of the rate freeze Advice Letters “shall provide the actual rates to be implemented after the rate freeze and the ratemaking mechanisms authorized by D.99-10-057 and this order.”  </w:t>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t>Based upon its assertion that this Advice Letter is a Compliance Filing, which may become effective within 30 days, PG&amp;E requests an effective date of January 1, 2001. The Energy Division has determined that AL 2057-E is not in compliance with the above decisions, thus the tariffs cannot and will not become effective January 1, 2001 as PG&amp;E proposes.</w:t>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t>AL 2057-E is not compliant because, at a minimum:</w:t>
      </w:r>
    </w:p>
    <w:p>
      <w:pPr>
        <w:pStyle w:val="Normal"/>
        <w:ind w:start="720" w:end="828"/>
        <w:rPr>
          <w:rFonts w:ascii="Book Antiqua" w:hAnsi="Book Antiqua" w:cs="Book Antiqua"/>
          <w:sz w:val="24"/>
        </w:rPr>
      </w:pPr>
      <w:r>
        <w:rPr>
          <w:rFonts w:cs="Book Antiqua" w:ascii="Book Antiqua" w:hAnsi="Book Antiqua"/>
          <w:sz w:val="24"/>
        </w:rPr>
      </w:r>
    </w:p>
    <w:p>
      <w:pPr>
        <w:pStyle w:val="Normal"/>
        <w:numPr>
          <w:ilvl w:val="0"/>
          <w:numId w:val="2"/>
        </w:numPr>
        <w:tabs>
          <w:tab w:val="left" w:pos="720" w:leader="none"/>
        </w:tabs>
        <w:ind w:hanging="0" w:start="720" w:end="828"/>
        <w:rPr>
          <w:rFonts w:ascii="Book Antiqua" w:hAnsi="Book Antiqua" w:cs="Book Antiqua"/>
          <w:sz w:val="24"/>
        </w:rPr>
      </w:pPr>
      <w:r>
        <w:rPr>
          <w:rFonts w:cs="Book Antiqua" w:ascii="Book Antiqua" w:hAnsi="Book Antiqua"/>
          <w:sz w:val="24"/>
        </w:rPr>
        <w:t xml:space="preserve">The rate freeze for PG&amp;E is not over.  Pursuant to O.P. 2 of D.99-10-057, the end of the rate freeze for PG&amp;E and Southern California Edison shall not occur before the generation assets of each utility have been market valued except as the law or the Commission determines otherwise.  The Commission has not ordered that the rate freeze can end based on the </w:t>
      </w:r>
      <w:r>
        <w:rPr>
          <w:rFonts w:cs="Book Antiqua" w:ascii="Book Antiqua" w:hAnsi="Book Antiqua"/>
          <w:b/>
          <w:sz w:val="24"/>
        </w:rPr>
        <w:t>estimated</w:t>
      </w:r>
      <w:r>
        <w:rPr>
          <w:rFonts w:cs="Book Antiqua" w:ascii="Book Antiqua" w:hAnsi="Book Antiqua"/>
          <w:sz w:val="24"/>
        </w:rPr>
        <w:t xml:space="preserve"> market value of PG&amp;E’s generation assets.</w:t>
      </w:r>
    </w:p>
    <w:p>
      <w:pPr>
        <w:pStyle w:val="Normal"/>
        <w:numPr>
          <w:ilvl w:val="0"/>
          <w:numId w:val="2"/>
        </w:numPr>
        <w:tabs>
          <w:tab w:val="left" w:pos="720" w:leader="none"/>
        </w:tabs>
        <w:ind w:hanging="0" w:start="720" w:end="828"/>
        <w:rPr>
          <w:rFonts w:ascii="Book Antiqua" w:hAnsi="Book Antiqua" w:cs="Book Antiqua"/>
          <w:sz w:val="24"/>
        </w:rPr>
      </w:pPr>
      <w:r>
        <w:rPr>
          <w:rFonts w:cs="Book Antiqua" w:ascii="Book Antiqua" w:hAnsi="Book Antiqua"/>
          <w:sz w:val="24"/>
        </w:rPr>
        <w:t>As PG&amp;E acknowledges in AL 2057-E, it is required (by O.P. 1 in D.99-10-057) to file an advice letter three months prior to the earliest forecasted date, and an advice letter five days after, the rate freeze ends.  PG&amp;E cannot, by unilateral action, collapse these two filings into one without review and an order of the Commission authorizing such a modification.</w:t>
      </w:r>
    </w:p>
    <w:p>
      <w:pPr>
        <w:pStyle w:val="Normal"/>
        <w:numPr>
          <w:ilvl w:val="0"/>
          <w:numId w:val="2"/>
        </w:numPr>
        <w:tabs>
          <w:tab w:val="left" w:pos="720" w:leader="none"/>
        </w:tabs>
        <w:ind w:hanging="0" w:start="720" w:end="828"/>
        <w:rPr>
          <w:rFonts w:ascii="Book Antiqua" w:hAnsi="Book Antiqua" w:cs="Book Antiqua"/>
          <w:sz w:val="24"/>
        </w:rPr>
      </w:pPr>
      <w:r>
        <w:rPr>
          <w:rFonts w:cs="Book Antiqua" w:ascii="Book Antiqua" w:hAnsi="Book Antiqua"/>
          <w:sz w:val="24"/>
        </w:rPr>
        <w:t>As PG&amp;E acknowledges, the proposed Distribution Revenue Adjustment Mechanism (DRAM), and the new rate component associated with the DRAM, were not authorized by D.99-10-057, which contemplated that PG&amp;E would be operating under a Performance Based Ratemaking mechanism after the rate freeze ended, or by subsequent decisions.</w:t>
      </w:r>
    </w:p>
    <w:p>
      <w:pPr>
        <w:pStyle w:val="Normal"/>
        <w:numPr>
          <w:ilvl w:val="0"/>
          <w:numId w:val="2"/>
        </w:numPr>
        <w:tabs>
          <w:tab w:val="left" w:pos="720" w:leader="none"/>
        </w:tabs>
        <w:ind w:hanging="0" w:start="720" w:end="828"/>
        <w:rPr>
          <w:rFonts w:ascii="Book Antiqua" w:hAnsi="Book Antiqua" w:cs="Book Antiqua"/>
          <w:sz w:val="24"/>
        </w:rPr>
      </w:pPr>
      <w:r>
        <w:rPr>
          <w:rFonts w:cs="Book Antiqua" w:ascii="Book Antiqua" w:hAnsi="Book Antiqua"/>
          <w:sz w:val="24"/>
        </w:rPr>
        <w:t>The proposed Unrecovered Cost of Service Account (UCSA), and the new rate component associated with the UCSA, were not authorized by D.99-10-057 and are not in compliance with any Commission decision.  To the extent that PG&amp;E proposes to transfer TRA undercollections incurred prior to the end of the rate freeze to the UCSA, AL2057-E violates D.99-10-057, O.P. 2 and D.00-03-058.</w:t>
      </w:r>
    </w:p>
    <w:p>
      <w:pPr>
        <w:pStyle w:val="Normal"/>
        <w:numPr>
          <w:ilvl w:val="0"/>
          <w:numId w:val="2"/>
        </w:numPr>
        <w:tabs>
          <w:tab w:val="left" w:pos="720" w:leader="none"/>
        </w:tabs>
        <w:ind w:hanging="0" w:start="720" w:end="828"/>
        <w:rPr>
          <w:rFonts w:ascii="Book Antiqua" w:hAnsi="Book Antiqua" w:cs="Book Antiqua"/>
          <w:sz w:val="24"/>
        </w:rPr>
      </w:pPr>
      <w:r>
        <w:rPr>
          <w:rFonts w:cs="Book Antiqua" w:ascii="Book Antiqua" w:hAnsi="Book Antiqua"/>
          <w:sz w:val="24"/>
        </w:rPr>
        <w:t>The treatment of retained generation revenues proposed in this AL was not authorized by D.99-10-057, or by subsequent decisions.</w:t>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pPr>
      <w:r>
        <w:rPr>
          <w:rFonts w:cs="Book Antiqua" w:ascii="Book Antiqua" w:hAnsi="Book Antiqua"/>
          <w:sz w:val="24"/>
        </w:rPr>
        <w:t>Public Utilities Code sections 454 and 455 require all rate changes to be approved by the Commission, except for those "not increasing or resulting in an increase in any rate."  AL 2057-E does not fall within this exception.  Accordingly, the Commission will determine the merits of AL 2057-E by further order and AL 2057-E will not become effective January 1, 2001.</w:t>
      </w:r>
    </w:p>
    <w:p>
      <w:pPr>
        <w:pStyle w:val="Normal"/>
        <w:ind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t>PG&amp;E should serve a copy of this letter to all recipients of AL 2057-E and the service list of Application 99-10-016/A.99-03-014, within 2 working days of the receipt of this letter.</w:t>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tab/>
      </w:r>
    </w:p>
    <w:p>
      <w:pPr>
        <w:pStyle w:val="Normal"/>
        <w:ind w:start="720" w:end="828"/>
        <w:rPr>
          <w:rFonts w:ascii="Book Antiqua" w:hAnsi="Book Antiqua" w:cs="Book Antiqua"/>
          <w:sz w:val="24"/>
        </w:rPr>
      </w:pPr>
      <w:r>
        <w:rPr>
          <w:rFonts w:cs="Book Antiqua" w:ascii="Book Antiqua" w:hAnsi="Book Antiqua"/>
          <w:sz w:val="24"/>
        </w:rPr>
        <w:t>Very truly yours,</w:t>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r>
    </w:p>
    <w:p>
      <w:pPr>
        <w:pStyle w:val="Normal"/>
        <w:ind w:start="720" w:end="828"/>
        <w:rPr>
          <w:rFonts w:ascii="Book Antiqua" w:hAnsi="Book Antiqua" w:cs="Book Antiqua"/>
          <w:sz w:val="24"/>
        </w:rPr>
      </w:pPr>
      <w:r>
        <w:rPr>
          <w:rFonts w:cs="Book Antiqua" w:ascii="Book Antiqua" w:hAnsi="Book Antiqua"/>
          <w:sz w:val="24"/>
        </w:rPr>
        <w:t>Paul Clanon</w:t>
      </w:r>
    </w:p>
    <w:p>
      <w:pPr>
        <w:pStyle w:val="Normal"/>
        <w:ind w:start="720" w:end="828"/>
        <w:rPr>
          <w:rFonts w:ascii="Book Antiqua" w:hAnsi="Book Antiqua" w:cs="Book Antiqua"/>
          <w:sz w:val="24"/>
        </w:rPr>
      </w:pPr>
      <w:r>
        <w:rPr>
          <w:rFonts w:cs="Book Antiqua" w:ascii="Book Antiqua" w:hAnsi="Book Antiqua"/>
          <w:sz w:val="24"/>
        </w:rPr>
        <w:t>Director, Energy Division</w:t>
        <w:tab/>
        <w:t xml:space="preserve"> </w:t>
        <w:tab/>
      </w:r>
    </w:p>
    <w:p>
      <w:pPr>
        <w:pStyle w:val="Normal"/>
        <w:rPr>
          <w:rFonts w:ascii="Book Antiqua" w:hAnsi="Book Antiqua" w:cs="Book Antiqua"/>
          <w:sz w:val="24"/>
        </w:rPr>
      </w:pPr>
      <w:r>
        <w:rPr>
          <w:rFonts w:cs="Book Antiqua" w:ascii="Book Antiqua" w:hAnsi="Book Antiqua"/>
          <w:sz w:val="24"/>
        </w:rPr>
      </w:r>
    </w:p>
    <w:sectPr>
      <w:footerReference w:type="default" r:id="rId3"/>
      <w:type w:val="nextPage"/>
      <w:pgSz w:w="12240" w:h="15840"/>
      <w:pgMar w:left="576" w:right="576"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ind w:firstLine="720" w:start="0" w:end="0"/>
      <w:outlineLvl w:val="1"/>
    </w:pPr>
    <w:rPr>
      <w:sz w:val="28"/>
    </w:rPr>
  </w:style>
  <w:style w:type="paragraph" w:styleId="Heading3">
    <w:name w:val="heading 3"/>
    <w:basedOn w:val="Normal"/>
    <w:next w:val="Normal"/>
    <w:qFormat/>
    <w:pPr>
      <w:keepNext w:val="true"/>
      <w:numPr>
        <w:ilvl w:val="2"/>
        <w:numId w:val="1"/>
      </w:numPr>
      <w:tabs>
        <w:tab w:val="clear" w:pos="720"/>
        <w:tab w:val="left" w:pos="6930" w:leader="none"/>
        <w:tab w:val="right" w:pos="9720" w:leader="none"/>
      </w:tabs>
      <w:ind w:hanging="0" w:start="547" w:end="1282"/>
      <w:jc w:val="both"/>
      <w:outlineLvl w:val="2"/>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990" w:end="0"/>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CPUC Letterhead.Gray Davis.dot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2000-12-05T14:04:00Z</dcterms:created>
  <dc:creator> </dc:creator>
  <dc:description/>
  <dc:language>en-CA</dc:language>
  <cp:lastModifiedBy>Nel Avendano</cp:lastModifiedBy>
  <cp:lastPrinted>2000-12-04T08:49:00Z</cp:lastPrinted>
  <dcterms:modified xsi:type="dcterms:W3CDTF">2000-12-05T14:04:00Z</dcterms:modified>
  <cp:revision>2</cp:revision>
  <dc:subject/>
  <dc:title>CPUC Letterhead.Gray Davis</dc:title>
</cp:coreProperties>
</file>