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jc w:val="both"/>
        <w:rPr/>
      </w:pPr>
      <w:r>
        <w:rPr/>
      </w:r>
    </w:p>
    <w:p>
      <w:pPr>
        <w:pStyle w:val="Heading1"/>
        <w:ind w:hanging="0" w:start="0"/>
        <w:jc w:val="end"/>
        <w:rPr/>
      </w:pPr>
      <w:r>
        <w:rPr/>
        <w:t>ADVICE 2057-E, ATTACHMENT II</w:t>
      </w:r>
    </w:p>
    <w:p>
      <w:pPr>
        <w:pStyle w:val="Normal"/>
        <w:jc w:val="both"/>
        <w:rPr/>
      </w:pPr>
      <w:r>
        <w:rPr/>
      </w:r>
    </w:p>
    <w:p>
      <w:pPr>
        <w:pStyle w:val="Heading1"/>
        <w:ind w:hanging="0" w:start="0"/>
        <w:jc w:val="both"/>
        <w:rPr/>
      </w:pPr>
      <w:r>
        <w:rPr/>
        <w:t>End of Freeze Revenue Allocation and Rate Design Methodology</w:t>
      </w:r>
    </w:p>
    <w:p>
      <w:pPr>
        <w:pStyle w:val="Normal"/>
        <w:jc w:val="both"/>
        <w:rPr/>
      </w:pPr>
      <w:r>
        <w:rPr/>
      </w:r>
    </w:p>
    <w:p>
      <w:pPr>
        <w:pStyle w:val="Normal"/>
        <w:jc w:val="both"/>
        <w:rPr/>
      </w:pPr>
      <w:r>
        <w:rPr/>
        <w:t xml:space="preserve">With the exception of Unrecovered Cost of Service (UCSA), revenue allocation and rate design methods used to establish rates filed herein have been determined in other proceedings. In the following sections, revenue allocation and rate design for each function is described.  In all cases, the Pacific Gas and Electric Company (the Company) has used its estimate of sales and billing determinants for test year 2001 in order to calculate rates.  </w:t>
      </w:r>
    </w:p>
    <w:p>
      <w:pPr>
        <w:pStyle w:val="Normal"/>
        <w:jc w:val="both"/>
        <w:rPr/>
      </w:pPr>
      <w:r>
        <w:rPr/>
      </w:r>
    </w:p>
    <w:p>
      <w:pPr>
        <w:pStyle w:val="Heading2"/>
        <w:ind w:hanging="0" w:start="0"/>
        <w:rPr/>
      </w:pPr>
      <w:r>
        <w:rPr/>
        <w:t>Unrecovered Cost of Service Account</w:t>
      </w:r>
    </w:p>
    <w:p>
      <w:pPr>
        <w:pStyle w:val="Body0"/>
        <w:spacing w:lineRule="auto" w:line="240"/>
        <w:ind w:hanging="0" w:end="0"/>
        <w:jc w:val="both"/>
        <w:rPr/>
      </w:pPr>
      <w:r>
        <w:rPr/>
      </w:r>
    </w:p>
    <w:p>
      <w:pPr>
        <w:pStyle w:val="Body0"/>
        <w:spacing w:lineRule="auto" w:line="240"/>
        <w:ind w:hanging="0" w:end="0"/>
        <w:jc w:val="both"/>
        <w:rPr/>
      </w:pPr>
      <w:r>
        <w:rPr/>
        <w:t>PG&amp;E has included rates to recover costs recorded to the Unrecovered Cost of Service Account (UCSA).</w:t>
      </w:r>
      <w:r>
        <w:rPr>
          <w:rStyle w:val="FootnoteCharacters"/>
          <w:rStyle w:val="FootnoteReference"/>
        </w:rPr>
        <w:footnoteReference w:id="2"/>
      </w:r>
      <w:r>
        <w:rPr/>
        <w:t xml:space="preserve">  These charges are nonbypassable by departing customers and will be recovered from both bundled service customers and direct access customers</w:t>
      </w:r>
      <w:r>
        <w:rPr>
          <w:rStyle w:val="FootnoteCharacters"/>
          <w:rStyle w:val="FootnoteReference"/>
        </w:rPr>
        <w:footnoteReference w:id="3"/>
      </w:r>
      <w:r>
        <w:rPr/>
        <w:t xml:space="preserve">.  PG&amp;E has set this rate based on a modified equal cents per kWh allocation which adjusts the UCSA rate based on service voltage and load shape in proportion to the actual average commodity prices on each rate schedule and at each service voltage over the last 12 months.   PG&amp;E will identify rates for UCSA and ongoing CTC separately in the rate schedule and will combine them into one line item on the bill.  </w:t>
      </w:r>
    </w:p>
    <w:p>
      <w:pPr>
        <w:pStyle w:val="Heading2"/>
        <w:ind w:hanging="0" w:start="0"/>
        <w:jc w:val="both"/>
        <w:rPr/>
      </w:pPr>
      <w:r>
        <w:rPr/>
      </w:r>
    </w:p>
    <w:p>
      <w:pPr>
        <w:pStyle w:val="Heading2"/>
        <w:ind w:hanging="0" w:start="0"/>
        <w:jc w:val="both"/>
        <w:rPr/>
      </w:pPr>
      <w:r>
        <w:rPr/>
        <w:t xml:space="preserve">Distribution </w:t>
      </w:r>
    </w:p>
    <w:p>
      <w:pPr>
        <w:pStyle w:val="Normal"/>
        <w:jc w:val="both"/>
        <w:rPr>
          <w:rFonts w:eastAsia="Arial"/>
        </w:rPr>
      </w:pPr>
      <w:r>
        <w:rPr>
          <w:rFonts w:eastAsia="Arial"/>
        </w:rPr>
        <w:t xml:space="preserve"> </w:t>
      </w:r>
    </w:p>
    <w:p>
      <w:pPr>
        <w:pStyle w:val="Normal"/>
        <w:jc w:val="both"/>
        <w:rPr/>
      </w:pPr>
      <w:r>
        <w:rPr/>
        <w:t xml:space="preserve">Revenue allocation and rate design methodologies for distribution have, for the most part, been litigated in other proceedings. More extensive changes to distribution revenue allocation and rate design are the subject of Phase 2 of the Company’s 1999 General Rate Case (GRC) (A. 00-03-014.), and have not been incorporated into this advice filing.   </w:t>
      </w:r>
    </w:p>
    <w:p>
      <w:pPr>
        <w:pStyle w:val="Normal"/>
        <w:jc w:val="both"/>
        <w:rPr/>
      </w:pPr>
      <w:r>
        <w:rPr/>
      </w:r>
    </w:p>
    <w:p>
      <w:pPr>
        <w:pStyle w:val="Normal"/>
        <w:jc w:val="both"/>
        <w:rPr/>
      </w:pPr>
      <w:r>
        <w:rPr/>
        <w:t xml:space="preserve">The total of the transmission revenue at present rates and the distribution revenue requirement are allocated to each customer class or rate schedule using the full equal percent of marginal cost (EPMC) methodology the Commission adopted in the 1998 RAP (D.99-06-058).  Under this methodology, each class or schedule’s allocated distribution revenues equals the class or schedule’s allocated transmission and distribution revenues less the class or schedule’s transmission revenues at present rates. </w:t>
      </w:r>
    </w:p>
    <w:p>
      <w:pPr>
        <w:pStyle w:val="Normal"/>
        <w:jc w:val="both"/>
        <w:rPr/>
      </w:pPr>
      <w:r>
        <w:rPr/>
      </w:r>
    </w:p>
    <w:p>
      <w:pPr>
        <w:pStyle w:val="Normal"/>
        <w:jc w:val="both"/>
        <w:rPr/>
      </w:pPr>
      <w:r>
        <w:rPr/>
        <w:t>The EPMC revenue allocation methodology approved in D. 99-06-058 has been revised only to reflect the requirements of the Post Transition Electric Ratemaking (PTER) proceeding.  Specifically, in the decision in Phase 2 of that proceeding (D. 00-06-034), the Commission determined that, “the costs of power-factor adjustments, interruptible discounts and rate limiter adjustments shall be included in the distribution rate component on the customer bill” (Ordering Paragraph 14). While not determined specifically in the PTER proceeding, the Company proposes to allocate the surcharge to fund nonfirm discounts based on System Average Percent (SAP) methodology, while the remaining portion of distribution revenue is allocated on an EPMC basis.  Power factor revenue and discounts and rate limiter discounts are treated as nonallocated revenue and funded by all customers based on an EPMC allocation.</w:t>
      </w:r>
    </w:p>
    <w:p>
      <w:pPr>
        <w:pStyle w:val="Normal"/>
        <w:jc w:val="both"/>
        <w:rPr/>
      </w:pPr>
      <w:r>
        <w:rPr/>
      </w:r>
    </w:p>
    <w:p>
      <w:pPr>
        <w:pStyle w:val="Normal"/>
        <w:jc w:val="both"/>
        <w:rPr/>
      </w:pPr>
      <w:r>
        <w:rPr/>
        <w:t>The Company proposes to increase (or decrease) each demand and energy distribution rate component by the appropriate average increase (or decrease) necessary to collect the allocated distribution revenues for 2001.  The Company proposes no changes to the level of most rate limiters, customer charges and meter charges.</w:t>
      </w:r>
      <w:r>
        <w:rPr>
          <w:rStyle w:val="FootnoteCharacters"/>
          <w:rStyle w:val="FootnoteReference"/>
        </w:rPr>
        <w:footnoteReference w:customMarkFollows="1" w:id="4"/>
        <w:t>1</w:t>
      </w:r>
      <w:r>
        <w:rPr/>
        <w:t xml:space="preserve">  Residential rates are revised as discussed below.</w:t>
      </w:r>
    </w:p>
    <w:p>
      <w:pPr>
        <w:pStyle w:val="Normal"/>
        <w:jc w:val="both"/>
        <w:rPr/>
      </w:pPr>
      <w:r>
        <w:rPr/>
      </w:r>
    </w:p>
    <w:p>
      <w:pPr>
        <w:pStyle w:val="Normal"/>
        <w:jc w:val="both"/>
        <w:rPr/>
      </w:pPr>
      <w:r>
        <w:rPr/>
        <w:t>In its PTER application (A. 99-01-016, pp. 8-5), the Company noted that the California Alternate Rates for Energy (CARE) rate schedules receive a 15 percent discount on the bundled rate and that the bundled rate would change at the end of the rate freeze.  Since that discount was to be allocated to the distribution function in accordance with Resolution E-3510 (p. 29), a revised distribution rate is required.  Initially, the Company had planned to forecast a commodity price annually and set CARE rates accordingly.  This method would have been reasonable if the commodity price were relatively flat.  With significant variation in commodity price, however, CARE customers would not receive a 15 percent discount, since the actual commodity price in any month is unlikely to equal the forecasted price.</w:t>
      </w:r>
    </w:p>
    <w:p>
      <w:pPr>
        <w:pStyle w:val="Normal"/>
        <w:jc w:val="both"/>
        <w:rPr/>
      </w:pPr>
      <w:r>
        <w:rPr/>
      </w:r>
    </w:p>
    <w:p>
      <w:pPr>
        <w:pStyle w:val="Normal"/>
        <w:jc w:val="both"/>
        <w:rPr/>
      </w:pPr>
      <w:r>
        <w:rPr/>
        <w:t>To ensure the proper discount is provided, the Company proposes to calculate the CARE distribution rates such that a 15 percent discount applies to the non-commodity portion of the bill. The Company also proposes to further reduce a CARE customer’s distribution charge by an amount equal to 15 percent of the current commodity charges determined on a bundled basis.  While the appropriate method of CARE rate design was not specified by the PTER decisions, the Company believes this revised approach is necessary to provide CARE customers the intended benefit.</w:t>
      </w:r>
    </w:p>
    <w:p>
      <w:pPr>
        <w:pStyle w:val="Normal"/>
        <w:jc w:val="both"/>
        <w:rPr/>
      </w:pPr>
      <w:r>
        <w:rPr/>
      </w:r>
    </w:p>
    <w:p>
      <w:pPr>
        <w:pStyle w:val="Normal"/>
        <w:jc w:val="both"/>
        <w:rPr/>
      </w:pPr>
      <w:r>
        <w:rPr/>
        <w:t>A related issue concerning residential rate design is the method for determining baseline rates.  Tier 1 baseline rates currently differ from Tier 2 rates by the charges for Competition Transition Charges (CTC) and distribution.  The goal of baseline rate design is to retain a 15 percent simple tier differential based on the bundled rates using these two component charges.  Again, however, the level of commodity prices will affect the bundled rate, which in turn affects the absolute difference between Tier 1 and Tier 2 rates.  To meet this need, the Company proposes to forecast a commodity price which can be used to set the 15 percent tier differential for the upcoming year.</w:t>
      </w:r>
      <w:r>
        <w:rPr>
          <w:rStyle w:val="FootnoteCharacters"/>
          <w:rStyle w:val="FootnoteReference"/>
        </w:rPr>
        <w:footnoteReference w:id="5"/>
      </w:r>
      <w:r>
        <w:rPr/>
        <w:t xml:space="preserve">  To ensure, however, that baseline rates reflect the high periods of commodity prices, the load weighted average commodity price for the previous year will be used to establish the differential.  The revised baseline rates will </w:t>
      </w:r>
      <w:r>
        <w:rPr>
          <w:bCs/>
        </w:rPr>
        <w:t>reflect</w:t>
      </w:r>
      <w:r>
        <w:rPr/>
        <w:t xml:space="preserve"> reductions to ongoing CTC and distribution charges.</w:t>
      </w:r>
    </w:p>
    <w:p>
      <w:pPr>
        <w:pStyle w:val="Normal"/>
        <w:jc w:val="both"/>
        <w:rPr>
          <w:b/>
        </w:rPr>
      </w:pPr>
      <w:r>
        <w:rPr>
          <w:b/>
        </w:rPr>
      </w:r>
    </w:p>
    <w:p>
      <w:pPr>
        <w:pStyle w:val="Normal"/>
        <w:jc w:val="both"/>
        <w:rPr>
          <w:b/>
        </w:rPr>
      </w:pPr>
      <w:r>
        <w:rPr>
          <w:b/>
        </w:rPr>
        <w:t xml:space="preserve">Public Purpose Program and Nuclear Decommissioning </w:t>
      </w:r>
    </w:p>
    <w:p>
      <w:pPr>
        <w:pStyle w:val="Normal"/>
        <w:jc w:val="both"/>
        <w:rPr>
          <w:b/>
        </w:rPr>
      </w:pPr>
      <w:r>
        <w:rPr>
          <w:b/>
        </w:rPr>
      </w:r>
    </w:p>
    <w:p>
      <w:pPr>
        <w:pStyle w:val="Normal"/>
        <w:jc w:val="both"/>
        <w:rPr/>
      </w:pPr>
      <w:r>
        <w:rPr/>
        <w:t>The Company continues to allocate the Public Purpose Program (PPP) revenue requirement using the methodology adopted in the 1998 RAP decision and reaffirmed by the PTER proceeding (D. 00-06-034, Ordering Paragraphs 10 and 11). Under this methodology, the CARE surcharge revenue requirement is allocated on an equal cents per kWh basis. The remaining PPP revenue requirement is allocated to each rate schedule using the SAP methodology.  Specifically, the Company applies a factor equal to the proportion of the schedule’s present revenue requirement relative to the total system’s present revenue requirement.</w:t>
      </w:r>
      <w:r>
        <w:rPr>
          <w:rStyle w:val="FootnoteCharacters"/>
          <w:rStyle w:val="FootnoteReference"/>
        </w:rPr>
        <w:footnoteReference w:id="6"/>
      </w:r>
      <w:r>
        <w:rPr/>
        <w:t xml:space="preserve">    </w:t>
      </w:r>
    </w:p>
    <w:p>
      <w:pPr>
        <w:pStyle w:val="Normal"/>
        <w:jc w:val="both"/>
        <w:rPr/>
      </w:pPr>
      <w:r>
        <w:rPr/>
      </w:r>
    </w:p>
    <w:p>
      <w:pPr>
        <w:pStyle w:val="Normal"/>
        <w:jc w:val="both"/>
        <w:rPr/>
      </w:pPr>
      <w:r>
        <w:rPr/>
        <w:t xml:space="preserve">Nuclear Decommissioning (ND) costs are allocated to rate schedules using the equal cents per kWh method, as adopted in D. 00-06-034 (Ordering Paragraph 9).  Both PPP and ND rates are designed on an equal cents per kWh basis consistent with current practice.  </w:t>
      </w:r>
    </w:p>
    <w:p>
      <w:pPr>
        <w:pStyle w:val="Normal"/>
        <w:jc w:val="both"/>
        <w:rPr>
          <w:b/>
        </w:rPr>
      </w:pPr>
      <w:r>
        <w:rPr>
          <w:b/>
        </w:rPr>
      </w:r>
    </w:p>
    <w:p>
      <w:pPr>
        <w:pStyle w:val="Normal"/>
        <w:jc w:val="both"/>
        <w:rPr>
          <w:b/>
        </w:rPr>
      </w:pPr>
      <w:r>
        <w:rPr>
          <w:b/>
        </w:rPr>
        <w:t xml:space="preserve">Ongoing Competition Transition Charges </w:t>
      </w:r>
    </w:p>
    <w:p>
      <w:pPr>
        <w:pStyle w:val="Normal"/>
        <w:jc w:val="both"/>
        <w:rPr>
          <w:b/>
        </w:rPr>
      </w:pPr>
      <w:r>
        <w:rPr>
          <w:b/>
        </w:rPr>
      </w:r>
    </w:p>
    <w:p>
      <w:pPr>
        <w:pStyle w:val="Normal"/>
        <w:jc w:val="both"/>
        <w:rPr/>
      </w:pPr>
      <w:r>
        <w:rPr/>
        <w:t xml:space="preserve">The post-rate freeze allocation of the ongoing CTC revenue requirement was addressed in the PTER Phase 2 Decision.  Decision 00-06-034 adopted the top 100-hour methodology for allocating transition costs and directed the Company to file the allocation results based on this methodology in Phase 2 of its 1999 GRC.  The Company was ordered: “to identify the top 100 demand hours for 1998 and 1999 and identify the percentage allocation attributable to each class. (Decision 00-06-034, mimeo, at pp. 60-1, Order 7, at p. 103)  The Commission stated that, “This percentage [allocator] should be averaged over the two years, and ongoing transition costs should be allocated based on these averaged percentages by class….” (Decision 00-06-034, mimeo at pp. 60-1, Order 7, at p. 103)  </w:t>
      </w:r>
    </w:p>
    <w:p>
      <w:pPr>
        <w:pStyle w:val="Normal"/>
        <w:jc w:val="both"/>
        <w:rPr/>
      </w:pPr>
      <w:r>
        <w:rPr/>
      </w:r>
    </w:p>
    <w:p>
      <w:pPr>
        <w:pStyle w:val="Normal"/>
        <w:jc w:val="both"/>
        <w:rPr/>
      </w:pPr>
      <w:r>
        <w:rPr/>
        <w:t>The Company’s proposed top 100-hour methodology, as illustrated in Phase 2 of the GRC, uses the 1998 and 1999 class average load profile data used to calculate the PX credits.  The 1998 and 1999 class loads for the proposed top 100-hour loads are then scaled to the test year sales forecast.  For each class and year, an allocation factor was determined by dividing the class’ scaled 100-hour load by the sum of all scaled 100-hour loads.  The allocation factors for 1998 and 1999 were averaged together to determine the final CTC allocator.  In this Advice Letter, the same method is used to allocate ongoing CTC.</w:t>
      </w:r>
    </w:p>
    <w:p>
      <w:pPr>
        <w:pStyle w:val="Normal"/>
        <w:jc w:val="both"/>
        <w:rPr/>
      </w:pPr>
      <w:r>
        <w:rPr/>
      </w:r>
    </w:p>
    <w:p>
      <w:pPr>
        <w:pStyle w:val="Normal"/>
        <w:jc w:val="both"/>
        <w:rPr/>
      </w:pPr>
      <w:r>
        <w:rPr/>
        <w:t>Rate design for ongoing CTC was established in PTER.  The decision in Phase 1 of that proceeding required the utilities to make rate design changes as proposed or as modified by D. 99-10-057 (p. 33). Accordingly, the Company has used its proposed methodology from its application in that proceeding.  Specifically, ongoing CTC rates are designed on an equal cents per kWh basis.</w:t>
      </w:r>
    </w:p>
    <w:p>
      <w:pPr>
        <w:pStyle w:val="Normal"/>
        <w:jc w:val="both"/>
        <w:rPr/>
      </w:pPr>
      <w:r>
        <w:rPr/>
      </w:r>
    </w:p>
    <w:p>
      <w:pPr>
        <w:pStyle w:val="Normal"/>
        <w:jc w:val="both"/>
        <w:rPr>
          <w:b/>
        </w:rPr>
      </w:pPr>
      <w:r>
        <w:rPr>
          <w:b/>
        </w:rPr>
        <w:t>Fixed Transition Amount and Rate Reduction Bond Memorandum Account Rates</w:t>
      </w:r>
    </w:p>
    <w:p>
      <w:pPr>
        <w:pStyle w:val="Normal"/>
        <w:jc w:val="both"/>
        <w:rPr>
          <w:rFonts w:eastAsia="Arial"/>
        </w:rPr>
      </w:pPr>
      <w:r>
        <w:rPr>
          <w:rFonts w:eastAsia="Arial"/>
        </w:rPr>
        <w:t xml:space="preserve"> </w:t>
      </w:r>
    </w:p>
    <w:p>
      <w:pPr>
        <w:pStyle w:val="Normal"/>
        <w:jc w:val="both"/>
        <w:rPr/>
      </w:pPr>
      <w:r>
        <w:rPr/>
        <w:t>In the revenue allocation results shown below, the Company has used the current Fixed Transition Amount (FTA) rate for illustrative purposes.  The final FTA rate, however, will be filed and implemented in accordance with D. 97-09-055, effective January 1, 2001.</w:t>
      </w:r>
    </w:p>
    <w:p>
      <w:pPr>
        <w:pStyle w:val="Normal"/>
        <w:jc w:val="both"/>
        <w:rPr/>
      </w:pPr>
      <w:r>
        <w:rPr/>
      </w:r>
    </w:p>
    <w:p>
      <w:pPr>
        <w:pStyle w:val="Normal"/>
        <w:jc w:val="both"/>
        <w:rPr/>
      </w:pPr>
      <w:r>
        <w:rPr/>
        <w:t>The revenue requirement from the Rate Reduction Bond Memorandum Account (RRBMA) is allocated between residential and eligible small commercial customers’ classes in proportion to the estimated FTA revenue for the test period from each class (residential and small commercial). This method ensures that the RRBMA revenues are returned to customers in proportion to the amount each customer class funds the repayment of the Rate Reduction Bonds. The RRBMA rate for each class will then equal the allocated revenues for each class divided by the test period sales for that class. This method was adopted by the Commission in Phase 1 of the PTER proceeding which required the utilities to make rate design changes as proposed or as modified by D. 99-10-057 (p. 33).</w:t>
      </w:r>
    </w:p>
    <w:p>
      <w:pPr>
        <w:pStyle w:val="Normal"/>
        <w:jc w:val="both"/>
        <w:rPr/>
      </w:pPr>
      <w:r>
        <w:rPr/>
      </w:r>
    </w:p>
    <w:p>
      <w:pPr>
        <w:pStyle w:val="Normal"/>
        <w:jc w:val="both"/>
        <w:rPr/>
      </w:pPr>
      <w:r>
        <w:rPr/>
        <w:t xml:space="preserve">Charges for the FTA and the RRBMA Rate will be shown separately on the </w:t>
      </w:r>
      <w:r>
        <w:rPr>
          <w:bCs/>
        </w:rPr>
        <w:t>customer’s</w:t>
      </w:r>
      <w:r>
        <w:rPr/>
        <w:t xml:space="preserve"> bill. </w:t>
      </w:r>
    </w:p>
    <w:p>
      <w:pPr>
        <w:pStyle w:val="Normal"/>
        <w:jc w:val="both"/>
        <w:rPr/>
      </w:pPr>
      <w:r>
        <w:rPr/>
      </w:r>
    </w:p>
    <w:p>
      <w:pPr>
        <w:pStyle w:val="Normal"/>
        <w:jc w:val="both"/>
        <w:rPr/>
      </w:pPr>
      <w:r>
        <w:rPr/>
      </w:r>
    </w:p>
    <w:p>
      <w:pPr>
        <w:pStyle w:val="Normal"/>
        <w:jc w:val="both"/>
        <w:rPr/>
      </w:pPr>
      <w:r>
        <w:rPr/>
      </w:r>
    </w:p>
    <w:p>
      <w:pPr>
        <w:pStyle w:val="Heading2"/>
        <w:ind w:hanging="0" w:start="0"/>
        <w:jc w:val="both"/>
        <w:rPr/>
      </w:pPr>
      <w:r>
        <w:rPr/>
        <w:t>Schedule A-RTP</w:t>
      </w:r>
    </w:p>
    <w:p>
      <w:pPr>
        <w:pStyle w:val="Normal"/>
        <w:jc w:val="both"/>
        <w:rPr/>
      </w:pPr>
      <w:r>
        <w:rPr/>
      </w:r>
    </w:p>
    <w:p>
      <w:pPr>
        <w:pStyle w:val="BodyText2"/>
        <w:rPr/>
      </w:pPr>
      <w:r>
        <w:rPr/>
        <w:t>PG&amp;E proposes several revisions to the Schedule A-RTP tariff sheet and hourly variable pricing algorithm to make modifications appropriate to the post-freeze period.  PG&amp;E proposes deleting the current PX market clearing price (MCP) portion of the A-RTP hourly generation commodity algorithm that conflicts with the commodity component PG&amp;E is generally proposing for all PTER rates.</w:t>
      </w:r>
    </w:p>
    <w:p>
      <w:pPr>
        <w:pStyle w:val="Normal"/>
        <w:autoSpaceDE w:val="false"/>
        <w:rPr>
          <w:rFonts w:cs="Arial"/>
          <w:bCs/>
          <w:color w:val="000000"/>
        </w:rPr>
      </w:pPr>
      <w:r>
        <w:rPr>
          <w:rFonts w:cs="Arial"/>
          <w:bCs/>
          <w:color w:val="000000"/>
        </w:rPr>
      </w:r>
    </w:p>
    <w:p>
      <w:pPr>
        <w:pStyle w:val="Normal"/>
        <w:autoSpaceDE w:val="false"/>
        <w:rPr>
          <w:rFonts w:cs="Arial"/>
          <w:bCs/>
          <w:color w:val="000000"/>
        </w:rPr>
      </w:pPr>
      <w:r>
        <w:rPr>
          <w:rFonts w:cs="Arial"/>
          <w:bCs/>
          <w:color w:val="000000"/>
        </w:rPr>
        <w:t xml:space="preserve">Consequently, the current A-RTP algorithm term [PX MCP x Gas Adjustment x RTP Multiplier] should be deleted and replaced simply by the actual hourly commodity price.  PG&amp;E does not propose any revisions to the longstanding A-RTP daily transmission and distribution (T&amp;D) hourly adder, temperature-triggered T&amp;D hourly adder, or hourly Load Management Price Signal (LMPS) adopted in D.93-06-087.  PG&amp;E further proposes an offsetting equal cents per kWh unbundled distribution rate component to reconcile the distribution revenue requirement.  PG&amp;E also proposes a bill adjustment to reconcile the commodity revenue requirement against LMPS impacts.  </w:t>
      </w:r>
    </w:p>
    <w:p>
      <w:pPr>
        <w:pStyle w:val="Normal"/>
        <w:autoSpaceDE w:val="false"/>
        <w:rPr>
          <w:rFonts w:cs="Arial"/>
          <w:bCs/>
          <w:color w:val="000000"/>
        </w:rPr>
      </w:pPr>
      <w:r>
        <w:rPr>
          <w:rFonts w:cs="Arial"/>
          <w:bCs/>
          <w:color w:val="000000"/>
        </w:rPr>
      </w:r>
    </w:p>
    <w:p>
      <w:pPr>
        <w:pStyle w:val="Normal"/>
        <w:autoSpaceDE w:val="false"/>
        <w:rPr/>
      </w:pPr>
      <w:r>
        <w:rPr>
          <w:rFonts w:cs="Arial"/>
          <w:bCs/>
          <w:color w:val="000000"/>
        </w:rPr>
        <w:t>The Schedule A-RTP tariff sheet reflects these proposed revisions.  Due to the complicated nature of the A-RTP rate design, billing system, and infrastructure, PG&amp;E is seeking to minimize the interim PTER changes to A-RTP, particularly in light of PG&amp;E's proposal to eliminate Schedule A-RTP in its entirety.</w:t>
      </w:r>
      <w:r>
        <w:rPr>
          <w:rFonts w:cs="Arial"/>
          <w:color w:val="000000"/>
        </w:rPr>
        <w:t xml:space="preserve"> </w:t>
      </w:r>
    </w:p>
    <w:p>
      <w:pPr>
        <w:pStyle w:val="Normal"/>
        <w:jc w:val="both"/>
        <w:rPr>
          <w:rFonts w:cs="Arial"/>
          <w:color w:val="000000"/>
        </w:rPr>
      </w:pPr>
      <w:r>
        <w:rPr>
          <w:rFonts w:cs="Arial"/>
          <w:color w:val="000000"/>
        </w:rPr>
      </w:r>
    </w:p>
    <w:p>
      <w:pPr>
        <w:pStyle w:val="Heading2"/>
        <w:ind w:hanging="0" w:start="0"/>
        <w:jc w:val="both"/>
        <w:rPr/>
      </w:pPr>
      <w:r>
        <w:rPr/>
        <w:t xml:space="preserve">Revenue Allocation Results </w:t>
      </w:r>
    </w:p>
    <w:p>
      <w:pPr>
        <w:pStyle w:val="Normal"/>
        <w:jc w:val="both"/>
        <w:rPr/>
      </w:pPr>
      <w:r>
        <w:rPr/>
      </w:r>
    </w:p>
    <w:p>
      <w:pPr>
        <w:pStyle w:val="BodyText"/>
        <w:rPr/>
      </w:pPr>
      <w:r>
        <w:rPr/>
        <w:t>Revenue allocation results set forth in Table 1 herein show revenue allocations for transmission, reliability services, PPP, distribution, ND, UCSA, ongoing CTC, commodity, FTA and RRBMA by customer class and rate schedule. The commodity price presented in Table 1 is the load weighted average for the 12 month-period ending September 2000, but the actual commodity charge will vary monthly based on market prices.</w:t>
      </w:r>
    </w:p>
    <w:p>
      <w:pPr>
        <w:pStyle w:val="Normal"/>
        <w:jc w:val="both"/>
        <w:rPr/>
      </w:pPr>
      <w:r>
        <w:rPr/>
      </w:r>
    </w:p>
    <w:p>
      <w:pPr>
        <w:pStyle w:val="Normal"/>
        <w:jc w:val="both"/>
        <w:rPr/>
      </w:pPr>
      <w:r>
        <w:rPr/>
        <w:t>The transmission revenue allocation is determined by the product of the forecast 2001 test year billing determinants and the retail transmission rates made effective by the Federal Energy Regulatory Commission (FERC).</w:t>
      </w:r>
      <w:r>
        <w:rPr>
          <w:rStyle w:val="FootnoteCharacters"/>
          <w:rStyle w:val="FootnoteReference"/>
        </w:rPr>
        <w:footnoteReference w:id="7"/>
      </w:r>
      <w:r>
        <w:rPr/>
        <w:t xml:space="preserve">  The Reliability Services revenue allocation is determined by the product of the 2001 test year billing determinants and the Reliability Services rates made effective by the FERC.</w:t>
      </w:r>
      <w:r>
        <w:rPr>
          <w:rStyle w:val="FootnoteCharacters"/>
          <w:rStyle w:val="FootnoteReference"/>
        </w:rPr>
        <w:footnoteReference w:id="8"/>
      </w:r>
    </w:p>
    <w:p>
      <w:pPr>
        <w:pStyle w:val="Normal"/>
        <w:jc w:val="both"/>
        <w:rPr/>
      </w:pPr>
      <w:r>
        <w:rPr/>
      </w:r>
    </w:p>
    <w:p>
      <w:pPr>
        <w:pStyle w:val="Heading2"/>
        <w:ind w:hanging="0" w:start="0"/>
        <w:jc w:val="both"/>
        <w:rPr/>
      </w:pPr>
      <w:r>
        <w:rPr/>
        <w:t>Rate Components</w:t>
      </w:r>
    </w:p>
    <w:p>
      <w:pPr>
        <w:pStyle w:val="Normal"/>
        <w:jc w:val="both"/>
        <w:rPr/>
      </w:pPr>
      <w:r>
        <w:rPr/>
      </w:r>
    </w:p>
    <w:p>
      <w:pPr>
        <w:pStyle w:val="Normal"/>
        <w:jc w:val="both"/>
        <w:rPr/>
      </w:pPr>
      <w:r>
        <w:rPr/>
        <w:t>Table 2 shows PG&amp;E’s proposed rate components used to revise Preliminary Statement Part I--</w:t>
      </w:r>
      <w:r>
        <w:rPr>
          <w:i/>
          <w:iCs/>
        </w:rPr>
        <w:t>Rate Schedule Summary</w:t>
      </w:r>
      <w:r>
        <w:rPr/>
        <w:t>.</w:t>
      </w:r>
    </w:p>
    <w:p>
      <w:pPr>
        <w:pStyle w:val="Normal"/>
        <w:ind w:firstLine="720" w:end="0"/>
        <w:jc w:val="both"/>
        <w:rPr/>
      </w:pPr>
      <w:r>
        <w:rPr/>
      </w:r>
    </w:p>
    <w:sectPr>
      <w:headerReference w:type="default" r:id="rId2"/>
      <w:headerReference w:type="first" r:id="rId3"/>
      <w:footnotePr>
        <w:numFmt w:val="decimal"/>
      </w:footnotePr>
      <w:type w:val="nextPage"/>
      <w:pgSz w:w="12240" w:h="15840"/>
      <w:pgMar w:left="1800" w:right="153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UCSA rates will be revised based on final decisions in the hydro and Diablo Canyon applications.</w:t>
      </w:r>
    </w:p>
  </w:footnote>
  <w:footnote w:id="3">
    <w:p>
      <w:pPr>
        <w:pStyle w:val="FootnoteText"/>
        <w:jc w:val="both"/>
        <w:rPr/>
      </w:pPr>
      <w:r>
        <w:rPr>
          <w:rStyle w:val="FootnoteCharacters"/>
        </w:rPr>
        <w:footnoteRef/>
      </w:r>
      <w:r>
        <w:rPr/>
        <w:t xml:space="preserve"> </w:t>
      </w:r>
      <w:r>
        <w:rPr/>
        <w:t>Bundled service customers received the benefit of frozen rates during the rate freeze period which meant that they did not pay the full cost of acquiring commodity.  Direct access customers received credits that were based on the full avoided cost associated with PG&amp;E not purchasing energy for these customers, even if this meant that a customer would get a negative bill.</w:t>
      </w:r>
    </w:p>
  </w:footnote>
  <w:footnote w:id="4">
    <w:p>
      <w:pPr>
        <w:pStyle w:val="FootnoteText"/>
        <w:jc w:val="both"/>
        <w:rPr/>
      </w:pPr>
      <w:r>
        <w:rPr>
          <w:rStyle w:val="FootnoteCharacters"/>
        </w:rPr>
        <w:t>1</w:t>
      </w:r>
      <w:r>
        <w:rPr/>
        <w:t xml:space="preserve"> </w:t>
      </w:r>
      <w:r>
        <w:rPr/>
        <w:t xml:space="preserve">The Company proposes that the peak and average rate limiters remain at their current levels but that each charge apply only to non-commodity charges in the post freeze period.  The Company proposes that the  agricultural demand charge limiter remain at its current level, but include only non-commodity components.   Finally, the Company proposes to set the level of the residential minimum average rate limiter (MARL) to include the applicable component charges and the commodity charge (for bundled customers) or the franchise fee surcharge for direct access customers. </w:t>
      </w:r>
    </w:p>
  </w:footnote>
  <w:footnote w:id="5">
    <w:p>
      <w:pPr>
        <w:pStyle w:val="FootnoteText"/>
        <w:jc w:val="both"/>
        <w:rPr/>
      </w:pPr>
      <w:r>
        <w:rPr>
          <w:rStyle w:val="FootnoteCharacters"/>
        </w:rPr>
        <w:footnoteRef/>
      </w:r>
      <w:r>
        <w:rPr/>
        <w:t xml:space="preserve"> </w:t>
      </w:r>
      <w:r>
        <w:rPr/>
        <w:t>The Company does not propose to recalculate the baseline rates based on monthly changes in commodity prices due to the complexity of designing separate baseline rates for every customer in every month.  For example, to use the current monthly commodity charges to establish baseline rates, the Company would need to determine the customer’s commodity charge, determine 15 percent of that number and then recalculate distribution and ongoing CTC rates for Tier 1 and Tier 2.  This process is much more complicated than simply determining the additional CARE discount (derived from commodity charges) and reducing the distribution charges as proposed for CARE customers.</w:t>
      </w:r>
    </w:p>
  </w:footnote>
  <w:footnote w:id="6">
    <w:p>
      <w:pPr>
        <w:pStyle w:val="FootnoteText"/>
        <w:jc w:val="both"/>
        <w:rPr/>
      </w:pPr>
      <w:r>
        <w:rPr>
          <w:rStyle w:val="FootnoteCharacters"/>
        </w:rPr>
        <w:footnoteRef/>
      </w:r>
      <w:r>
        <w:rPr/>
        <w:t xml:space="preserve"> </w:t>
      </w:r>
      <w:r>
        <w:rPr/>
        <w:t>The Company calculates customer class and rate schedule revenue requirements for test year 2001 by summing the product of the rates at June 10, 1996, levels and the 2001 test year forecasted billing determinants.</w:t>
      </w:r>
    </w:p>
  </w:footnote>
  <w:footnote w:id="7">
    <w:p>
      <w:pPr>
        <w:pStyle w:val="FootnoteText"/>
        <w:jc w:val="both"/>
        <w:rPr/>
      </w:pPr>
      <w:r>
        <w:rPr>
          <w:rStyle w:val="FootnoteCharacters"/>
        </w:rPr>
        <w:footnoteRef/>
      </w:r>
      <w:r>
        <w:rPr/>
        <w:t xml:space="preserve"> </w:t>
      </w:r>
      <w:r>
        <w:rPr/>
        <w:t>The FERC made these rates effective April 1, 2000, subject to refund in ER99-4323-000.</w:t>
      </w:r>
    </w:p>
  </w:footnote>
  <w:footnote w:id="8">
    <w:p>
      <w:pPr>
        <w:pStyle w:val="FootnoteText"/>
        <w:jc w:val="both"/>
        <w:rPr/>
      </w:pPr>
      <w:r>
        <w:rPr>
          <w:rStyle w:val="FootnoteCharacters"/>
        </w:rPr>
        <w:footnoteRef/>
      </w:r>
      <w:r>
        <w:rPr/>
        <w:t xml:space="preserve"> </w:t>
      </w:r>
      <w:r>
        <w:rPr/>
        <w:t>The FERC made these rates effective June 29, 2000, subject to refund in ER00-2360-000.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rPr/>
          </w:pPr>
          <w:r>
            <w:rPr/>
            <w:t>Advice 2057-E</w:t>
          </w:r>
        </w:p>
      </w:tc>
      <w:tc>
        <w:tcPr>
          <w:tcW w:w="2952" w:type="dxa"/>
          <w:tcBorders/>
        </w:tcPr>
        <w:p>
          <w:pPr>
            <w:pStyle w:val="Header"/>
            <w:jc w:val="center"/>
            <w:rPr/>
          </w:pPr>
          <w:r>
            <w:rPr/>
            <w:t xml:space="preserve">II -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c>
      <w:tc>
        <w:tcPr>
          <w:tcW w:w="2952" w:type="dxa"/>
          <w:tcBorders/>
        </w:tcPr>
        <w:p>
          <w:pPr>
            <w:pStyle w:val="Header"/>
            <w:jc w:val="end"/>
            <w:rPr/>
          </w:pPr>
          <w:r>
            <w:rPr/>
            <w:t>November 22, 2000</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II - 1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bCs/>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autoSpaceDE w:val="false"/>
    </w:pPr>
    <w:rPr>
      <w:rFonts w:cs="Arial"/>
      <w:bCs/>
      <w:color w:val="000000"/>
    </w:rPr>
  </w:style>
  <w:style w:type="paragraph" w:styleId="Body0">
    <w:name w:val="Body 0"/>
    <w:basedOn w:val="Normal"/>
    <w:qFormat/>
    <w:pPr>
      <w:spacing w:lineRule="exact" w:line="400"/>
      <w:ind w:firstLine="432" w:start="0" w:end="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2000-11-27T17:07:00Z</dcterms:created>
  <dc:creator>Jason D. Kwan</dc:creator>
  <dc:description/>
  <dc:language>en-CA</dc:language>
  <cp:lastModifiedBy>Nel Avendano</cp:lastModifiedBy>
  <cp:lastPrinted>2000-11-21T22:03:00Z</cp:lastPrinted>
  <dcterms:modified xsi:type="dcterms:W3CDTF">2000-11-27T17:07:00Z</dcterms:modified>
  <cp:revision>2</cp:revision>
  <dc:subject/>
  <dc:title>Date</dc:title>
</cp:coreProperties>
</file>